
<file path=[Content_Types].xml><?xml version="1.0" encoding="utf-8"?>
<Types xmlns="http://schemas.openxmlformats.org/package/2006/content-types">
  <Default Extension="emf" ContentType="image/x-em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Cm"/>
      </w:pPr>
      <w:r>
        <w:rPr>
          <w:noProof/>
        </w:rPr>
        <w:drawing>
          <wp:anchor distT="0" distB="0" distL="114300" distR="114300" simplePos="0" relativeHeight="251687936" behindDoc="0" locked="0" layoutInCell="1" allowOverlap="1">
            <wp:simplePos x="905774" y="715992"/>
            <wp:positionH relativeFrom="margin">
              <wp:align>center</wp:align>
            </wp:positionH>
            <wp:positionV relativeFrom="margin">
              <wp:posOffset>0</wp:posOffset>
            </wp:positionV>
            <wp:extent cx="5000400" cy="3963600"/>
            <wp:effectExtent l="0" t="0" r="0" b="0"/>
            <wp:wrapTopAndBottom/>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00400" cy="3963600"/>
                    </a:xfrm>
                    <a:prstGeom prst="rect">
                      <a:avLst/>
                    </a:prstGeom>
                    <a:noFill/>
                    <a:ln>
                      <a:noFill/>
                    </a:ln>
                  </pic:spPr>
                </pic:pic>
              </a:graphicData>
            </a:graphic>
            <wp14:sizeRelH relativeFrom="margin">
              <wp14:pctWidth>0</wp14:pctWidth>
            </wp14:sizeRelH>
            <wp14:sizeRelV relativeFrom="margin">
              <wp14:pctHeight>0</wp14:pctHeight>
            </wp14:sizeRelV>
          </wp:anchor>
        </w:drawing>
      </w:r>
      <w:r>
        <w:t>Encoding Guide</w:t>
      </w:r>
      <w:r>
        <w:br/>
      </w:r>
      <w:r>
        <w:rPr>
          <w:sz w:val="72"/>
          <w:szCs w:val="72"/>
        </w:rPr>
        <w:t>for Documentary Editions</w:t>
      </w:r>
    </w:p>
    <w:p>
      <w:pPr>
        <w:pStyle w:val="Frontmatter"/>
      </w:pPr>
      <w:bookmarkStart w:id="0" w:name="_nlm3dlptfwlj" w:colFirst="0" w:colLast="0"/>
      <w:bookmarkStart w:id="1" w:name="_Hlk19355849"/>
      <w:bookmarkEnd w:id="0"/>
      <w:bookmarkEnd w:id="1"/>
      <w:r>
        <w:t>Dániel Balogh &amp; Arlo Griffiths</w:t>
      </w:r>
    </w:p>
    <w:p>
      <w:pPr>
        <w:pStyle w:val="Frontmatter"/>
      </w:pPr>
    </w:p>
    <w:p>
      <w:pPr>
        <w:pStyle w:val="Frontmatter"/>
      </w:pPr>
      <w:bookmarkStart w:id="2" w:name="_6uvsaj3wvd38" w:colFirst="0" w:colLast="0"/>
      <w:bookmarkStart w:id="3" w:name="_4s3elmevh075" w:colFirst="0" w:colLast="0"/>
      <w:bookmarkEnd w:id="2"/>
      <w:bookmarkEnd w:id="3"/>
      <w:r>
        <w:t xml:space="preserve"> Version 2</w:t>
      </w:r>
    </w:p>
    <w:p>
      <w:pPr>
        <w:pStyle w:val="Frontmatter"/>
        <w:spacing w:before="200"/>
      </w:pPr>
      <w:r>
        <w:rPr>
          <w:noProof/>
        </w:rPr>
        <w:drawing>
          <wp:anchor distT="0" distB="0" distL="114300" distR="114300" simplePos="0" relativeHeight="251686912" behindDoc="1" locked="0" layoutInCell="1" allowOverlap="1">
            <wp:simplePos x="0" y="0"/>
            <wp:positionH relativeFrom="margin">
              <wp:posOffset>1856105</wp:posOffset>
            </wp:positionH>
            <wp:positionV relativeFrom="bottomMargin">
              <wp:posOffset>-3090384</wp:posOffset>
            </wp:positionV>
            <wp:extent cx="2407920" cy="2415540"/>
            <wp:effectExtent l="0" t="0" r="0" b="3810"/>
            <wp:wrapNone/>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7920" cy="2415540"/>
                    </a:xfrm>
                    <a:prstGeom prst="rect">
                      <a:avLst/>
                    </a:prstGeom>
                    <a:noFill/>
                    <a:ln>
                      <a:noFill/>
                    </a:ln>
                  </pic:spPr>
                </pic:pic>
              </a:graphicData>
            </a:graphic>
            <wp14:sizeRelH relativeFrom="margin">
              <wp14:pctWidth>0</wp14:pctWidth>
            </wp14:sizeRelH>
            <wp14:sizeRelV relativeFrom="margin">
              <wp14:pctHeight>0</wp14:pctHeight>
            </wp14:sizeRelV>
          </wp:anchor>
        </w:drawing>
      </w:r>
    </w:p>
    <w:p>
      <w:pPr>
        <w:pStyle w:val="Frontmatter"/>
      </w:pPr>
    </w:p>
    <w:p>
      <w:pPr>
        <w:pStyle w:val="Frontmatter"/>
      </w:pPr>
    </w:p>
    <w:p>
      <w:pPr>
        <w:pStyle w:val="Frontmatter"/>
      </w:pPr>
    </w:p>
    <w:p>
      <w:pPr>
        <w:pStyle w:val="Frontmatter"/>
      </w:pPr>
    </w:p>
    <w:p>
      <w:pPr>
        <w:pStyle w:val="Frontmatter"/>
      </w:pPr>
    </w:p>
    <w:p>
      <w:pPr>
        <w:pStyle w:val="Frontmatter"/>
      </w:pPr>
    </w:p>
    <w:p>
      <w:pPr>
        <w:pStyle w:val="Frontmatter"/>
      </w:pPr>
    </w:p>
    <w:p>
      <w:pPr>
        <w:pStyle w:val="Frontmatter"/>
      </w:pPr>
    </w:p>
    <w:p>
      <w:pPr>
        <w:pStyle w:val="Frontmatter"/>
      </w:pPr>
    </w:p>
    <w:p>
      <w:pPr>
        <w:pStyle w:val="Frontmatter"/>
      </w:pPr>
      <w:bookmarkStart w:id="4" w:name="_Hlk44316166"/>
      <w:r>
        <w:t>This project has received funding from the European Research Council (ERC)</w:t>
      </w:r>
      <w:r>
        <w:br/>
        <w:t>under the European Union’s Horizon 2020 research and innovation programme</w:t>
      </w:r>
      <w:r>
        <w:br/>
        <w:t>(grant agreement No 809994).</w:t>
      </w:r>
    </w:p>
    <w:p>
      <w:pPr>
        <w:pStyle w:val="Cm"/>
      </w:pPr>
      <w:bookmarkStart w:id="5" w:name="_62ze56ka8a10" w:colFirst="0" w:colLast="0"/>
      <w:bookmarkEnd w:id="4"/>
      <w:bookmarkEnd w:id="5"/>
      <w:r>
        <w:lastRenderedPageBreak/>
        <w:t>Contents</w:t>
      </w:r>
    </w:p>
    <w:p>
      <w:pPr>
        <w:pStyle w:val="TJ3"/>
        <w:rPr>
          <w:rFonts w:asciiTheme="minorHAnsi" w:hAnsiTheme="minorHAnsi" w:cstheme="minorBidi"/>
          <w:noProof/>
          <w:kern w:val="0"/>
          <w:sz w:val="22"/>
          <w:szCs w:val="20"/>
          <w:lang w:eastAsia="en-GB"/>
          <w14:ligatures w14:val="none"/>
        </w:rPr>
      </w:pPr>
      <w:r>
        <w:fldChar w:fldCharType="begin"/>
      </w:r>
      <w:r>
        <w:instrText xml:space="preserve"> TOC \o "3-3" \h \z \t "Címsor 1,1,Címsor 2,2" </w:instrText>
      </w:r>
      <w:r>
        <w:fldChar w:fldCharType="separate"/>
      </w:r>
      <w:hyperlink w:anchor="_Toc242976582" w:history="1">
        <w:r>
          <w:rPr>
            <w:rStyle w:val="Hiperhivatkozs"/>
            <w:noProof/>
            <w:lang w:bidi="ar-SA"/>
          </w:rPr>
          <w:t>1.1.1. About this version and how it relates to other versions</w:t>
        </w:r>
        <w:r>
          <w:rPr>
            <w:noProof/>
            <w:webHidden/>
          </w:rPr>
          <w:tab/>
        </w:r>
        <w:r>
          <w:rPr>
            <w:noProof/>
            <w:webHidden/>
          </w:rPr>
          <w:fldChar w:fldCharType="begin"/>
        </w:r>
        <w:r>
          <w:rPr>
            <w:noProof/>
            <w:webHidden/>
          </w:rPr>
          <w:instrText xml:space="preserve"> PAGEREF _Toc242976582 \h </w:instrText>
        </w:r>
        <w:r>
          <w:rPr>
            <w:noProof/>
            <w:webHidden/>
          </w:rPr>
        </w:r>
        <w:r>
          <w:rPr>
            <w:noProof/>
            <w:webHidden/>
          </w:rPr>
          <w:fldChar w:fldCharType="separate"/>
        </w:r>
        <w:r>
          <w:rPr>
            <w:noProof/>
            <w:webHidden/>
          </w:rPr>
          <w:t>4</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83" w:history="1">
        <w:r>
          <w:rPr>
            <w:rStyle w:val="Hiperhivatkozs"/>
            <w:noProof/>
            <w:lang w:bidi="ar-SA"/>
          </w:rPr>
          <w:t>2.2.1. Markup</w:t>
        </w:r>
        <w:r>
          <w:rPr>
            <w:noProof/>
            <w:webHidden/>
          </w:rPr>
          <w:tab/>
        </w:r>
        <w:r>
          <w:rPr>
            <w:noProof/>
            <w:webHidden/>
          </w:rPr>
          <w:fldChar w:fldCharType="begin"/>
        </w:r>
        <w:r>
          <w:rPr>
            <w:noProof/>
            <w:webHidden/>
          </w:rPr>
          <w:instrText xml:space="preserve"> PAGEREF _Toc242976583 \h </w:instrText>
        </w:r>
        <w:r>
          <w:rPr>
            <w:noProof/>
            <w:webHidden/>
          </w:rPr>
        </w:r>
        <w:r>
          <w:rPr>
            <w:noProof/>
            <w:webHidden/>
          </w:rPr>
          <w:fldChar w:fldCharType="separate"/>
        </w:r>
        <w:r>
          <w:rPr>
            <w:noProof/>
            <w:webHidden/>
          </w:rPr>
          <w:t>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84" w:history="1">
        <w:r>
          <w:rPr>
            <w:rStyle w:val="Hiperhivatkozs"/>
            <w:noProof/>
            <w:lang w:bidi="ar-SA"/>
          </w:rPr>
          <w:t>2.2.2. XML elements</w:t>
        </w:r>
        <w:r>
          <w:rPr>
            <w:noProof/>
            <w:webHidden/>
          </w:rPr>
          <w:tab/>
        </w:r>
        <w:r>
          <w:rPr>
            <w:noProof/>
            <w:webHidden/>
          </w:rPr>
          <w:fldChar w:fldCharType="begin"/>
        </w:r>
        <w:r>
          <w:rPr>
            <w:noProof/>
            <w:webHidden/>
          </w:rPr>
          <w:instrText xml:space="preserve"> PAGEREF _Toc242976584 \h </w:instrText>
        </w:r>
        <w:r>
          <w:rPr>
            <w:noProof/>
            <w:webHidden/>
          </w:rPr>
        </w:r>
        <w:r>
          <w:rPr>
            <w:noProof/>
            <w:webHidden/>
          </w:rPr>
          <w:fldChar w:fldCharType="separate"/>
        </w:r>
        <w:r>
          <w:rPr>
            <w:noProof/>
            <w:webHidden/>
          </w:rPr>
          <w:t>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85" w:history="1">
        <w:r>
          <w:rPr>
            <w:rStyle w:val="Hiperhivatkozs"/>
            <w:noProof/>
            <w:lang w:bidi="ar-SA"/>
          </w:rPr>
          <w:t>2.2.3. Character entity references</w:t>
        </w:r>
        <w:r>
          <w:rPr>
            <w:noProof/>
            <w:webHidden/>
          </w:rPr>
          <w:tab/>
        </w:r>
        <w:r>
          <w:rPr>
            <w:noProof/>
            <w:webHidden/>
          </w:rPr>
          <w:fldChar w:fldCharType="begin"/>
        </w:r>
        <w:r>
          <w:rPr>
            <w:noProof/>
            <w:webHidden/>
          </w:rPr>
          <w:instrText xml:space="preserve"> PAGEREF _Toc242976585 \h </w:instrText>
        </w:r>
        <w:r>
          <w:rPr>
            <w:noProof/>
            <w:webHidden/>
          </w:rPr>
        </w:r>
        <w:r>
          <w:rPr>
            <w:noProof/>
            <w:webHidden/>
          </w:rPr>
          <w:fldChar w:fldCharType="separate"/>
        </w:r>
        <w:r>
          <w:rPr>
            <w:noProof/>
            <w:webHidden/>
          </w:rPr>
          <w:t>10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86" w:history="1">
        <w:r>
          <w:rPr>
            <w:rStyle w:val="Hiperhivatkozs"/>
            <w:noProof/>
            <w:lang w:bidi="ar-SA"/>
          </w:rPr>
          <w:t>2.2.4. XML hierarchy</w:t>
        </w:r>
        <w:r>
          <w:rPr>
            <w:noProof/>
            <w:webHidden/>
          </w:rPr>
          <w:tab/>
        </w:r>
        <w:r>
          <w:rPr>
            <w:noProof/>
            <w:webHidden/>
          </w:rPr>
          <w:fldChar w:fldCharType="begin"/>
        </w:r>
        <w:r>
          <w:rPr>
            <w:noProof/>
            <w:webHidden/>
          </w:rPr>
          <w:instrText xml:space="preserve"> PAGEREF _Toc242976586 \h </w:instrText>
        </w:r>
        <w:r>
          <w:rPr>
            <w:noProof/>
            <w:webHidden/>
          </w:rPr>
        </w:r>
        <w:r>
          <w:rPr>
            <w:noProof/>
            <w:webHidden/>
          </w:rPr>
          <w:fldChar w:fldCharType="separate"/>
        </w:r>
        <w:r>
          <w:rPr>
            <w:noProof/>
            <w:webHidden/>
          </w:rPr>
          <w:t>10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87" w:history="1">
        <w:r>
          <w:rPr>
            <w:rStyle w:val="Hiperhivatkozs"/>
            <w:noProof/>
            <w:lang w:bidi="ar-SA"/>
          </w:rPr>
          <w:t>2.2.5. Well-formedness and validity</w:t>
        </w:r>
        <w:r>
          <w:rPr>
            <w:noProof/>
            <w:webHidden/>
          </w:rPr>
          <w:tab/>
        </w:r>
        <w:r>
          <w:rPr>
            <w:noProof/>
            <w:webHidden/>
          </w:rPr>
          <w:fldChar w:fldCharType="begin"/>
        </w:r>
        <w:r>
          <w:rPr>
            <w:noProof/>
            <w:webHidden/>
          </w:rPr>
          <w:instrText xml:space="preserve"> PAGEREF _Toc242976587 \h </w:instrText>
        </w:r>
        <w:r>
          <w:rPr>
            <w:noProof/>
            <w:webHidden/>
          </w:rPr>
        </w:r>
        <w:r>
          <w:rPr>
            <w:noProof/>
            <w:webHidden/>
          </w:rPr>
          <w:fldChar w:fldCharType="separate"/>
        </w:r>
        <w:r>
          <w:rPr>
            <w:noProof/>
            <w:webHidden/>
          </w:rPr>
          <w:t>11</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88" w:history="1">
        <w:r>
          <w:rPr>
            <w:rStyle w:val="Hiperhivatkozs"/>
            <w:noProof/>
            <w:lang w:bidi="ar-SA"/>
          </w:rPr>
          <w:t>2.3.1. Technical specifications</w:t>
        </w:r>
        <w:r>
          <w:rPr>
            <w:noProof/>
            <w:webHidden/>
          </w:rPr>
          <w:tab/>
        </w:r>
        <w:r>
          <w:rPr>
            <w:noProof/>
            <w:webHidden/>
          </w:rPr>
          <w:fldChar w:fldCharType="begin"/>
        </w:r>
        <w:r>
          <w:rPr>
            <w:noProof/>
            <w:webHidden/>
          </w:rPr>
          <w:instrText xml:space="preserve"> PAGEREF _Toc242976588 \h </w:instrText>
        </w:r>
        <w:r>
          <w:rPr>
            <w:noProof/>
            <w:webHidden/>
          </w:rPr>
        </w:r>
        <w:r>
          <w:rPr>
            <w:noProof/>
            <w:webHidden/>
          </w:rPr>
          <w:fldChar w:fldCharType="separate"/>
        </w:r>
        <w:r>
          <w:rPr>
            <w:noProof/>
            <w:webHidden/>
          </w:rPr>
          <w:t>11</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89" w:history="1">
        <w:r>
          <w:rPr>
            <w:rStyle w:val="Hiperhivatkozs"/>
            <w:noProof/>
            <w:lang w:bidi="ar-SA"/>
          </w:rPr>
          <w:t>2.3.2. The TEI header</w:t>
        </w:r>
        <w:r>
          <w:rPr>
            <w:noProof/>
            <w:webHidden/>
          </w:rPr>
          <w:tab/>
        </w:r>
        <w:r>
          <w:rPr>
            <w:noProof/>
            <w:webHidden/>
          </w:rPr>
          <w:fldChar w:fldCharType="begin"/>
        </w:r>
        <w:r>
          <w:rPr>
            <w:noProof/>
            <w:webHidden/>
          </w:rPr>
          <w:instrText xml:space="preserve"> PAGEREF _Toc242976589 \h </w:instrText>
        </w:r>
        <w:r>
          <w:rPr>
            <w:noProof/>
            <w:webHidden/>
          </w:rPr>
        </w:r>
        <w:r>
          <w:rPr>
            <w:noProof/>
            <w:webHidden/>
          </w:rPr>
          <w:fldChar w:fldCharType="separate"/>
        </w:r>
        <w:r>
          <w:rPr>
            <w:noProof/>
            <w:webHidden/>
          </w:rPr>
          <w:t>12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90" w:history="1">
        <w:r>
          <w:rPr>
            <w:rStyle w:val="Hiperhivatkozs"/>
            <w:noProof/>
            <w:lang w:bidi="ar-SA"/>
          </w:rPr>
          <w:t>2.3.3. The body of the document</w:t>
        </w:r>
        <w:r>
          <w:rPr>
            <w:noProof/>
            <w:webHidden/>
          </w:rPr>
          <w:tab/>
        </w:r>
        <w:r>
          <w:rPr>
            <w:noProof/>
            <w:webHidden/>
          </w:rPr>
          <w:fldChar w:fldCharType="begin"/>
        </w:r>
        <w:r>
          <w:rPr>
            <w:noProof/>
            <w:webHidden/>
          </w:rPr>
          <w:instrText xml:space="preserve"> PAGEREF _Toc242976590 \h </w:instrText>
        </w:r>
        <w:r>
          <w:rPr>
            <w:noProof/>
            <w:webHidden/>
          </w:rPr>
        </w:r>
        <w:r>
          <w:rPr>
            <w:noProof/>
            <w:webHidden/>
          </w:rPr>
          <w:fldChar w:fldCharType="separate"/>
        </w:r>
        <w:r>
          <w:rPr>
            <w:noProof/>
            <w:webHidden/>
          </w:rPr>
          <w:t>12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91" w:history="1">
        <w:r>
          <w:rPr>
            <w:rStyle w:val="Hiperhivatkozs"/>
            <w:noProof/>
            <w:lang w:bidi="ar-SA"/>
          </w:rPr>
          <w:t>3.1.1. Numeration for reference</w:t>
        </w:r>
        <w:r>
          <w:rPr>
            <w:noProof/>
            <w:webHidden/>
          </w:rPr>
          <w:tab/>
        </w:r>
        <w:r>
          <w:rPr>
            <w:noProof/>
            <w:webHidden/>
          </w:rPr>
          <w:fldChar w:fldCharType="begin"/>
        </w:r>
        <w:r>
          <w:rPr>
            <w:noProof/>
            <w:webHidden/>
          </w:rPr>
          <w:instrText xml:space="preserve"> PAGEREF _Toc242976591 \h </w:instrText>
        </w:r>
        <w:r>
          <w:rPr>
            <w:noProof/>
            <w:webHidden/>
          </w:rPr>
        </w:r>
        <w:r>
          <w:rPr>
            <w:noProof/>
            <w:webHidden/>
          </w:rPr>
          <w:fldChar w:fldCharType="separate"/>
        </w:r>
        <w:r>
          <w:rPr>
            <w:noProof/>
            <w:webHidden/>
          </w:rPr>
          <w:t>15</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92" w:history="1">
        <w:r>
          <w:rPr>
            <w:rStyle w:val="Hiperhivatkozs"/>
            <w:noProof/>
            <w:lang w:bidi="ar-SA"/>
          </w:rPr>
          <w:t>3.2.1. Prose containers</w:t>
        </w:r>
        <w:r>
          <w:rPr>
            <w:noProof/>
            <w:webHidden/>
          </w:rPr>
          <w:tab/>
        </w:r>
        <w:r>
          <w:rPr>
            <w:noProof/>
            <w:webHidden/>
          </w:rPr>
          <w:fldChar w:fldCharType="begin"/>
        </w:r>
        <w:r>
          <w:rPr>
            <w:noProof/>
            <w:webHidden/>
          </w:rPr>
          <w:instrText xml:space="preserve"> PAGEREF _Toc242976592 \h </w:instrText>
        </w:r>
        <w:r>
          <w:rPr>
            <w:noProof/>
            <w:webHidden/>
          </w:rPr>
        </w:r>
        <w:r>
          <w:rPr>
            <w:noProof/>
            <w:webHidden/>
          </w:rPr>
          <w:fldChar w:fldCharType="separate"/>
        </w:r>
        <w:r>
          <w:rPr>
            <w:noProof/>
            <w:webHidden/>
          </w:rPr>
          <w:t>15</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93" w:history="1">
        <w:r>
          <w:rPr>
            <w:rStyle w:val="Hiperhivatkozs"/>
            <w:noProof/>
            <w:lang w:bidi="ar-SA"/>
          </w:rPr>
          <w:t>3.2.2. Verse containers</w:t>
        </w:r>
        <w:r>
          <w:rPr>
            <w:noProof/>
            <w:webHidden/>
          </w:rPr>
          <w:tab/>
        </w:r>
        <w:r>
          <w:rPr>
            <w:noProof/>
            <w:webHidden/>
          </w:rPr>
          <w:fldChar w:fldCharType="begin"/>
        </w:r>
        <w:r>
          <w:rPr>
            <w:noProof/>
            <w:webHidden/>
          </w:rPr>
          <w:instrText xml:space="preserve"> PAGEREF _Toc242976593 \h </w:instrText>
        </w:r>
        <w:r>
          <w:rPr>
            <w:noProof/>
            <w:webHidden/>
          </w:rPr>
        </w:r>
        <w:r>
          <w:rPr>
            <w:noProof/>
            <w:webHidden/>
          </w:rPr>
          <w:fldChar w:fldCharType="separate"/>
        </w:r>
        <w:r>
          <w:rPr>
            <w:noProof/>
            <w:webHidden/>
          </w:rPr>
          <w:t>16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94" w:history="1">
        <w:r>
          <w:rPr>
            <w:rStyle w:val="Hiperhivatkozs"/>
            <w:noProof/>
            <w:lang w:bidi="ar-SA"/>
          </w:rPr>
          <w:t>3.2.3. Interrupted container boundaries</w:t>
        </w:r>
        <w:r>
          <w:rPr>
            <w:noProof/>
            <w:webHidden/>
          </w:rPr>
          <w:tab/>
        </w:r>
        <w:r>
          <w:rPr>
            <w:noProof/>
            <w:webHidden/>
          </w:rPr>
          <w:fldChar w:fldCharType="begin"/>
        </w:r>
        <w:r>
          <w:rPr>
            <w:noProof/>
            <w:webHidden/>
          </w:rPr>
          <w:instrText xml:space="preserve"> PAGEREF _Toc242976594 \h </w:instrText>
        </w:r>
        <w:r>
          <w:rPr>
            <w:noProof/>
            <w:webHidden/>
          </w:rPr>
        </w:r>
        <w:r>
          <w:rPr>
            <w:noProof/>
            <w:webHidden/>
          </w:rPr>
          <w:fldChar w:fldCharType="separate"/>
        </w:r>
        <w:r>
          <w:rPr>
            <w:noProof/>
            <w:webHidden/>
          </w:rPr>
          <w:t>18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95" w:history="1">
        <w:r>
          <w:rPr>
            <w:rStyle w:val="Hiperhivatkozs"/>
            <w:noProof/>
            <w:lang w:bidi="ar-SA"/>
          </w:rPr>
          <w:t>3.2.4. Container boundaries interrupting the text</w:t>
        </w:r>
        <w:r>
          <w:rPr>
            <w:noProof/>
            <w:webHidden/>
          </w:rPr>
          <w:tab/>
        </w:r>
        <w:r>
          <w:rPr>
            <w:noProof/>
            <w:webHidden/>
          </w:rPr>
          <w:fldChar w:fldCharType="begin"/>
        </w:r>
        <w:r>
          <w:rPr>
            <w:noProof/>
            <w:webHidden/>
          </w:rPr>
          <w:instrText xml:space="preserve"> PAGEREF _Toc242976595 \h </w:instrText>
        </w:r>
        <w:r>
          <w:rPr>
            <w:noProof/>
            <w:webHidden/>
          </w:rPr>
        </w:r>
        <w:r>
          <w:rPr>
            <w:noProof/>
            <w:webHidden/>
          </w:rPr>
          <w:fldChar w:fldCharType="separate"/>
        </w:r>
        <w:r>
          <w:rPr>
            <w:noProof/>
            <w:webHidden/>
          </w:rPr>
          <w:t>20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96" w:history="1">
        <w:r>
          <w:rPr>
            <w:rStyle w:val="Hiperhivatkozs"/>
            <w:noProof/>
            <w:lang w:bidi="ar-SA"/>
          </w:rPr>
          <w:t>3.2.5. Good encoding practice for block-level elements</w:t>
        </w:r>
        <w:r>
          <w:rPr>
            <w:noProof/>
            <w:webHidden/>
          </w:rPr>
          <w:tab/>
        </w:r>
        <w:r>
          <w:rPr>
            <w:noProof/>
            <w:webHidden/>
          </w:rPr>
          <w:fldChar w:fldCharType="begin"/>
        </w:r>
        <w:r>
          <w:rPr>
            <w:noProof/>
            <w:webHidden/>
          </w:rPr>
          <w:instrText xml:space="preserve"> PAGEREF _Toc242976596 \h </w:instrText>
        </w:r>
        <w:r>
          <w:rPr>
            <w:noProof/>
            <w:webHidden/>
          </w:rPr>
        </w:r>
        <w:r>
          <w:rPr>
            <w:noProof/>
            <w:webHidden/>
          </w:rPr>
          <w:fldChar w:fldCharType="separate"/>
        </w:r>
        <w:r>
          <w:rPr>
            <w:noProof/>
            <w:webHidden/>
          </w:rPr>
          <w:t>24</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97" w:history="1">
        <w:r>
          <w:rPr>
            <w:rStyle w:val="Hiperhivatkozs"/>
            <w:noProof/>
            <w:lang w:bidi="ar-SA"/>
          </w:rPr>
          <w:t xml:space="preserve">3.3.1. Encoding an abstract prosodic template with </w:t>
        </w:r>
        <w:r>
          <w:rPr>
            <w:rStyle w:val="Hiperhivatkozs"/>
            <w:rFonts w:ascii="Consolas" w:hAnsi="Consolas" w:cs="Consolas"/>
            <w:noProof/>
            <w:shd w:val="clear" w:color="auto" w:fill="F2F2F2" w:themeFill="background1" w:themeFillShade="F2"/>
            <w:lang w:bidi="ar-SA"/>
          </w:rPr>
          <w:t>@met</w:t>
        </w:r>
        <w:r>
          <w:rPr>
            <w:noProof/>
            <w:webHidden/>
          </w:rPr>
          <w:tab/>
        </w:r>
        <w:r>
          <w:rPr>
            <w:noProof/>
            <w:webHidden/>
          </w:rPr>
          <w:fldChar w:fldCharType="begin"/>
        </w:r>
        <w:r>
          <w:rPr>
            <w:noProof/>
            <w:webHidden/>
          </w:rPr>
          <w:instrText xml:space="preserve"> PAGEREF _Toc242976597 \h </w:instrText>
        </w:r>
        <w:r>
          <w:rPr>
            <w:noProof/>
            <w:webHidden/>
          </w:rPr>
        </w:r>
        <w:r>
          <w:rPr>
            <w:noProof/>
            <w:webHidden/>
          </w:rPr>
          <w:fldChar w:fldCharType="separate"/>
        </w:r>
        <w:r>
          <w:rPr>
            <w:noProof/>
            <w:webHidden/>
          </w:rPr>
          <w:t>25</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98" w:history="1">
        <w:r>
          <w:rPr>
            <w:rStyle w:val="Hiperhivatkozs"/>
            <w:noProof/>
            <w:lang w:bidi="ar-SA"/>
          </w:rPr>
          <w:t xml:space="preserve">3.3.2. Encoding an actual prosodic realisation with </w:t>
        </w:r>
        <w:r>
          <w:rPr>
            <w:rStyle w:val="Hiperhivatkozs"/>
            <w:rFonts w:ascii="Consolas" w:hAnsi="Consolas" w:cs="Consolas"/>
            <w:noProof/>
            <w:shd w:val="clear" w:color="auto" w:fill="F2F2F2" w:themeFill="background1" w:themeFillShade="F2"/>
            <w:lang w:bidi="ar-SA"/>
          </w:rPr>
          <w:t>@real</w:t>
        </w:r>
        <w:r>
          <w:rPr>
            <w:noProof/>
            <w:webHidden/>
          </w:rPr>
          <w:tab/>
        </w:r>
        <w:r>
          <w:rPr>
            <w:noProof/>
            <w:webHidden/>
          </w:rPr>
          <w:fldChar w:fldCharType="begin"/>
        </w:r>
        <w:r>
          <w:rPr>
            <w:noProof/>
            <w:webHidden/>
          </w:rPr>
          <w:instrText xml:space="preserve"> PAGEREF _Toc242976598 \h </w:instrText>
        </w:r>
        <w:r>
          <w:rPr>
            <w:noProof/>
            <w:webHidden/>
          </w:rPr>
        </w:r>
        <w:r>
          <w:rPr>
            <w:noProof/>
            <w:webHidden/>
          </w:rPr>
          <w:fldChar w:fldCharType="separate"/>
        </w:r>
        <w:r>
          <w:rPr>
            <w:noProof/>
            <w:webHidden/>
          </w:rPr>
          <w:t>25</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599" w:history="1">
        <w:r>
          <w:rPr>
            <w:rStyle w:val="Hiperhivatkozs"/>
            <w:noProof/>
            <w:lang w:bidi="ar-SA"/>
          </w:rPr>
          <w:t>3.3.3. Metres not associated with a clear name</w:t>
        </w:r>
        <w:r>
          <w:rPr>
            <w:noProof/>
            <w:webHidden/>
          </w:rPr>
          <w:tab/>
        </w:r>
        <w:r>
          <w:rPr>
            <w:noProof/>
            <w:webHidden/>
          </w:rPr>
          <w:fldChar w:fldCharType="begin"/>
        </w:r>
        <w:r>
          <w:rPr>
            <w:noProof/>
            <w:webHidden/>
          </w:rPr>
          <w:instrText xml:space="preserve"> PAGEREF _Toc242976599 \h </w:instrText>
        </w:r>
        <w:r>
          <w:rPr>
            <w:noProof/>
            <w:webHidden/>
          </w:rPr>
        </w:r>
        <w:r>
          <w:rPr>
            <w:noProof/>
            <w:webHidden/>
          </w:rPr>
          <w:fldChar w:fldCharType="separate"/>
        </w:r>
        <w:r>
          <w:rPr>
            <w:noProof/>
            <w:webHidden/>
          </w:rPr>
          <w:t>25</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00" w:history="1">
        <w:r>
          <w:rPr>
            <w:rStyle w:val="Hiperhivatkozs"/>
            <w:noProof/>
            <w:lang w:bidi="ar-SA"/>
          </w:rPr>
          <w:t>3.3.4. Metrical complications</w:t>
        </w:r>
        <w:r>
          <w:rPr>
            <w:noProof/>
            <w:webHidden/>
          </w:rPr>
          <w:tab/>
        </w:r>
        <w:r>
          <w:rPr>
            <w:noProof/>
            <w:webHidden/>
          </w:rPr>
          <w:fldChar w:fldCharType="begin"/>
        </w:r>
        <w:r>
          <w:rPr>
            <w:noProof/>
            <w:webHidden/>
          </w:rPr>
          <w:instrText xml:space="preserve"> PAGEREF _Toc242976600 \h </w:instrText>
        </w:r>
        <w:r>
          <w:rPr>
            <w:noProof/>
            <w:webHidden/>
          </w:rPr>
        </w:r>
        <w:r>
          <w:rPr>
            <w:noProof/>
            <w:webHidden/>
          </w:rPr>
          <w:fldChar w:fldCharType="separate"/>
        </w:r>
        <w:r>
          <w:rPr>
            <w:noProof/>
            <w:webHidden/>
          </w:rPr>
          <w:t>27</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01" w:history="1">
        <w:r>
          <w:rPr>
            <w:rStyle w:val="Hiperhivatkozs"/>
            <w:noProof/>
            <w:lang w:bidi="ar-SA"/>
          </w:rPr>
          <w:t>4.1.1. Numeration for reference</w:t>
        </w:r>
        <w:r>
          <w:rPr>
            <w:noProof/>
            <w:webHidden/>
          </w:rPr>
          <w:tab/>
        </w:r>
        <w:r>
          <w:rPr>
            <w:noProof/>
            <w:webHidden/>
          </w:rPr>
          <w:fldChar w:fldCharType="begin"/>
        </w:r>
        <w:r>
          <w:rPr>
            <w:noProof/>
            <w:webHidden/>
          </w:rPr>
          <w:instrText xml:space="preserve"> PAGEREF _Toc242976601 \h </w:instrText>
        </w:r>
        <w:r>
          <w:rPr>
            <w:noProof/>
            <w:webHidden/>
          </w:rPr>
        </w:r>
        <w:r>
          <w:rPr>
            <w:noProof/>
            <w:webHidden/>
          </w:rPr>
          <w:fldChar w:fldCharType="separate"/>
        </w:r>
        <w:r>
          <w:rPr>
            <w:noProof/>
            <w:webHidden/>
          </w:rPr>
          <w:t>33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02" w:history="1">
        <w:r>
          <w:rPr>
            <w:rStyle w:val="Hiperhivatkozs"/>
            <w:noProof/>
            <w:lang w:bidi="ar-SA"/>
          </w:rPr>
          <w:t>4.2.1. Encoding as textpart divisions</w:t>
        </w:r>
        <w:r>
          <w:rPr>
            <w:noProof/>
            <w:webHidden/>
          </w:rPr>
          <w:tab/>
        </w:r>
        <w:r>
          <w:rPr>
            <w:noProof/>
            <w:webHidden/>
          </w:rPr>
          <w:fldChar w:fldCharType="begin"/>
        </w:r>
        <w:r>
          <w:rPr>
            <w:noProof/>
            <w:webHidden/>
          </w:rPr>
          <w:instrText xml:space="preserve"> PAGEREF _Toc242976602 \h </w:instrText>
        </w:r>
        <w:r>
          <w:rPr>
            <w:noProof/>
            <w:webHidden/>
          </w:rPr>
        </w:r>
        <w:r>
          <w:rPr>
            <w:noProof/>
            <w:webHidden/>
          </w:rPr>
          <w:fldChar w:fldCharType="separate"/>
        </w:r>
        <w:r>
          <w:rPr>
            <w:noProof/>
            <w:webHidden/>
          </w:rPr>
          <w:t>34</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03" w:history="1">
        <w:r>
          <w:rPr>
            <w:rStyle w:val="Hiperhivatkozs"/>
            <w:noProof/>
            <w:lang w:bidi="ar-SA"/>
          </w:rPr>
          <w:t>4.3.1. Milestone units</w:t>
        </w:r>
        <w:r>
          <w:rPr>
            <w:noProof/>
            <w:webHidden/>
          </w:rPr>
          <w:tab/>
        </w:r>
        <w:r>
          <w:rPr>
            <w:noProof/>
            <w:webHidden/>
          </w:rPr>
          <w:fldChar w:fldCharType="begin"/>
        </w:r>
        <w:r>
          <w:rPr>
            <w:noProof/>
            <w:webHidden/>
          </w:rPr>
          <w:instrText xml:space="preserve"> PAGEREF _Toc242976603 \h </w:instrText>
        </w:r>
        <w:r>
          <w:rPr>
            <w:noProof/>
            <w:webHidden/>
          </w:rPr>
        </w:r>
        <w:r>
          <w:rPr>
            <w:noProof/>
            <w:webHidden/>
          </w:rPr>
          <w:fldChar w:fldCharType="separate"/>
        </w:r>
        <w:r>
          <w:rPr>
            <w:noProof/>
            <w:webHidden/>
          </w:rPr>
          <w:t>36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04" w:history="1">
        <w:r>
          <w:rPr>
            <w:rStyle w:val="Hiperhivatkozs"/>
            <w:noProof/>
            <w:lang w:bidi="ar-SA"/>
          </w:rPr>
          <w:t>4.3.2. Milestones interrupting the text</w:t>
        </w:r>
        <w:r>
          <w:rPr>
            <w:noProof/>
            <w:webHidden/>
          </w:rPr>
          <w:tab/>
        </w:r>
        <w:r>
          <w:rPr>
            <w:noProof/>
            <w:webHidden/>
          </w:rPr>
          <w:fldChar w:fldCharType="begin"/>
        </w:r>
        <w:r>
          <w:rPr>
            <w:noProof/>
            <w:webHidden/>
          </w:rPr>
          <w:instrText xml:space="preserve"> PAGEREF _Toc242976604 \h </w:instrText>
        </w:r>
        <w:r>
          <w:rPr>
            <w:noProof/>
            <w:webHidden/>
          </w:rPr>
        </w:r>
        <w:r>
          <w:rPr>
            <w:noProof/>
            <w:webHidden/>
          </w:rPr>
          <w:fldChar w:fldCharType="separate"/>
        </w:r>
        <w:r>
          <w:rPr>
            <w:noProof/>
            <w:webHidden/>
          </w:rPr>
          <w:t>37</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05" w:history="1">
        <w:r>
          <w:rPr>
            <w:rStyle w:val="Hiperhivatkozs"/>
            <w:noProof/>
            <w:lang w:bidi="ar-SA"/>
          </w:rPr>
          <w:t>4.3.3. Good encoding practice for milestone elements</w:t>
        </w:r>
        <w:r>
          <w:rPr>
            <w:noProof/>
            <w:webHidden/>
          </w:rPr>
          <w:tab/>
        </w:r>
        <w:r>
          <w:rPr>
            <w:noProof/>
            <w:webHidden/>
          </w:rPr>
          <w:fldChar w:fldCharType="begin"/>
        </w:r>
        <w:r>
          <w:rPr>
            <w:noProof/>
            <w:webHidden/>
          </w:rPr>
          <w:instrText xml:space="preserve"> PAGEREF _Toc242976605 \h </w:instrText>
        </w:r>
        <w:r>
          <w:rPr>
            <w:noProof/>
            <w:webHidden/>
          </w:rPr>
        </w:r>
        <w:r>
          <w:rPr>
            <w:noProof/>
            <w:webHidden/>
          </w:rPr>
          <w:fldChar w:fldCharType="separate"/>
        </w:r>
        <w:r>
          <w:rPr>
            <w:noProof/>
            <w:webHidden/>
          </w:rPr>
          <w:t>38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06" w:history="1">
        <w:r>
          <w:rPr>
            <w:rStyle w:val="Hiperhivatkozs"/>
            <w:noProof/>
            <w:lang w:bidi="ar-SA"/>
          </w:rPr>
          <w:t>4.4.2. Marking up genuine pages</w:t>
        </w:r>
        <w:r>
          <w:rPr>
            <w:noProof/>
            <w:webHidden/>
          </w:rPr>
          <w:tab/>
        </w:r>
        <w:r>
          <w:rPr>
            <w:noProof/>
            <w:webHidden/>
          </w:rPr>
          <w:fldChar w:fldCharType="begin"/>
        </w:r>
        <w:r>
          <w:rPr>
            <w:noProof/>
            <w:webHidden/>
          </w:rPr>
          <w:instrText xml:space="preserve"> PAGEREF _Toc242976606 \h </w:instrText>
        </w:r>
        <w:r>
          <w:rPr>
            <w:noProof/>
            <w:webHidden/>
          </w:rPr>
        </w:r>
        <w:r>
          <w:rPr>
            <w:noProof/>
            <w:webHidden/>
          </w:rPr>
          <w:fldChar w:fldCharType="separate"/>
        </w:r>
        <w:r>
          <w:rPr>
            <w:noProof/>
            <w:webHidden/>
          </w:rPr>
          <w:t>40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07" w:history="1">
        <w:r>
          <w:rPr>
            <w:rStyle w:val="Hiperhivatkozs"/>
            <w:noProof/>
            <w:lang w:bidi="ar-SA"/>
          </w:rPr>
          <w:t>4.4.3. Marking up other pagelike zones</w:t>
        </w:r>
        <w:r>
          <w:rPr>
            <w:noProof/>
            <w:webHidden/>
          </w:rPr>
          <w:tab/>
        </w:r>
        <w:r>
          <w:rPr>
            <w:noProof/>
            <w:webHidden/>
          </w:rPr>
          <w:fldChar w:fldCharType="begin"/>
        </w:r>
        <w:r>
          <w:rPr>
            <w:noProof/>
            <w:webHidden/>
          </w:rPr>
          <w:instrText xml:space="preserve"> PAGEREF _Toc242976607 \h </w:instrText>
        </w:r>
        <w:r>
          <w:rPr>
            <w:noProof/>
            <w:webHidden/>
          </w:rPr>
        </w:r>
        <w:r>
          <w:rPr>
            <w:noProof/>
            <w:webHidden/>
          </w:rPr>
          <w:fldChar w:fldCharType="separate"/>
        </w:r>
        <w:r>
          <w:rPr>
            <w:noProof/>
            <w:webHidden/>
          </w:rPr>
          <w:t>42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08" w:history="1">
        <w:r>
          <w:rPr>
            <w:rStyle w:val="Hiperhivatkozs"/>
            <w:noProof/>
            <w:lang w:bidi="ar-SA"/>
          </w:rPr>
          <w:t>4.4.4. Numbered elements in pagelike partitions</w:t>
        </w:r>
        <w:r>
          <w:rPr>
            <w:noProof/>
            <w:webHidden/>
          </w:rPr>
          <w:tab/>
        </w:r>
        <w:r>
          <w:rPr>
            <w:noProof/>
            <w:webHidden/>
          </w:rPr>
          <w:fldChar w:fldCharType="begin"/>
        </w:r>
        <w:r>
          <w:rPr>
            <w:noProof/>
            <w:webHidden/>
          </w:rPr>
          <w:instrText xml:space="preserve"> PAGEREF _Toc242976608 \h </w:instrText>
        </w:r>
        <w:r>
          <w:rPr>
            <w:noProof/>
            <w:webHidden/>
          </w:rPr>
        </w:r>
        <w:r>
          <w:rPr>
            <w:noProof/>
            <w:webHidden/>
          </w:rPr>
          <w:fldChar w:fldCharType="separate"/>
        </w:r>
        <w:r>
          <w:rPr>
            <w:noProof/>
            <w:webHidden/>
          </w:rPr>
          <w:t>43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09" w:history="1">
        <w:r>
          <w:rPr>
            <w:rStyle w:val="Hiperhivatkozs"/>
            <w:noProof/>
            <w:lang w:bidi="ar-SA"/>
          </w:rPr>
          <w:t>4.5.1. Marking up line beginnings</w:t>
        </w:r>
        <w:r>
          <w:rPr>
            <w:noProof/>
            <w:webHidden/>
          </w:rPr>
          <w:tab/>
        </w:r>
        <w:r>
          <w:rPr>
            <w:noProof/>
            <w:webHidden/>
          </w:rPr>
          <w:fldChar w:fldCharType="begin"/>
        </w:r>
        <w:r>
          <w:rPr>
            <w:noProof/>
            <w:webHidden/>
          </w:rPr>
          <w:instrText xml:space="preserve"> PAGEREF _Toc242976609 \h </w:instrText>
        </w:r>
        <w:r>
          <w:rPr>
            <w:noProof/>
            <w:webHidden/>
          </w:rPr>
        </w:r>
        <w:r>
          <w:rPr>
            <w:noProof/>
            <w:webHidden/>
          </w:rPr>
          <w:fldChar w:fldCharType="separate"/>
        </w:r>
        <w:r>
          <w:rPr>
            <w:noProof/>
            <w:webHidden/>
          </w:rPr>
          <w:t>44</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10" w:history="1">
        <w:r>
          <w:rPr>
            <w:rStyle w:val="Hiperhivatkozs"/>
            <w:noProof/>
            <w:lang w:bidi="ar-SA"/>
          </w:rPr>
          <w:t>4.5.2. Numbering lines</w:t>
        </w:r>
        <w:r>
          <w:rPr>
            <w:noProof/>
            <w:webHidden/>
          </w:rPr>
          <w:tab/>
        </w:r>
        <w:r>
          <w:rPr>
            <w:noProof/>
            <w:webHidden/>
          </w:rPr>
          <w:fldChar w:fldCharType="begin"/>
        </w:r>
        <w:r>
          <w:rPr>
            <w:noProof/>
            <w:webHidden/>
          </w:rPr>
          <w:instrText xml:space="preserve"> PAGEREF _Toc242976610 \h </w:instrText>
        </w:r>
        <w:r>
          <w:rPr>
            <w:noProof/>
            <w:webHidden/>
          </w:rPr>
        </w:r>
        <w:r>
          <w:rPr>
            <w:noProof/>
            <w:webHidden/>
          </w:rPr>
          <w:fldChar w:fldCharType="separate"/>
        </w:r>
        <w:r>
          <w:rPr>
            <w:noProof/>
            <w:webHidden/>
          </w:rPr>
          <w:t>45</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11" w:history="1">
        <w:r>
          <w:rPr>
            <w:rStyle w:val="Hiperhivatkozs"/>
            <w:noProof/>
            <w:lang w:bidi="ar-SA"/>
          </w:rPr>
          <w:t>4.6.1. Marking up gridlike partitions</w:t>
        </w:r>
        <w:r>
          <w:rPr>
            <w:noProof/>
            <w:webHidden/>
          </w:rPr>
          <w:tab/>
        </w:r>
        <w:r>
          <w:rPr>
            <w:noProof/>
            <w:webHidden/>
          </w:rPr>
          <w:fldChar w:fldCharType="begin"/>
        </w:r>
        <w:r>
          <w:rPr>
            <w:noProof/>
            <w:webHidden/>
          </w:rPr>
          <w:instrText xml:space="preserve"> PAGEREF _Toc242976611 \h </w:instrText>
        </w:r>
        <w:r>
          <w:rPr>
            <w:noProof/>
            <w:webHidden/>
          </w:rPr>
        </w:r>
        <w:r>
          <w:rPr>
            <w:noProof/>
            <w:webHidden/>
          </w:rPr>
          <w:fldChar w:fldCharType="separate"/>
        </w:r>
        <w:r>
          <w:rPr>
            <w:noProof/>
            <w:webHidden/>
          </w:rPr>
          <w:t>46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12" w:history="1">
        <w:r>
          <w:rPr>
            <w:rStyle w:val="Hiperhivatkozs"/>
            <w:noProof/>
            <w:lang w:bidi="ar-SA"/>
          </w:rPr>
          <w:t>4.7.1. Peripheral inscribed zones</w:t>
        </w:r>
        <w:r>
          <w:rPr>
            <w:noProof/>
            <w:webHidden/>
          </w:rPr>
          <w:tab/>
        </w:r>
        <w:r>
          <w:rPr>
            <w:noProof/>
            <w:webHidden/>
          </w:rPr>
          <w:fldChar w:fldCharType="begin"/>
        </w:r>
        <w:r>
          <w:rPr>
            <w:noProof/>
            <w:webHidden/>
          </w:rPr>
          <w:instrText xml:space="preserve"> PAGEREF _Toc242976612 \h </w:instrText>
        </w:r>
        <w:r>
          <w:rPr>
            <w:noProof/>
            <w:webHidden/>
          </w:rPr>
        </w:r>
        <w:r>
          <w:rPr>
            <w:noProof/>
            <w:webHidden/>
          </w:rPr>
          <w:fldChar w:fldCharType="separate"/>
        </w:r>
        <w:r>
          <w:rPr>
            <w:noProof/>
            <w:webHidden/>
          </w:rPr>
          <w:t>47</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13" w:history="1">
        <w:r>
          <w:rPr>
            <w:rStyle w:val="Hiperhivatkozs"/>
            <w:noProof/>
            <w:lang w:bidi="ar-SA"/>
          </w:rPr>
          <w:t>4.7.2. Pagination or foliation: “forme work”</w:t>
        </w:r>
        <w:r>
          <w:rPr>
            <w:noProof/>
            <w:webHidden/>
          </w:rPr>
          <w:tab/>
        </w:r>
        <w:r>
          <w:rPr>
            <w:noProof/>
            <w:webHidden/>
          </w:rPr>
          <w:fldChar w:fldCharType="begin"/>
        </w:r>
        <w:r>
          <w:rPr>
            <w:noProof/>
            <w:webHidden/>
          </w:rPr>
          <w:instrText xml:space="preserve"> PAGEREF _Toc242976613 \h </w:instrText>
        </w:r>
        <w:r>
          <w:rPr>
            <w:noProof/>
            <w:webHidden/>
          </w:rPr>
        </w:r>
        <w:r>
          <w:rPr>
            <w:noProof/>
            <w:webHidden/>
          </w:rPr>
          <w:fldChar w:fldCharType="separate"/>
        </w:r>
        <w:r>
          <w:rPr>
            <w:noProof/>
            <w:webHidden/>
          </w:rPr>
          <w:t>50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14" w:history="1">
        <w:r>
          <w:rPr>
            <w:rStyle w:val="Hiperhivatkozs"/>
            <w:noProof/>
            <w:lang w:bidi="ar-SA"/>
          </w:rPr>
          <w:t>4.7.3. When to use textpart divisions</w:t>
        </w:r>
        <w:r>
          <w:rPr>
            <w:noProof/>
            <w:webHidden/>
          </w:rPr>
          <w:tab/>
        </w:r>
        <w:r>
          <w:rPr>
            <w:noProof/>
            <w:webHidden/>
          </w:rPr>
          <w:fldChar w:fldCharType="begin"/>
        </w:r>
        <w:r>
          <w:rPr>
            <w:noProof/>
            <w:webHidden/>
          </w:rPr>
          <w:instrText xml:space="preserve"> PAGEREF _Toc242976614 \h </w:instrText>
        </w:r>
        <w:r>
          <w:rPr>
            <w:noProof/>
            <w:webHidden/>
          </w:rPr>
        </w:r>
        <w:r>
          <w:rPr>
            <w:noProof/>
            <w:webHidden/>
          </w:rPr>
          <w:fldChar w:fldCharType="separate"/>
        </w:r>
        <w:r>
          <w:rPr>
            <w:noProof/>
            <w:webHidden/>
          </w:rPr>
          <w:t>52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15" w:history="1">
        <w:r>
          <w:rPr>
            <w:rStyle w:val="Hiperhivatkozs"/>
            <w:noProof/>
            <w:lang w:bidi="ar-SA"/>
          </w:rPr>
          <w:t>4.7.4. When to use pagelike partitions</w:t>
        </w:r>
        <w:r>
          <w:rPr>
            <w:noProof/>
            <w:webHidden/>
          </w:rPr>
          <w:tab/>
        </w:r>
        <w:r>
          <w:rPr>
            <w:noProof/>
            <w:webHidden/>
          </w:rPr>
          <w:fldChar w:fldCharType="begin"/>
        </w:r>
        <w:r>
          <w:rPr>
            <w:noProof/>
            <w:webHidden/>
          </w:rPr>
          <w:instrText xml:space="preserve"> PAGEREF _Toc242976615 \h </w:instrText>
        </w:r>
        <w:r>
          <w:rPr>
            <w:noProof/>
            <w:webHidden/>
          </w:rPr>
        </w:r>
        <w:r>
          <w:rPr>
            <w:noProof/>
            <w:webHidden/>
          </w:rPr>
          <w:fldChar w:fldCharType="separate"/>
        </w:r>
        <w:r>
          <w:rPr>
            <w:noProof/>
            <w:webHidden/>
          </w:rPr>
          <w:t>54</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16" w:history="1">
        <w:r>
          <w:rPr>
            <w:rStyle w:val="Hiperhivatkozs"/>
            <w:noProof/>
            <w:lang w:bidi="ar-SA"/>
          </w:rPr>
          <w:t>4.7.5. When to use gridlike partitions</w:t>
        </w:r>
        <w:r>
          <w:rPr>
            <w:noProof/>
            <w:webHidden/>
          </w:rPr>
          <w:tab/>
        </w:r>
        <w:r>
          <w:rPr>
            <w:noProof/>
            <w:webHidden/>
          </w:rPr>
          <w:fldChar w:fldCharType="begin"/>
        </w:r>
        <w:r>
          <w:rPr>
            <w:noProof/>
            <w:webHidden/>
          </w:rPr>
          <w:instrText xml:space="preserve"> PAGEREF _Toc242976616 \h </w:instrText>
        </w:r>
        <w:r>
          <w:rPr>
            <w:noProof/>
            <w:webHidden/>
          </w:rPr>
        </w:r>
        <w:r>
          <w:rPr>
            <w:noProof/>
            <w:webHidden/>
          </w:rPr>
          <w:fldChar w:fldCharType="separate"/>
        </w:r>
        <w:r>
          <w:rPr>
            <w:noProof/>
            <w:webHidden/>
          </w:rPr>
          <w:t>58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17" w:history="1">
        <w:r>
          <w:rPr>
            <w:rStyle w:val="Hiperhivatkozs"/>
            <w:noProof/>
            <w:lang w:bidi="ar-SA"/>
          </w:rPr>
          <w:t>4.7.6. Untidy extrinsic structure</w:t>
        </w:r>
        <w:r>
          <w:rPr>
            <w:noProof/>
            <w:webHidden/>
          </w:rPr>
          <w:tab/>
        </w:r>
        <w:r>
          <w:rPr>
            <w:noProof/>
            <w:webHidden/>
          </w:rPr>
          <w:fldChar w:fldCharType="begin"/>
        </w:r>
        <w:r>
          <w:rPr>
            <w:noProof/>
            <w:webHidden/>
          </w:rPr>
          <w:instrText xml:space="preserve"> PAGEREF _Toc242976617 \h </w:instrText>
        </w:r>
        <w:r>
          <w:rPr>
            <w:noProof/>
            <w:webHidden/>
          </w:rPr>
        </w:r>
        <w:r>
          <w:rPr>
            <w:noProof/>
            <w:webHidden/>
          </w:rPr>
          <w:fldChar w:fldCharType="separate"/>
        </w:r>
        <w:r>
          <w:rPr>
            <w:noProof/>
            <w:webHidden/>
          </w:rPr>
          <w:t>62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18" w:history="1">
        <w:r>
          <w:rPr>
            <w:rStyle w:val="Hiperhivatkozs"/>
            <w:noProof/>
            <w:lang w:bidi="ar-SA"/>
          </w:rPr>
          <w:t xml:space="preserve">5.1.1. Tagging target graphemes as one </w:t>
        </w:r>
        <w:r>
          <w:rPr>
            <w:rStyle w:val="Hiperhivatkozs"/>
            <w:i/>
            <w:iCs/>
            <w:noProof/>
            <w:lang w:bidi="ar-SA"/>
          </w:rPr>
          <w:t>akṣara</w:t>
        </w:r>
        <w:r>
          <w:rPr>
            <w:noProof/>
            <w:webHidden/>
          </w:rPr>
          <w:tab/>
        </w:r>
        <w:r>
          <w:rPr>
            <w:noProof/>
            <w:webHidden/>
          </w:rPr>
          <w:fldChar w:fldCharType="begin"/>
        </w:r>
        <w:r>
          <w:rPr>
            <w:noProof/>
            <w:webHidden/>
          </w:rPr>
          <w:instrText xml:space="preserve"> PAGEREF _Toc242976618 \h </w:instrText>
        </w:r>
        <w:r>
          <w:rPr>
            <w:noProof/>
            <w:webHidden/>
          </w:rPr>
        </w:r>
        <w:r>
          <w:rPr>
            <w:noProof/>
            <w:webHidden/>
          </w:rPr>
          <w:fldChar w:fldCharType="separate"/>
        </w:r>
        <w:r>
          <w:rPr>
            <w:noProof/>
            <w:webHidden/>
          </w:rPr>
          <w:t>68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19" w:history="1">
        <w:r>
          <w:rPr>
            <w:rStyle w:val="Hiperhivatkozs"/>
            <w:noProof/>
            <w:lang w:bidi="ar-SA"/>
          </w:rPr>
          <w:t>5.1.2. Tagging parts of phonographic glyphs</w:t>
        </w:r>
        <w:r>
          <w:rPr>
            <w:noProof/>
            <w:webHidden/>
          </w:rPr>
          <w:tab/>
        </w:r>
        <w:r>
          <w:rPr>
            <w:noProof/>
            <w:webHidden/>
          </w:rPr>
          <w:fldChar w:fldCharType="begin"/>
        </w:r>
        <w:r>
          <w:rPr>
            <w:noProof/>
            <w:webHidden/>
          </w:rPr>
          <w:instrText xml:space="preserve"> PAGEREF _Toc242976619 \h </w:instrText>
        </w:r>
        <w:r>
          <w:rPr>
            <w:noProof/>
            <w:webHidden/>
          </w:rPr>
        </w:r>
        <w:r>
          <w:rPr>
            <w:noProof/>
            <w:webHidden/>
          </w:rPr>
          <w:fldChar w:fldCharType="separate"/>
        </w:r>
        <w:r>
          <w:rPr>
            <w:noProof/>
            <w:webHidden/>
          </w:rPr>
          <w:t>68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20" w:history="1">
        <w:r>
          <w:rPr>
            <w:rStyle w:val="Hiperhivatkozs"/>
            <w:noProof/>
            <w:lang w:bidi="ar-SA"/>
          </w:rPr>
          <w:t>5.1.3. Unusual spatial arrangement in conjuncts</w:t>
        </w:r>
        <w:r>
          <w:rPr>
            <w:noProof/>
            <w:webHidden/>
          </w:rPr>
          <w:tab/>
        </w:r>
        <w:r>
          <w:rPr>
            <w:noProof/>
            <w:webHidden/>
          </w:rPr>
          <w:fldChar w:fldCharType="begin"/>
        </w:r>
        <w:r>
          <w:rPr>
            <w:noProof/>
            <w:webHidden/>
          </w:rPr>
          <w:instrText xml:space="preserve"> PAGEREF _Toc242976620 \h </w:instrText>
        </w:r>
        <w:r>
          <w:rPr>
            <w:noProof/>
            <w:webHidden/>
          </w:rPr>
        </w:r>
        <w:r>
          <w:rPr>
            <w:noProof/>
            <w:webHidden/>
          </w:rPr>
          <w:fldChar w:fldCharType="separate"/>
        </w:r>
        <w:r>
          <w:rPr>
            <w:noProof/>
            <w:webHidden/>
          </w:rPr>
          <w:t>69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21" w:history="1">
        <w:r>
          <w:rPr>
            <w:rStyle w:val="Hiperhivatkozs"/>
            <w:noProof/>
            <w:lang w:bidi="ar-SA"/>
          </w:rPr>
          <w:t>5.1.4. Complex glyphs deliberately split over an intervening feature</w:t>
        </w:r>
        <w:r>
          <w:rPr>
            <w:noProof/>
            <w:webHidden/>
          </w:rPr>
          <w:tab/>
        </w:r>
        <w:r>
          <w:rPr>
            <w:noProof/>
            <w:webHidden/>
          </w:rPr>
          <w:fldChar w:fldCharType="begin"/>
        </w:r>
        <w:r>
          <w:rPr>
            <w:noProof/>
            <w:webHidden/>
          </w:rPr>
          <w:instrText xml:space="preserve"> PAGEREF _Toc242976621 \h </w:instrText>
        </w:r>
        <w:r>
          <w:rPr>
            <w:noProof/>
            <w:webHidden/>
          </w:rPr>
        </w:r>
        <w:r>
          <w:rPr>
            <w:noProof/>
            <w:webHidden/>
          </w:rPr>
          <w:fldChar w:fldCharType="separate"/>
        </w:r>
        <w:r>
          <w:rPr>
            <w:noProof/>
            <w:webHidden/>
          </w:rPr>
          <w:t>70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22" w:history="1">
        <w:r>
          <w:rPr>
            <w:rStyle w:val="Hiperhivatkozs"/>
            <w:noProof/>
            <w:lang w:bidi="ar-SA"/>
          </w:rPr>
          <w:t>5.1.5. Phonographic glyphs in a different function</w:t>
        </w:r>
        <w:r>
          <w:rPr>
            <w:noProof/>
            <w:webHidden/>
          </w:rPr>
          <w:tab/>
        </w:r>
        <w:r>
          <w:rPr>
            <w:noProof/>
            <w:webHidden/>
          </w:rPr>
          <w:fldChar w:fldCharType="begin"/>
        </w:r>
        <w:r>
          <w:rPr>
            <w:noProof/>
            <w:webHidden/>
          </w:rPr>
          <w:instrText xml:space="preserve"> PAGEREF _Toc242976622 \h </w:instrText>
        </w:r>
        <w:r>
          <w:rPr>
            <w:noProof/>
            <w:webHidden/>
          </w:rPr>
        </w:r>
        <w:r>
          <w:rPr>
            <w:noProof/>
            <w:webHidden/>
          </w:rPr>
          <w:fldChar w:fldCharType="separate"/>
        </w:r>
        <w:r>
          <w:rPr>
            <w:noProof/>
            <w:webHidden/>
          </w:rPr>
          <w:t>72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23" w:history="1">
        <w:r>
          <w:rPr>
            <w:rStyle w:val="Hiperhivatkozs"/>
            <w:noProof/>
            <w:lang w:bidi="ar-SA"/>
          </w:rPr>
          <w:t>5.2.1. Glyph encoding for numerals</w:t>
        </w:r>
        <w:r>
          <w:rPr>
            <w:noProof/>
            <w:webHidden/>
          </w:rPr>
          <w:tab/>
        </w:r>
        <w:r>
          <w:rPr>
            <w:noProof/>
            <w:webHidden/>
          </w:rPr>
          <w:fldChar w:fldCharType="begin"/>
        </w:r>
        <w:r>
          <w:rPr>
            <w:noProof/>
            <w:webHidden/>
          </w:rPr>
          <w:instrText xml:space="preserve"> PAGEREF _Toc242976623 \h </w:instrText>
        </w:r>
        <w:r>
          <w:rPr>
            <w:noProof/>
            <w:webHidden/>
          </w:rPr>
        </w:r>
        <w:r>
          <w:rPr>
            <w:noProof/>
            <w:webHidden/>
          </w:rPr>
          <w:fldChar w:fldCharType="separate"/>
        </w:r>
        <w:r>
          <w:rPr>
            <w:noProof/>
            <w:webHidden/>
          </w:rPr>
          <w:t>72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24" w:history="1">
        <w:r>
          <w:rPr>
            <w:rStyle w:val="Hiperhivatkozs"/>
            <w:noProof/>
            <w:lang w:bidi="ar-SA"/>
          </w:rPr>
          <w:t>5.2.2. Numeral signs and their context</w:t>
        </w:r>
        <w:r>
          <w:rPr>
            <w:noProof/>
            <w:webHidden/>
          </w:rPr>
          <w:tab/>
        </w:r>
        <w:r>
          <w:rPr>
            <w:noProof/>
            <w:webHidden/>
          </w:rPr>
          <w:fldChar w:fldCharType="begin"/>
        </w:r>
        <w:r>
          <w:rPr>
            <w:noProof/>
            <w:webHidden/>
          </w:rPr>
          <w:instrText xml:space="preserve"> PAGEREF _Toc242976624 \h </w:instrText>
        </w:r>
        <w:r>
          <w:rPr>
            <w:noProof/>
            <w:webHidden/>
          </w:rPr>
        </w:r>
        <w:r>
          <w:rPr>
            <w:noProof/>
            <w:webHidden/>
          </w:rPr>
          <w:fldChar w:fldCharType="separate"/>
        </w:r>
        <w:r>
          <w:rPr>
            <w:noProof/>
            <w:webHidden/>
          </w:rPr>
          <w:t>73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25" w:history="1">
        <w:r>
          <w:rPr>
            <w:rStyle w:val="Hiperhivatkozs"/>
            <w:noProof/>
            <w:lang w:bidi="ar-SA"/>
          </w:rPr>
          <w:t>5.2.3. Numeral glyphs in a non-numeral function</w:t>
        </w:r>
        <w:r>
          <w:rPr>
            <w:noProof/>
            <w:webHidden/>
          </w:rPr>
          <w:tab/>
        </w:r>
        <w:r>
          <w:rPr>
            <w:noProof/>
            <w:webHidden/>
          </w:rPr>
          <w:fldChar w:fldCharType="begin"/>
        </w:r>
        <w:r>
          <w:rPr>
            <w:noProof/>
            <w:webHidden/>
          </w:rPr>
          <w:instrText xml:space="preserve"> PAGEREF _Toc242976625 \h </w:instrText>
        </w:r>
        <w:r>
          <w:rPr>
            <w:noProof/>
            <w:webHidden/>
          </w:rPr>
        </w:r>
        <w:r>
          <w:rPr>
            <w:noProof/>
            <w:webHidden/>
          </w:rPr>
          <w:fldChar w:fldCharType="separate"/>
        </w:r>
        <w:r>
          <w:rPr>
            <w:noProof/>
            <w:webHidden/>
          </w:rPr>
          <w:t>73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26" w:history="1">
        <w:r>
          <w:rPr>
            <w:rStyle w:val="Hiperhivatkozs"/>
            <w:noProof/>
            <w:lang w:bidi="ar-SA"/>
          </w:rPr>
          <w:t>5.3.1. Representing peripheral graphemes in a digital edition</w:t>
        </w:r>
        <w:r>
          <w:rPr>
            <w:noProof/>
            <w:webHidden/>
          </w:rPr>
          <w:tab/>
        </w:r>
        <w:r>
          <w:rPr>
            <w:noProof/>
            <w:webHidden/>
          </w:rPr>
          <w:fldChar w:fldCharType="begin"/>
        </w:r>
        <w:r>
          <w:rPr>
            <w:noProof/>
            <w:webHidden/>
          </w:rPr>
          <w:instrText xml:space="preserve"> PAGEREF _Toc242976626 \h </w:instrText>
        </w:r>
        <w:r>
          <w:rPr>
            <w:noProof/>
            <w:webHidden/>
          </w:rPr>
        </w:r>
        <w:r>
          <w:rPr>
            <w:noProof/>
            <w:webHidden/>
          </w:rPr>
          <w:fldChar w:fldCharType="separate"/>
        </w:r>
        <w:r>
          <w:rPr>
            <w:noProof/>
            <w:webHidden/>
          </w:rPr>
          <w:t>74</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27" w:history="1">
        <w:r>
          <w:rPr>
            <w:rStyle w:val="Hiperhivatkozs"/>
            <w:noProof/>
            <w:lang w:bidi="ar-SA"/>
          </w:rPr>
          <w:t>5.3.2. Classifying symbols by function</w:t>
        </w:r>
        <w:r>
          <w:rPr>
            <w:noProof/>
            <w:webHidden/>
          </w:rPr>
          <w:tab/>
        </w:r>
        <w:r>
          <w:rPr>
            <w:noProof/>
            <w:webHidden/>
          </w:rPr>
          <w:fldChar w:fldCharType="begin"/>
        </w:r>
        <w:r>
          <w:rPr>
            <w:noProof/>
            <w:webHidden/>
          </w:rPr>
          <w:instrText xml:space="preserve"> PAGEREF _Toc242976627 \h </w:instrText>
        </w:r>
        <w:r>
          <w:rPr>
            <w:noProof/>
            <w:webHidden/>
          </w:rPr>
        </w:r>
        <w:r>
          <w:rPr>
            <w:noProof/>
            <w:webHidden/>
          </w:rPr>
          <w:fldChar w:fldCharType="separate"/>
        </w:r>
        <w:r>
          <w:rPr>
            <w:noProof/>
            <w:webHidden/>
          </w:rPr>
          <w:t>75</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28" w:history="1">
        <w:r>
          <w:rPr>
            <w:rStyle w:val="Hiperhivatkozs"/>
            <w:noProof/>
            <w:lang w:bidi="ar-SA"/>
          </w:rPr>
          <w:t>5.3.3. Transliterating peripheral graphemes</w:t>
        </w:r>
        <w:r>
          <w:rPr>
            <w:noProof/>
            <w:webHidden/>
          </w:rPr>
          <w:tab/>
        </w:r>
        <w:r>
          <w:rPr>
            <w:noProof/>
            <w:webHidden/>
          </w:rPr>
          <w:fldChar w:fldCharType="begin"/>
        </w:r>
        <w:r>
          <w:rPr>
            <w:noProof/>
            <w:webHidden/>
          </w:rPr>
          <w:instrText xml:space="preserve"> PAGEREF _Toc242976628 \h </w:instrText>
        </w:r>
        <w:r>
          <w:rPr>
            <w:noProof/>
            <w:webHidden/>
          </w:rPr>
        </w:r>
        <w:r>
          <w:rPr>
            <w:noProof/>
            <w:webHidden/>
          </w:rPr>
          <w:fldChar w:fldCharType="separate"/>
        </w:r>
        <w:r>
          <w:rPr>
            <w:noProof/>
            <w:webHidden/>
          </w:rPr>
          <w:t>76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29" w:history="1">
        <w:r>
          <w:rPr>
            <w:rStyle w:val="Hiperhivatkozs"/>
            <w:noProof/>
            <w:lang w:bidi="ar-SA"/>
          </w:rPr>
          <w:t>5.3.4. Glyph encoding for peripheral graphemes</w:t>
        </w:r>
        <w:r>
          <w:rPr>
            <w:noProof/>
            <w:webHidden/>
          </w:rPr>
          <w:tab/>
        </w:r>
        <w:r>
          <w:rPr>
            <w:noProof/>
            <w:webHidden/>
          </w:rPr>
          <w:fldChar w:fldCharType="begin"/>
        </w:r>
        <w:r>
          <w:rPr>
            <w:noProof/>
            <w:webHidden/>
          </w:rPr>
          <w:instrText xml:space="preserve"> PAGEREF _Toc242976629 \h </w:instrText>
        </w:r>
        <w:r>
          <w:rPr>
            <w:noProof/>
            <w:webHidden/>
          </w:rPr>
        </w:r>
        <w:r>
          <w:rPr>
            <w:noProof/>
            <w:webHidden/>
          </w:rPr>
          <w:fldChar w:fldCharType="separate"/>
        </w:r>
        <w:r>
          <w:rPr>
            <w:noProof/>
            <w:webHidden/>
          </w:rPr>
          <w:t>76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30" w:history="1">
        <w:r>
          <w:rPr>
            <w:rStyle w:val="Hiperhivatkozs"/>
            <w:noProof/>
            <w:lang w:bidi="ar-SA"/>
          </w:rPr>
          <w:t>5.3.5. Multiple peripheral graphemes</w:t>
        </w:r>
        <w:r>
          <w:rPr>
            <w:noProof/>
            <w:webHidden/>
          </w:rPr>
          <w:tab/>
        </w:r>
        <w:r>
          <w:rPr>
            <w:noProof/>
            <w:webHidden/>
          </w:rPr>
          <w:fldChar w:fldCharType="begin"/>
        </w:r>
        <w:r>
          <w:rPr>
            <w:noProof/>
            <w:webHidden/>
          </w:rPr>
          <w:instrText xml:space="preserve"> PAGEREF _Toc242976630 \h </w:instrText>
        </w:r>
        <w:r>
          <w:rPr>
            <w:noProof/>
            <w:webHidden/>
          </w:rPr>
        </w:r>
        <w:r>
          <w:rPr>
            <w:noProof/>
            <w:webHidden/>
          </w:rPr>
          <w:fldChar w:fldCharType="separate"/>
        </w:r>
        <w:r>
          <w:rPr>
            <w:noProof/>
            <w:webHidden/>
          </w:rPr>
          <w:t>80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31" w:history="1">
        <w:r>
          <w:rPr>
            <w:rStyle w:val="Hiperhivatkozs"/>
            <w:noProof/>
            <w:lang w:bidi="ar-SA"/>
          </w:rPr>
          <w:t>5.3.6. Peripheral graphemes and their context</w:t>
        </w:r>
        <w:r>
          <w:rPr>
            <w:noProof/>
            <w:webHidden/>
          </w:rPr>
          <w:tab/>
        </w:r>
        <w:r>
          <w:rPr>
            <w:noProof/>
            <w:webHidden/>
          </w:rPr>
          <w:fldChar w:fldCharType="begin"/>
        </w:r>
        <w:r>
          <w:rPr>
            <w:noProof/>
            <w:webHidden/>
          </w:rPr>
          <w:instrText xml:space="preserve"> PAGEREF _Toc242976631 \h </w:instrText>
        </w:r>
        <w:r>
          <w:rPr>
            <w:noProof/>
            <w:webHidden/>
          </w:rPr>
        </w:r>
        <w:r>
          <w:rPr>
            <w:noProof/>
            <w:webHidden/>
          </w:rPr>
          <w:fldChar w:fldCharType="separate"/>
        </w:r>
        <w:r>
          <w:rPr>
            <w:noProof/>
            <w:webHidden/>
          </w:rPr>
          <w:t>80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32" w:history="1">
        <w:r>
          <w:rPr>
            <w:rStyle w:val="Hiperhivatkozs"/>
            <w:noProof/>
            <w:lang w:bidi="ar-SA"/>
          </w:rPr>
          <w:t>5.4.1. Space for semantic segmentation</w:t>
        </w:r>
        <w:r>
          <w:rPr>
            <w:noProof/>
            <w:webHidden/>
          </w:rPr>
          <w:tab/>
        </w:r>
        <w:r>
          <w:rPr>
            <w:noProof/>
            <w:webHidden/>
          </w:rPr>
          <w:fldChar w:fldCharType="begin"/>
        </w:r>
        <w:r>
          <w:rPr>
            <w:noProof/>
            <w:webHidden/>
          </w:rPr>
          <w:instrText xml:space="preserve"> PAGEREF _Toc242976632 \h </w:instrText>
        </w:r>
        <w:r>
          <w:rPr>
            <w:noProof/>
            <w:webHidden/>
          </w:rPr>
        </w:r>
        <w:r>
          <w:rPr>
            <w:noProof/>
            <w:webHidden/>
          </w:rPr>
          <w:fldChar w:fldCharType="separate"/>
        </w:r>
        <w:r>
          <w:rPr>
            <w:noProof/>
            <w:webHidden/>
          </w:rPr>
          <w:t>81</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33" w:history="1">
        <w:r>
          <w:rPr>
            <w:rStyle w:val="Hiperhivatkozs"/>
            <w:noProof/>
            <w:lang w:bidi="ar-SA"/>
          </w:rPr>
          <w:t>5.4.2. Other kinds of space</w:t>
        </w:r>
        <w:r>
          <w:rPr>
            <w:noProof/>
            <w:webHidden/>
          </w:rPr>
          <w:tab/>
        </w:r>
        <w:r>
          <w:rPr>
            <w:noProof/>
            <w:webHidden/>
          </w:rPr>
          <w:fldChar w:fldCharType="begin"/>
        </w:r>
        <w:r>
          <w:rPr>
            <w:noProof/>
            <w:webHidden/>
          </w:rPr>
          <w:instrText xml:space="preserve"> PAGEREF _Toc242976633 \h </w:instrText>
        </w:r>
        <w:r>
          <w:rPr>
            <w:noProof/>
            <w:webHidden/>
          </w:rPr>
        </w:r>
        <w:r>
          <w:rPr>
            <w:noProof/>
            <w:webHidden/>
          </w:rPr>
          <w:fldChar w:fldCharType="separate"/>
        </w:r>
        <w:r>
          <w:rPr>
            <w:noProof/>
            <w:webHidden/>
          </w:rPr>
          <w:t>83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34" w:history="1">
        <w:r>
          <w:rPr>
            <w:rStyle w:val="Hiperhivatkozs"/>
            <w:noProof/>
            <w:lang w:bidi="ar-SA"/>
          </w:rPr>
          <w:t>5.4.3. The size of spaces</w:t>
        </w:r>
        <w:r>
          <w:rPr>
            <w:noProof/>
            <w:webHidden/>
          </w:rPr>
          <w:tab/>
        </w:r>
        <w:r>
          <w:rPr>
            <w:noProof/>
            <w:webHidden/>
          </w:rPr>
          <w:fldChar w:fldCharType="begin"/>
        </w:r>
        <w:r>
          <w:rPr>
            <w:noProof/>
            <w:webHidden/>
          </w:rPr>
          <w:instrText xml:space="preserve"> PAGEREF _Toc242976634 \h </w:instrText>
        </w:r>
        <w:r>
          <w:rPr>
            <w:noProof/>
            <w:webHidden/>
          </w:rPr>
        </w:r>
        <w:r>
          <w:rPr>
            <w:noProof/>
            <w:webHidden/>
          </w:rPr>
          <w:fldChar w:fldCharType="separate"/>
        </w:r>
        <w:r>
          <w:rPr>
            <w:noProof/>
            <w:webHidden/>
          </w:rPr>
          <w:t>86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35" w:history="1">
        <w:r>
          <w:rPr>
            <w:rStyle w:val="Hiperhivatkozs"/>
            <w:noProof/>
            <w:lang w:bidi="ar-SA"/>
          </w:rPr>
          <w:t>5.4.4. Spaces and their context</w:t>
        </w:r>
        <w:r>
          <w:rPr>
            <w:noProof/>
            <w:webHidden/>
          </w:rPr>
          <w:tab/>
        </w:r>
        <w:r>
          <w:rPr>
            <w:noProof/>
            <w:webHidden/>
          </w:rPr>
          <w:fldChar w:fldCharType="begin"/>
        </w:r>
        <w:r>
          <w:rPr>
            <w:noProof/>
            <w:webHidden/>
          </w:rPr>
          <w:instrText xml:space="preserve"> PAGEREF _Toc242976635 \h </w:instrText>
        </w:r>
        <w:r>
          <w:rPr>
            <w:noProof/>
            <w:webHidden/>
          </w:rPr>
        </w:r>
        <w:r>
          <w:rPr>
            <w:noProof/>
            <w:webHidden/>
          </w:rPr>
          <w:fldChar w:fldCharType="separate"/>
        </w:r>
        <w:r>
          <w:rPr>
            <w:noProof/>
            <w:webHidden/>
          </w:rPr>
          <w:t>86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36" w:history="1">
        <w:r>
          <w:rPr>
            <w:rStyle w:val="Hiperhivatkozs"/>
            <w:noProof/>
            <w:lang w:bidi="ar-SA"/>
          </w:rPr>
          <w:t>5.5.1. Scribal deletion</w:t>
        </w:r>
        <w:r>
          <w:rPr>
            <w:noProof/>
            <w:webHidden/>
          </w:rPr>
          <w:tab/>
        </w:r>
        <w:r>
          <w:rPr>
            <w:noProof/>
            <w:webHidden/>
          </w:rPr>
          <w:fldChar w:fldCharType="begin"/>
        </w:r>
        <w:r>
          <w:rPr>
            <w:noProof/>
            <w:webHidden/>
          </w:rPr>
          <w:instrText xml:space="preserve"> PAGEREF _Toc242976636 \h </w:instrText>
        </w:r>
        <w:r>
          <w:rPr>
            <w:noProof/>
            <w:webHidden/>
          </w:rPr>
        </w:r>
        <w:r>
          <w:rPr>
            <w:noProof/>
            <w:webHidden/>
          </w:rPr>
          <w:fldChar w:fldCharType="separate"/>
        </w:r>
        <w:r>
          <w:rPr>
            <w:noProof/>
            <w:webHidden/>
          </w:rPr>
          <w:t>87</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37" w:history="1">
        <w:r>
          <w:rPr>
            <w:rStyle w:val="Hiperhivatkozs"/>
            <w:noProof/>
            <w:lang w:bidi="ar-SA"/>
          </w:rPr>
          <w:t>5.5.2. Scribal addition</w:t>
        </w:r>
        <w:r>
          <w:rPr>
            <w:noProof/>
            <w:webHidden/>
          </w:rPr>
          <w:tab/>
        </w:r>
        <w:r>
          <w:rPr>
            <w:noProof/>
            <w:webHidden/>
          </w:rPr>
          <w:fldChar w:fldCharType="begin"/>
        </w:r>
        <w:r>
          <w:rPr>
            <w:noProof/>
            <w:webHidden/>
          </w:rPr>
          <w:instrText xml:space="preserve"> PAGEREF _Toc242976637 \h </w:instrText>
        </w:r>
        <w:r>
          <w:rPr>
            <w:noProof/>
            <w:webHidden/>
          </w:rPr>
        </w:r>
        <w:r>
          <w:rPr>
            <w:noProof/>
            <w:webHidden/>
          </w:rPr>
          <w:fldChar w:fldCharType="separate"/>
        </w:r>
        <w:r>
          <w:rPr>
            <w:noProof/>
            <w:webHidden/>
          </w:rPr>
          <w:t>87</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38" w:history="1">
        <w:r>
          <w:rPr>
            <w:rStyle w:val="Hiperhivatkozs"/>
            <w:noProof/>
            <w:lang w:bidi="ar-SA"/>
          </w:rPr>
          <w:t>5.5.3. Scribal correction</w:t>
        </w:r>
        <w:r>
          <w:rPr>
            <w:noProof/>
            <w:webHidden/>
          </w:rPr>
          <w:tab/>
        </w:r>
        <w:r>
          <w:rPr>
            <w:noProof/>
            <w:webHidden/>
          </w:rPr>
          <w:fldChar w:fldCharType="begin"/>
        </w:r>
        <w:r>
          <w:rPr>
            <w:noProof/>
            <w:webHidden/>
          </w:rPr>
          <w:instrText xml:space="preserve"> PAGEREF _Toc242976638 \h </w:instrText>
        </w:r>
        <w:r>
          <w:rPr>
            <w:noProof/>
            <w:webHidden/>
          </w:rPr>
        </w:r>
        <w:r>
          <w:rPr>
            <w:noProof/>
            <w:webHidden/>
          </w:rPr>
          <w:fldChar w:fldCharType="separate"/>
        </w:r>
        <w:r>
          <w:rPr>
            <w:noProof/>
            <w:webHidden/>
          </w:rPr>
          <w:t>89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39" w:history="1">
        <w:r>
          <w:rPr>
            <w:rStyle w:val="Hiperhivatkozs"/>
            <w:noProof/>
            <w:lang w:bidi="ar-SA"/>
          </w:rPr>
          <w:t>5.5.4. Good practice in encoding scribal intervention</w:t>
        </w:r>
        <w:r>
          <w:rPr>
            <w:noProof/>
            <w:webHidden/>
          </w:rPr>
          <w:tab/>
        </w:r>
        <w:r>
          <w:rPr>
            <w:noProof/>
            <w:webHidden/>
          </w:rPr>
          <w:fldChar w:fldCharType="begin"/>
        </w:r>
        <w:r>
          <w:rPr>
            <w:noProof/>
            <w:webHidden/>
          </w:rPr>
          <w:instrText xml:space="preserve"> PAGEREF _Toc242976639 \h </w:instrText>
        </w:r>
        <w:r>
          <w:rPr>
            <w:noProof/>
            <w:webHidden/>
          </w:rPr>
        </w:r>
        <w:r>
          <w:rPr>
            <w:noProof/>
            <w:webHidden/>
          </w:rPr>
          <w:fldChar w:fldCharType="separate"/>
        </w:r>
        <w:r>
          <w:rPr>
            <w:noProof/>
            <w:webHidden/>
          </w:rPr>
          <w:t>91</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40" w:history="1">
        <w:r>
          <w:rPr>
            <w:rStyle w:val="Hiperhivatkozs"/>
            <w:noProof/>
            <w:lang w:bidi="ar-SA"/>
          </w:rPr>
          <w:t>6.3.1. Encoding unclear text</w:t>
        </w:r>
        <w:r>
          <w:rPr>
            <w:noProof/>
            <w:webHidden/>
          </w:rPr>
          <w:tab/>
        </w:r>
        <w:r>
          <w:rPr>
            <w:noProof/>
            <w:webHidden/>
          </w:rPr>
          <w:fldChar w:fldCharType="begin"/>
        </w:r>
        <w:r>
          <w:rPr>
            <w:noProof/>
            <w:webHidden/>
          </w:rPr>
          <w:instrText xml:space="preserve"> PAGEREF _Toc242976640 \h </w:instrText>
        </w:r>
        <w:r>
          <w:rPr>
            <w:noProof/>
            <w:webHidden/>
          </w:rPr>
        </w:r>
        <w:r>
          <w:rPr>
            <w:noProof/>
            <w:webHidden/>
          </w:rPr>
          <w:fldChar w:fldCharType="separate"/>
        </w:r>
        <w:r>
          <w:rPr>
            <w:noProof/>
            <w:webHidden/>
          </w:rPr>
          <w:t>93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41" w:history="1">
        <w:r>
          <w:rPr>
            <w:rStyle w:val="Hiperhivatkozs"/>
            <w:noProof/>
            <w:lang w:bidi="ar-SA"/>
          </w:rPr>
          <w:t>6.3.2. Encoding ambivalent text</w:t>
        </w:r>
        <w:r>
          <w:rPr>
            <w:noProof/>
            <w:webHidden/>
          </w:rPr>
          <w:tab/>
        </w:r>
        <w:r>
          <w:rPr>
            <w:noProof/>
            <w:webHidden/>
          </w:rPr>
          <w:fldChar w:fldCharType="begin"/>
        </w:r>
        <w:r>
          <w:rPr>
            <w:noProof/>
            <w:webHidden/>
          </w:rPr>
          <w:instrText xml:space="preserve"> PAGEREF _Toc242976641 \h </w:instrText>
        </w:r>
        <w:r>
          <w:rPr>
            <w:noProof/>
            <w:webHidden/>
          </w:rPr>
        </w:r>
        <w:r>
          <w:rPr>
            <w:noProof/>
            <w:webHidden/>
          </w:rPr>
          <w:fldChar w:fldCharType="separate"/>
        </w:r>
        <w:r>
          <w:rPr>
            <w:noProof/>
            <w:webHidden/>
          </w:rPr>
          <w:t>95</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42" w:history="1">
        <w:r>
          <w:rPr>
            <w:rStyle w:val="Hiperhivatkozs"/>
            <w:noProof/>
            <w:lang w:bidi="ar-SA"/>
          </w:rPr>
          <w:t>6.3.3. Good practice in encoding unclear readings</w:t>
        </w:r>
        <w:r>
          <w:rPr>
            <w:noProof/>
            <w:webHidden/>
          </w:rPr>
          <w:tab/>
        </w:r>
        <w:r>
          <w:rPr>
            <w:noProof/>
            <w:webHidden/>
          </w:rPr>
          <w:fldChar w:fldCharType="begin"/>
        </w:r>
        <w:r>
          <w:rPr>
            <w:noProof/>
            <w:webHidden/>
          </w:rPr>
          <w:instrText xml:space="preserve"> PAGEREF _Toc242976642 \h </w:instrText>
        </w:r>
        <w:r>
          <w:rPr>
            <w:noProof/>
            <w:webHidden/>
          </w:rPr>
        </w:r>
        <w:r>
          <w:rPr>
            <w:noProof/>
            <w:webHidden/>
          </w:rPr>
          <w:fldChar w:fldCharType="separate"/>
        </w:r>
        <w:r>
          <w:rPr>
            <w:noProof/>
            <w:webHidden/>
          </w:rPr>
          <w:t>96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43" w:history="1">
        <w:r>
          <w:rPr>
            <w:rStyle w:val="Hiperhivatkozs"/>
            <w:noProof/>
            <w:lang w:bidi="ar-SA"/>
          </w:rPr>
          <w:t>6.4.1. The reason for a restoration</w:t>
        </w:r>
        <w:r>
          <w:rPr>
            <w:noProof/>
            <w:webHidden/>
          </w:rPr>
          <w:tab/>
        </w:r>
        <w:r>
          <w:rPr>
            <w:noProof/>
            <w:webHidden/>
          </w:rPr>
          <w:fldChar w:fldCharType="begin"/>
        </w:r>
        <w:r>
          <w:rPr>
            <w:noProof/>
            <w:webHidden/>
          </w:rPr>
          <w:instrText xml:space="preserve"> PAGEREF _Toc242976643 \h </w:instrText>
        </w:r>
        <w:r>
          <w:rPr>
            <w:noProof/>
            <w:webHidden/>
          </w:rPr>
        </w:r>
        <w:r>
          <w:rPr>
            <w:noProof/>
            <w:webHidden/>
          </w:rPr>
          <w:fldChar w:fldCharType="separate"/>
        </w:r>
        <w:r>
          <w:rPr>
            <w:noProof/>
            <w:webHidden/>
          </w:rPr>
          <w:t>97</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44" w:history="1">
        <w:r>
          <w:rPr>
            <w:rStyle w:val="Hiperhivatkozs"/>
            <w:noProof/>
            <w:lang w:bidi="ar-SA"/>
          </w:rPr>
          <w:t>6.4.2. Tentative restoration</w:t>
        </w:r>
        <w:r>
          <w:rPr>
            <w:noProof/>
            <w:webHidden/>
          </w:rPr>
          <w:tab/>
        </w:r>
        <w:r>
          <w:rPr>
            <w:noProof/>
            <w:webHidden/>
          </w:rPr>
          <w:fldChar w:fldCharType="begin"/>
        </w:r>
        <w:r>
          <w:rPr>
            <w:noProof/>
            <w:webHidden/>
          </w:rPr>
          <w:instrText xml:space="preserve"> PAGEREF _Toc242976644 \h </w:instrText>
        </w:r>
        <w:r>
          <w:rPr>
            <w:noProof/>
            <w:webHidden/>
          </w:rPr>
        </w:r>
        <w:r>
          <w:rPr>
            <w:noProof/>
            <w:webHidden/>
          </w:rPr>
          <w:fldChar w:fldCharType="separate"/>
        </w:r>
        <w:r>
          <w:rPr>
            <w:noProof/>
            <w:webHidden/>
          </w:rPr>
          <w:t>98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45" w:history="1">
        <w:r>
          <w:rPr>
            <w:rStyle w:val="Hiperhivatkozs"/>
            <w:noProof/>
            <w:lang w:bidi="ar-SA"/>
          </w:rPr>
          <w:t>6.4.3. The basis of restoration</w:t>
        </w:r>
        <w:r>
          <w:rPr>
            <w:noProof/>
            <w:webHidden/>
          </w:rPr>
          <w:tab/>
        </w:r>
        <w:r>
          <w:rPr>
            <w:noProof/>
            <w:webHidden/>
          </w:rPr>
          <w:fldChar w:fldCharType="begin"/>
        </w:r>
        <w:r>
          <w:rPr>
            <w:noProof/>
            <w:webHidden/>
          </w:rPr>
          <w:instrText xml:space="preserve"> PAGEREF _Toc242976645 \h </w:instrText>
        </w:r>
        <w:r>
          <w:rPr>
            <w:noProof/>
            <w:webHidden/>
          </w:rPr>
        </w:r>
        <w:r>
          <w:rPr>
            <w:noProof/>
            <w:webHidden/>
          </w:rPr>
          <w:fldChar w:fldCharType="separate"/>
        </w:r>
        <w:r>
          <w:rPr>
            <w:noProof/>
            <w:webHidden/>
          </w:rPr>
          <w:t>98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46" w:history="1">
        <w:r>
          <w:rPr>
            <w:rStyle w:val="Hiperhivatkozs"/>
            <w:noProof/>
            <w:lang w:bidi="ar-SA"/>
          </w:rPr>
          <w:t>6.5.1. Encoding lacunae</w:t>
        </w:r>
        <w:r>
          <w:rPr>
            <w:noProof/>
            <w:webHidden/>
          </w:rPr>
          <w:tab/>
        </w:r>
        <w:r>
          <w:rPr>
            <w:noProof/>
            <w:webHidden/>
          </w:rPr>
          <w:fldChar w:fldCharType="begin"/>
        </w:r>
        <w:r>
          <w:rPr>
            <w:noProof/>
            <w:webHidden/>
          </w:rPr>
          <w:instrText xml:space="preserve"> PAGEREF _Toc242976646 \h </w:instrText>
        </w:r>
        <w:r>
          <w:rPr>
            <w:noProof/>
            <w:webHidden/>
          </w:rPr>
        </w:r>
        <w:r>
          <w:rPr>
            <w:noProof/>
            <w:webHidden/>
          </w:rPr>
          <w:fldChar w:fldCharType="separate"/>
        </w:r>
        <w:r>
          <w:rPr>
            <w:noProof/>
            <w:webHidden/>
          </w:rPr>
          <w:t>98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47" w:history="1">
        <w:r>
          <w:rPr>
            <w:rStyle w:val="Hiperhivatkozs"/>
            <w:noProof/>
            <w:lang w:bidi="ar-SA"/>
          </w:rPr>
          <w:t>6.5.2. Managing inline lacunae</w:t>
        </w:r>
        <w:r>
          <w:rPr>
            <w:noProof/>
            <w:webHidden/>
          </w:rPr>
          <w:tab/>
        </w:r>
        <w:r>
          <w:rPr>
            <w:noProof/>
            <w:webHidden/>
          </w:rPr>
          <w:fldChar w:fldCharType="begin"/>
        </w:r>
        <w:r>
          <w:rPr>
            <w:noProof/>
            <w:webHidden/>
          </w:rPr>
          <w:instrText xml:space="preserve"> PAGEREF _Toc242976647 \h </w:instrText>
        </w:r>
        <w:r>
          <w:rPr>
            <w:noProof/>
            <w:webHidden/>
          </w:rPr>
        </w:r>
        <w:r>
          <w:rPr>
            <w:noProof/>
            <w:webHidden/>
          </w:rPr>
          <w:fldChar w:fldCharType="separate"/>
        </w:r>
        <w:r>
          <w:rPr>
            <w:noProof/>
            <w:webHidden/>
          </w:rPr>
          <w:t>100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48" w:history="1">
        <w:r>
          <w:rPr>
            <w:rStyle w:val="Hiperhivatkozs"/>
            <w:noProof/>
            <w:lang w:bidi="ar-SA"/>
          </w:rPr>
          <w:t>6.5.3. Managing line-level lacunae</w:t>
        </w:r>
        <w:r>
          <w:rPr>
            <w:noProof/>
            <w:webHidden/>
          </w:rPr>
          <w:tab/>
        </w:r>
        <w:r>
          <w:rPr>
            <w:noProof/>
            <w:webHidden/>
          </w:rPr>
          <w:fldChar w:fldCharType="begin"/>
        </w:r>
        <w:r>
          <w:rPr>
            <w:noProof/>
            <w:webHidden/>
          </w:rPr>
          <w:instrText xml:space="preserve"> PAGEREF _Toc242976648 \h </w:instrText>
        </w:r>
        <w:r>
          <w:rPr>
            <w:noProof/>
            <w:webHidden/>
          </w:rPr>
        </w:r>
        <w:r>
          <w:rPr>
            <w:noProof/>
            <w:webHidden/>
          </w:rPr>
          <w:fldChar w:fldCharType="separate"/>
        </w:r>
        <w:r>
          <w:rPr>
            <w:noProof/>
            <w:webHidden/>
          </w:rPr>
          <w:t>104</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49" w:history="1">
        <w:r>
          <w:rPr>
            <w:rStyle w:val="Hiperhivatkozs"/>
            <w:noProof/>
            <w:lang w:bidi="ar-SA"/>
          </w:rPr>
          <w:t>6.5.4. Managing massive lacunae</w:t>
        </w:r>
        <w:r>
          <w:rPr>
            <w:noProof/>
            <w:webHidden/>
          </w:rPr>
          <w:tab/>
        </w:r>
        <w:r>
          <w:rPr>
            <w:noProof/>
            <w:webHidden/>
          </w:rPr>
          <w:fldChar w:fldCharType="begin"/>
        </w:r>
        <w:r>
          <w:rPr>
            <w:noProof/>
            <w:webHidden/>
          </w:rPr>
          <w:instrText xml:space="preserve"> PAGEREF _Toc242976649 \h </w:instrText>
        </w:r>
        <w:r>
          <w:rPr>
            <w:noProof/>
            <w:webHidden/>
          </w:rPr>
        </w:r>
        <w:r>
          <w:rPr>
            <w:noProof/>
            <w:webHidden/>
          </w:rPr>
          <w:fldChar w:fldCharType="separate"/>
        </w:r>
        <w:r>
          <w:rPr>
            <w:noProof/>
            <w:webHidden/>
          </w:rPr>
          <w:t>106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50" w:history="1">
        <w:r>
          <w:rPr>
            <w:rStyle w:val="Hiperhivatkozs"/>
            <w:noProof/>
            <w:lang w:bidi="ar-SA"/>
          </w:rPr>
          <w:t>6.5.5. Managing incomplete copperplate sets</w:t>
        </w:r>
        <w:r>
          <w:rPr>
            <w:noProof/>
            <w:webHidden/>
          </w:rPr>
          <w:tab/>
        </w:r>
        <w:r>
          <w:rPr>
            <w:noProof/>
            <w:webHidden/>
          </w:rPr>
          <w:fldChar w:fldCharType="begin"/>
        </w:r>
        <w:r>
          <w:rPr>
            <w:noProof/>
            <w:webHidden/>
          </w:rPr>
          <w:instrText xml:space="preserve"> PAGEREF _Toc242976650 \h </w:instrText>
        </w:r>
        <w:r>
          <w:rPr>
            <w:noProof/>
            <w:webHidden/>
          </w:rPr>
        </w:r>
        <w:r>
          <w:rPr>
            <w:noProof/>
            <w:webHidden/>
          </w:rPr>
          <w:fldChar w:fldCharType="separate"/>
        </w:r>
        <w:r>
          <w:rPr>
            <w:noProof/>
            <w:webHidden/>
          </w:rPr>
          <w:t>110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51" w:history="1">
        <w:r>
          <w:rPr>
            <w:rStyle w:val="Hiperhivatkozs"/>
            <w:noProof/>
            <w:lang w:bidi="ar-SA"/>
          </w:rPr>
          <w:t>7.1.1. Erroneous readings</w:t>
        </w:r>
        <w:r>
          <w:rPr>
            <w:noProof/>
            <w:webHidden/>
          </w:rPr>
          <w:tab/>
        </w:r>
        <w:r>
          <w:rPr>
            <w:noProof/>
            <w:webHidden/>
          </w:rPr>
          <w:fldChar w:fldCharType="begin"/>
        </w:r>
        <w:r>
          <w:rPr>
            <w:noProof/>
            <w:webHidden/>
          </w:rPr>
          <w:instrText xml:space="preserve"> PAGEREF _Toc242976651 \h </w:instrText>
        </w:r>
        <w:r>
          <w:rPr>
            <w:noProof/>
            <w:webHidden/>
          </w:rPr>
        </w:r>
        <w:r>
          <w:rPr>
            <w:noProof/>
            <w:webHidden/>
          </w:rPr>
          <w:fldChar w:fldCharType="separate"/>
        </w:r>
        <w:r>
          <w:rPr>
            <w:noProof/>
            <w:webHidden/>
          </w:rPr>
          <w:t>113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52" w:history="1">
        <w:r>
          <w:rPr>
            <w:rStyle w:val="Hiperhivatkozs"/>
            <w:noProof/>
            <w:lang w:bidi="ar-SA"/>
          </w:rPr>
          <w:t>7.1.2. Non-standard readings</w:t>
        </w:r>
        <w:r>
          <w:rPr>
            <w:noProof/>
            <w:webHidden/>
          </w:rPr>
          <w:tab/>
        </w:r>
        <w:r>
          <w:rPr>
            <w:noProof/>
            <w:webHidden/>
          </w:rPr>
          <w:fldChar w:fldCharType="begin"/>
        </w:r>
        <w:r>
          <w:rPr>
            <w:noProof/>
            <w:webHidden/>
          </w:rPr>
          <w:instrText xml:space="preserve"> PAGEREF _Toc242976652 \h </w:instrText>
        </w:r>
        <w:r>
          <w:rPr>
            <w:noProof/>
            <w:webHidden/>
          </w:rPr>
        </w:r>
        <w:r>
          <w:rPr>
            <w:noProof/>
            <w:webHidden/>
          </w:rPr>
          <w:fldChar w:fldCharType="separate"/>
        </w:r>
        <w:r>
          <w:rPr>
            <w:noProof/>
            <w:webHidden/>
          </w:rPr>
          <w:t>113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53" w:history="1">
        <w:r>
          <w:rPr>
            <w:rStyle w:val="Hiperhivatkozs"/>
            <w:noProof/>
            <w:lang w:bidi="ar-SA"/>
          </w:rPr>
          <w:t>7.2.1. Encoding tools for anomalous readings</w:t>
        </w:r>
        <w:r>
          <w:rPr>
            <w:noProof/>
            <w:webHidden/>
          </w:rPr>
          <w:tab/>
        </w:r>
        <w:r>
          <w:rPr>
            <w:noProof/>
            <w:webHidden/>
          </w:rPr>
          <w:fldChar w:fldCharType="begin"/>
        </w:r>
        <w:r>
          <w:rPr>
            <w:noProof/>
            <w:webHidden/>
          </w:rPr>
          <w:instrText xml:space="preserve"> PAGEREF _Toc242976653 \h </w:instrText>
        </w:r>
        <w:r>
          <w:rPr>
            <w:noProof/>
            <w:webHidden/>
          </w:rPr>
        </w:r>
        <w:r>
          <w:rPr>
            <w:noProof/>
            <w:webHidden/>
          </w:rPr>
          <w:fldChar w:fldCharType="separate"/>
        </w:r>
        <w:r>
          <w:rPr>
            <w:noProof/>
            <w:webHidden/>
          </w:rPr>
          <w:t>114</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54" w:history="1">
        <w:r>
          <w:rPr>
            <w:rStyle w:val="Hiperhivatkozs"/>
            <w:noProof/>
            <w:lang w:bidi="ar-SA"/>
          </w:rPr>
          <w:t>7.4.1. Flagging erroneous and uninterpretable readings</w:t>
        </w:r>
        <w:r>
          <w:rPr>
            <w:noProof/>
            <w:webHidden/>
          </w:rPr>
          <w:tab/>
        </w:r>
        <w:r>
          <w:rPr>
            <w:noProof/>
            <w:webHidden/>
          </w:rPr>
          <w:fldChar w:fldCharType="begin"/>
        </w:r>
        <w:r>
          <w:rPr>
            <w:noProof/>
            <w:webHidden/>
          </w:rPr>
          <w:instrText xml:space="preserve"> PAGEREF _Toc242976654 \h </w:instrText>
        </w:r>
        <w:r>
          <w:rPr>
            <w:noProof/>
            <w:webHidden/>
          </w:rPr>
        </w:r>
        <w:r>
          <w:rPr>
            <w:noProof/>
            <w:webHidden/>
          </w:rPr>
          <w:fldChar w:fldCharType="separate"/>
        </w:r>
        <w:r>
          <w:rPr>
            <w:noProof/>
            <w:webHidden/>
          </w:rPr>
          <w:t>116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55" w:history="1">
        <w:r>
          <w:rPr>
            <w:rStyle w:val="Hiperhivatkozs"/>
            <w:noProof/>
            <w:lang w:bidi="ar-SA"/>
          </w:rPr>
          <w:t>7.4.2. Flagging non-standard readings</w:t>
        </w:r>
        <w:r>
          <w:rPr>
            <w:noProof/>
            <w:webHidden/>
          </w:rPr>
          <w:tab/>
        </w:r>
        <w:r>
          <w:rPr>
            <w:noProof/>
            <w:webHidden/>
          </w:rPr>
          <w:fldChar w:fldCharType="begin"/>
        </w:r>
        <w:r>
          <w:rPr>
            <w:noProof/>
            <w:webHidden/>
          </w:rPr>
          <w:instrText xml:space="preserve"> PAGEREF _Toc242976655 \h </w:instrText>
        </w:r>
        <w:r>
          <w:rPr>
            <w:noProof/>
            <w:webHidden/>
          </w:rPr>
        </w:r>
        <w:r>
          <w:rPr>
            <w:noProof/>
            <w:webHidden/>
          </w:rPr>
          <w:fldChar w:fldCharType="separate"/>
        </w:r>
        <w:r>
          <w:rPr>
            <w:noProof/>
            <w:webHidden/>
          </w:rPr>
          <w:t>116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56" w:history="1">
        <w:r>
          <w:rPr>
            <w:rStyle w:val="Hiperhivatkozs"/>
            <w:noProof/>
            <w:lang w:bidi="ar-SA"/>
          </w:rPr>
          <w:t>7.5.1. Substitution</w:t>
        </w:r>
        <w:r>
          <w:rPr>
            <w:noProof/>
            <w:webHidden/>
          </w:rPr>
          <w:tab/>
        </w:r>
        <w:r>
          <w:rPr>
            <w:noProof/>
            <w:webHidden/>
          </w:rPr>
          <w:fldChar w:fldCharType="begin"/>
        </w:r>
        <w:r>
          <w:rPr>
            <w:noProof/>
            <w:webHidden/>
          </w:rPr>
          <w:instrText xml:space="preserve"> PAGEREF _Toc242976656 \h </w:instrText>
        </w:r>
        <w:r>
          <w:rPr>
            <w:noProof/>
            <w:webHidden/>
          </w:rPr>
        </w:r>
        <w:r>
          <w:rPr>
            <w:noProof/>
            <w:webHidden/>
          </w:rPr>
          <w:fldChar w:fldCharType="separate"/>
        </w:r>
        <w:r>
          <w:rPr>
            <w:noProof/>
            <w:webHidden/>
          </w:rPr>
          <w:t>118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57" w:history="1">
        <w:r>
          <w:rPr>
            <w:rStyle w:val="Hiperhivatkozs"/>
            <w:noProof/>
            <w:lang w:bidi="ar-SA"/>
          </w:rPr>
          <w:t>7.5.2. Suppression: editorial deletion of superfluous text</w:t>
        </w:r>
        <w:r>
          <w:rPr>
            <w:noProof/>
            <w:webHidden/>
          </w:rPr>
          <w:tab/>
        </w:r>
        <w:r>
          <w:rPr>
            <w:noProof/>
            <w:webHidden/>
          </w:rPr>
          <w:fldChar w:fldCharType="begin"/>
        </w:r>
        <w:r>
          <w:rPr>
            <w:noProof/>
            <w:webHidden/>
          </w:rPr>
          <w:instrText xml:space="preserve"> PAGEREF _Toc242976657 \h </w:instrText>
        </w:r>
        <w:r>
          <w:rPr>
            <w:noProof/>
            <w:webHidden/>
          </w:rPr>
        </w:r>
        <w:r>
          <w:rPr>
            <w:noProof/>
            <w:webHidden/>
          </w:rPr>
          <w:fldChar w:fldCharType="separate"/>
        </w:r>
        <w:r>
          <w:rPr>
            <w:noProof/>
            <w:webHidden/>
          </w:rPr>
          <w:t>119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58" w:history="1">
        <w:r>
          <w:rPr>
            <w:rStyle w:val="Hiperhivatkozs"/>
            <w:noProof/>
            <w:lang w:bidi="ar-SA"/>
          </w:rPr>
          <w:t>7.5.3. Restitution: editorial addition of omitted text</w:t>
        </w:r>
        <w:r>
          <w:rPr>
            <w:noProof/>
            <w:webHidden/>
          </w:rPr>
          <w:tab/>
        </w:r>
        <w:r>
          <w:rPr>
            <w:noProof/>
            <w:webHidden/>
          </w:rPr>
          <w:fldChar w:fldCharType="begin"/>
        </w:r>
        <w:r>
          <w:rPr>
            <w:noProof/>
            <w:webHidden/>
          </w:rPr>
          <w:instrText xml:space="preserve"> PAGEREF _Toc242976658 \h </w:instrText>
        </w:r>
        <w:r>
          <w:rPr>
            <w:noProof/>
            <w:webHidden/>
          </w:rPr>
        </w:r>
        <w:r>
          <w:rPr>
            <w:noProof/>
            <w:webHidden/>
          </w:rPr>
          <w:fldChar w:fldCharType="separate"/>
        </w:r>
        <w:r>
          <w:rPr>
            <w:noProof/>
            <w:webHidden/>
          </w:rPr>
          <w:t>119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59" w:history="1">
        <w:r>
          <w:rPr>
            <w:rStyle w:val="Hiperhivatkozs"/>
            <w:noProof/>
            <w:lang w:bidi="ar-SA"/>
          </w:rPr>
          <w:t>7.7.1. Manipulating graphemes</w:t>
        </w:r>
        <w:r>
          <w:rPr>
            <w:noProof/>
            <w:webHidden/>
          </w:rPr>
          <w:tab/>
        </w:r>
        <w:r>
          <w:rPr>
            <w:noProof/>
            <w:webHidden/>
          </w:rPr>
          <w:fldChar w:fldCharType="begin"/>
        </w:r>
        <w:r>
          <w:rPr>
            <w:noProof/>
            <w:webHidden/>
          </w:rPr>
          <w:instrText xml:space="preserve"> PAGEREF _Toc242976659 \h </w:instrText>
        </w:r>
        <w:r>
          <w:rPr>
            <w:noProof/>
            <w:webHidden/>
          </w:rPr>
        </w:r>
        <w:r>
          <w:rPr>
            <w:noProof/>
            <w:webHidden/>
          </w:rPr>
          <w:fldChar w:fldCharType="separate"/>
        </w:r>
        <w:r>
          <w:rPr>
            <w:noProof/>
            <w:webHidden/>
          </w:rPr>
          <w:t>120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60" w:history="1">
        <w:r>
          <w:rPr>
            <w:rStyle w:val="Hiperhivatkozs"/>
            <w:noProof/>
            <w:lang w:bidi="ar-SA"/>
          </w:rPr>
          <w:t>7.7.2. The scope of editorial intervention</w:t>
        </w:r>
        <w:r>
          <w:rPr>
            <w:noProof/>
            <w:webHidden/>
          </w:rPr>
          <w:tab/>
        </w:r>
        <w:r>
          <w:rPr>
            <w:noProof/>
            <w:webHidden/>
          </w:rPr>
          <w:fldChar w:fldCharType="begin"/>
        </w:r>
        <w:r>
          <w:rPr>
            <w:noProof/>
            <w:webHidden/>
          </w:rPr>
          <w:instrText xml:space="preserve"> PAGEREF _Toc242976660 \h </w:instrText>
        </w:r>
        <w:r>
          <w:rPr>
            <w:noProof/>
            <w:webHidden/>
          </w:rPr>
        </w:r>
        <w:r>
          <w:rPr>
            <w:noProof/>
            <w:webHidden/>
          </w:rPr>
          <w:fldChar w:fldCharType="separate"/>
        </w:r>
        <w:r>
          <w:rPr>
            <w:noProof/>
            <w:webHidden/>
          </w:rPr>
          <w:t>122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61" w:history="1">
        <w:r>
          <w:rPr>
            <w:rStyle w:val="Hiperhivatkozs"/>
            <w:noProof/>
            <w:lang w:bidi="ar-SA"/>
          </w:rPr>
          <w:t>7.7.3. The precision of editorial intervention</w:t>
        </w:r>
        <w:r>
          <w:rPr>
            <w:noProof/>
            <w:webHidden/>
          </w:rPr>
          <w:tab/>
        </w:r>
        <w:r>
          <w:rPr>
            <w:noProof/>
            <w:webHidden/>
          </w:rPr>
          <w:fldChar w:fldCharType="begin"/>
        </w:r>
        <w:r>
          <w:rPr>
            <w:noProof/>
            <w:webHidden/>
          </w:rPr>
          <w:instrText xml:space="preserve"> PAGEREF _Toc242976661 \h </w:instrText>
        </w:r>
        <w:r>
          <w:rPr>
            <w:noProof/>
            <w:webHidden/>
          </w:rPr>
        </w:r>
        <w:r>
          <w:rPr>
            <w:noProof/>
            <w:webHidden/>
          </w:rPr>
          <w:fldChar w:fldCharType="separate"/>
        </w:r>
        <w:r>
          <w:rPr>
            <w:noProof/>
            <w:webHidden/>
          </w:rPr>
          <w:t>123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62" w:history="1">
        <w:r>
          <w:rPr>
            <w:rStyle w:val="Hiperhivatkozs"/>
            <w:noProof/>
            <w:lang w:bidi="ar-SA"/>
          </w:rPr>
          <w:t>7.7.4. Editorial intervention in metrical verse</w:t>
        </w:r>
        <w:r>
          <w:rPr>
            <w:noProof/>
            <w:webHidden/>
          </w:rPr>
          <w:tab/>
        </w:r>
        <w:r>
          <w:rPr>
            <w:noProof/>
            <w:webHidden/>
          </w:rPr>
          <w:fldChar w:fldCharType="begin"/>
        </w:r>
        <w:r>
          <w:rPr>
            <w:noProof/>
            <w:webHidden/>
          </w:rPr>
          <w:instrText xml:space="preserve"> PAGEREF _Toc242976662 \h </w:instrText>
        </w:r>
        <w:r>
          <w:rPr>
            <w:noProof/>
            <w:webHidden/>
          </w:rPr>
        </w:r>
        <w:r>
          <w:rPr>
            <w:noProof/>
            <w:webHidden/>
          </w:rPr>
          <w:fldChar w:fldCharType="separate"/>
        </w:r>
        <w:r>
          <w:rPr>
            <w:noProof/>
            <w:webHidden/>
          </w:rPr>
          <w:t>124</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63" w:history="1">
        <w:r>
          <w:rPr>
            <w:rStyle w:val="Hiperhivatkozs"/>
            <w:noProof/>
            <w:lang w:bidi="ar-SA"/>
          </w:rPr>
          <w:t>7.7.5. Nesting correction and normalisation</w:t>
        </w:r>
        <w:r>
          <w:rPr>
            <w:noProof/>
            <w:webHidden/>
          </w:rPr>
          <w:tab/>
        </w:r>
        <w:r>
          <w:rPr>
            <w:noProof/>
            <w:webHidden/>
          </w:rPr>
          <w:fldChar w:fldCharType="begin"/>
        </w:r>
        <w:r>
          <w:rPr>
            <w:noProof/>
            <w:webHidden/>
          </w:rPr>
          <w:instrText xml:space="preserve"> PAGEREF _Toc242976663 \h </w:instrText>
        </w:r>
        <w:r>
          <w:rPr>
            <w:noProof/>
            <w:webHidden/>
          </w:rPr>
        </w:r>
        <w:r>
          <w:rPr>
            <w:noProof/>
            <w:webHidden/>
          </w:rPr>
          <w:fldChar w:fldCharType="separate"/>
        </w:r>
        <w:r>
          <w:rPr>
            <w:noProof/>
            <w:webHidden/>
          </w:rPr>
          <w:t>126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64" w:history="1">
        <w:r>
          <w:rPr>
            <w:rStyle w:val="Hiperhivatkozs"/>
            <w:noProof/>
            <w:lang w:bidi="ar-SA"/>
          </w:rPr>
          <w:t>7.8.1. Editorial spacing</w:t>
        </w:r>
        <w:r>
          <w:rPr>
            <w:noProof/>
            <w:webHidden/>
          </w:rPr>
          <w:tab/>
        </w:r>
        <w:r>
          <w:rPr>
            <w:noProof/>
            <w:webHidden/>
          </w:rPr>
          <w:fldChar w:fldCharType="begin"/>
        </w:r>
        <w:r>
          <w:rPr>
            <w:noProof/>
            <w:webHidden/>
          </w:rPr>
          <w:instrText xml:space="preserve"> PAGEREF _Toc242976664 \h </w:instrText>
        </w:r>
        <w:r>
          <w:rPr>
            <w:noProof/>
            <w:webHidden/>
          </w:rPr>
        </w:r>
        <w:r>
          <w:rPr>
            <w:noProof/>
            <w:webHidden/>
          </w:rPr>
          <w:fldChar w:fldCharType="separate"/>
        </w:r>
        <w:r>
          <w:rPr>
            <w:noProof/>
            <w:webHidden/>
          </w:rPr>
          <w:t>127</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65" w:history="1">
        <w:r>
          <w:rPr>
            <w:rStyle w:val="Hiperhivatkozs"/>
            <w:noProof/>
            <w:lang w:bidi="ar-SA"/>
          </w:rPr>
          <w:t>7.8.2. Editorial hyphenation</w:t>
        </w:r>
        <w:r>
          <w:rPr>
            <w:noProof/>
            <w:webHidden/>
          </w:rPr>
          <w:tab/>
        </w:r>
        <w:r>
          <w:rPr>
            <w:noProof/>
            <w:webHidden/>
          </w:rPr>
          <w:fldChar w:fldCharType="begin"/>
        </w:r>
        <w:r>
          <w:rPr>
            <w:noProof/>
            <w:webHidden/>
          </w:rPr>
          <w:instrText xml:space="preserve"> PAGEREF _Toc242976665 \h </w:instrText>
        </w:r>
        <w:r>
          <w:rPr>
            <w:noProof/>
            <w:webHidden/>
          </w:rPr>
        </w:r>
        <w:r>
          <w:rPr>
            <w:noProof/>
            <w:webHidden/>
          </w:rPr>
          <w:fldChar w:fldCharType="separate"/>
        </w:r>
        <w:r>
          <w:rPr>
            <w:noProof/>
            <w:webHidden/>
          </w:rPr>
          <w:t>128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66" w:history="1">
        <w:r>
          <w:rPr>
            <w:rStyle w:val="Hiperhivatkozs"/>
            <w:noProof/>
            <w:lang w:bidi="ar-SA"/>
          </w:rPr>
          <w:t>7.8.3. Supplied punctuation</w:t>
        </w:r>
        <w:r>
          <w:rPr>
            <w:noProof/>
            <w:webHidden/>
          </w:rPr>
          <w:tab/>
        </w:r>
        <w:r>
          <w:rPr>
            <w:noProof/>
            <w:webHidden/>
          </w:rPr>
          <w:fldChar w:fldCharType="begin"/>
        </w:r>
        <w:r>
          <w:rPr>
            <w:noProof/>
            <w:webHidden/>
          </w:rPr>
          <w:instrText xml:space="preserve"> PAGEREF _Toc242976666 \h </w:instrText>
        </w:r>
        <w:r>
          <w:rPr>
            <w:noProof/>
            <w:webHidden/>
          </w:rPr>
        </w:r>
        <w:r>
          <w:rPr>
            <w:noProof/>
            <w:webHidden/>
          </w:rPr>
          <w:fldChar w:fldCharType="separate"/>
        </w:r>
        <w:r>
          <w:rPr>
            <w:noProof/>
            <w:webHidden/>
          </w:rPr>
          <w:t>128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67" w:history="1">
        <w:r>
          <w:rPr>
            <w:rStyle w:val="Hiperhivatkozs"/>
            <w:noProof/>
            <w:lang w:bidi="ar-SA"/>
          </w:rPr>
          <w:t xml:space="preserve">7.8.4. Supplied </w:t>
        </w:r>
        <w:r>
          <w:rPr>
            <w:rStyle w:val="Hiperhivatkozs"/>
            <w:i/>
            <w:iCs/>
            <w:noProof/>
            <w:lang w:bidi="ar-SA"/>
          </w:rPr>
          <w:t>avagraha</w:t>
        </w:r>
        <w:r>
          <w:rPr>
            <w:noProof/>
            <w:webHidden/>
          </w:rPr>
          <w:tab/>
        </w:r>
        <w:r>
          <w:rPr>
            <w:noProof/>
            <w:webHidden/>
          </w:rPr>
          <w:fldChar w:fldCharType="begin"/>
        </w:r>
        <w:r>
          <w:rPr>
            <w:noProof/>
            <w:webHidden/>
          </w:rPr>
          <w:instrText xml:space="preserve"> PAGEREF _Toc242976667 \h </w:instrText>
        </w:r>
        <w:r>
          <w:rPr>
            <w:noProof/>
            <w:webHidden/>
          </w:rPr>
        </w:r>
        <w:r>
          <w:rPr>
            <w:noProof/>
            <w:webHidden/>
          </w:rPr>
          <w:fldChar w:fldCharType="separate"/>
        </w:r>
        <w:r>
          <w:rPr>
            <w:noProof/>
            <w:webHidden/>
          </w:rPr>
          <w:t>130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68" w:history="1">
        <w:r>
          <w:rPr>
            <w:rStyle w:val="Hiperhivatkozs"/>
            <w:noProof/>
            <w:lang w:bidi="ar-SA"/>
          </w:rPr>
          <w:t>7.8.5. Distinction of short and long e/o in Dravidian languages</w:t>
        </w:r>
        <w:r>
          <w:rPr>
            <w:noProof/>
            <w:webHidden/>
          </w:rPr>
          <w:tab/>
        </w:r>
        <w:r>
          <w:rPr>
            <w:noProof/>
            <w:webHidden/>
          </w:rPr>
          <w:fldChar w:fldCharType="begin"/>
        </w:r>
        <w:r>
          <w:rPr>
            <w:noProof/>
            <w:webHidden/>
          </w:rPr>
          <w:instrText xml:space="preserve"> PAGEREF _Toc242976668 \h </w:instrText>
        </w:r>
        <w:r>
          <w:rPr>
            <w:noProof/>
            <w:webHidden/>
          </w:rPr>
        </w:r>
        <w:r>
          <w:rPr>
            <w:noProof/>
            <w:webHidden/>
          </w:rPr>
          <w:fldChar w:fldCharType="separate"/>
        </w:r>
        <w:r>
          <w:rPr>
            <w:noProof/>
            <w:webHidden/>
          </w:rPr>
          <w:t>130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69" w:history="1">
        <w:r>
          <w:rPr>
            <w:rStyle w:val="Hiperhivatkozs"/>
            <w:noProof/>
            <w:lang w:bidi="ar-SA"/>
          </w:rPr>
          <w:t>7.8.6. Shortened vowels in Sanskrit loanwords</w:t>
        </w:r>
        <w:r>
          <w:rPr>
            <w:noProof/>
            <w:webHidden/>
          </w:rPr>
          <w:tab/>
        </w:r>
        <w:r>
          <w:rPr>
            <w:noProof/>
            <w:webHidden/>
          </w:rPr>
          <w:fldChar w:fldCharType="begin"/>
        </w:r>
        <w:r>
          <w:rPr>
            <w:noProof/>
            <w:webHidden/>
          </w:rPr>
          <w:instrText xml:space="preserve"> PAGEREF _Toc242976669 \h </w:instrText>
        </w:r>
        <w:r>
          <w:rPr>
            <w:noProof/>
            <w:webHidden/>
          </w:rPr>
        </w:r>
        <w:r>
          <w:rPr>
            <w:noProof/>
            <w:webHidden/>
          </w:rPr>
          <w:fldChar w:fldCharType="separate"/>
        </w:r>
        <w:r>
          <w:rPr>
            <w:noProof/>
            <w:webHidden/>
          </w:rPr>
          <w:t>131</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70" w:history="1">
        <w:r>
          <w:rPr>
            <w:rStyle w:val="Hiperhivatkozs"/>
            <w:noProof/>
            <w:lang w:bidi="ar-SA"/>
          </w:rPr>
          <w:t>8.1.1. The language of the edition</w:t>
        </w:r>
        <w:r>
          <w:rPr>
            <w:noProof/>
            <w:webHidden/>
          </w:rPr>
          <w:tab/>
        </w:r>
        <w:r>
          <w:rPr>
            <w:noProof/>
            <w:webHidden/>
          </w:rPr>
          <w:fldChar w:fldCharType="begin"/>
        </w:r>
        <w:r>
          <w:rPr>
            <w:noProof/>
            <w:webHidden/>
          </w:rPr>
          <w:instrText xml:space="preserve"> PAGEREF _Toc242976670 \h </w:instrText>
        </w:r>
        <w:r>
          <w:rPr>
            <w:noProof/>
            <w:webHidden/>
          </w:rPr>
        </w:r>
        <w:r>
          <w:rPr>
            <w:noProof/>
            <w:webHidden/>
          </w:rPr>
          <w:fldChar w:fldCharType="separate"/>
        </w:r>
        <w:r>
          <w:rPr>
            <w:noProof/>
            <w:webHidden/>
          </w:rPr>
          <w:t>132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71" w:history="1">
        <w:r>
          <w:rPr>
            <w:rStyle w:val="Hiperhivatkozs"/>
            <w:noProof/>
            <w:lang w:bidi="ar-SA"/>
          </w:rPr>
          <w:t>8.1.2. Multilingual inscriptions</w:t>
        </w:r>
        <w:r>
          <w:rPr>
            <w:noProof/>
            <w:webHidden/>
          </w:rPr>
          <w:tab/>
        </w:r>
        <w:r>
          <w:rPr>
            <w:noProof/>
            <w:webHidden/>
          </w:rPr>
          <w:fldChar w:fldCharType="begin"/>
        </w:r>
        <w:r>
          <w:rPr>
            <w:noProof/>
            <w:webHidden/>
          </w:rPr>
          <w:instrText xml:space="preserve"> PAGEREF _Toc242976671 \h </w:instrText>
        </w:r>
        <w:r>
          <w:rPr>
            <w:noProof/>
            <w:webHidden/>
          </w:rPr>
        </w:r>
        <w:r>
          <w:rPr>
            <w:noProof/>
            <w:webHidden/>
          </w:rPr>
          <w:fldChar w:fldCharType="separate"/>
        </w:r>
        <w:r>
          <w:rPr>
            <w:noProof/>
            <w:webHidden/>
          </w:rPr>
          <w:t>132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72" w:history="1">
        <w:r>
          <w:rPr>
            <w:rStyle w:val="Hiperhivatkozs"/>
            <w:noProof/>
            <w:lang w:bidi="ar-SA"/>
          </w:rPr>
          <w:t xml:space="preserve">8.2.1. Encoding source script with </w:t>
        </w:r>
        <w:r>
          <w:rPr>
            <w:rStyle w:val="Hiperhivatkozs"/>
            <w:rFonts w:ascii="Consolas" w:hAnsi="Consolas" w:cs="Consolas"/>
            <w:noProof/>
            <w:shd w:val="clear" w:color="auto" w:fill="F2F2F2" w:themeFill="background1" w:themeFillShade="F2"/>
            <w:lang w:bidi="ar-SA"/>
          </w:rPr>
          <w:t>@rendition</w:t>
        </w:r>
        <w:r>
          <w:rPr>
            <w:noProof/>
            <w:webHidden/>
          </w:rPr>
          <w:tab/>
        </w:r>
        <w:r>
          <w:rPr>
            <w:noProof/>
            <w:webHidden/>
          </w:rPr>
          <w:fldChar w:fldCharType="begin"/>
        </w:r>
        <w:r>
          <w:rPr>
            <w:noProof/>
            <w:webHidden/>
          </w:rPr>
          <w:instrText xml:space="preserve"> PAGEREF _Toc242976672 \h </w:instrText>
        </w:r>
        <w:r>
          <w:rPr>
            <w:noProof/>
            <w:webHidden/>
          </w:rPr>
        </w:r>
        <w:r>
          <w:rPr>
            <w:noProof/>
            <w:webHidden/>
          </w:rPr>
          <w:fldChar w:fldCharType="separate"/>
        </w:r>
        <w:r>
          <w:rPr>
            <w:noProof/>
            <w:webHidden/>
          </w:rPr>
          <w:t>133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73" w:history="1">
        <w:r>
          <w:rPr>
            <w:rStyle w:val="Hiperhivatkozs"/>
            <w:noProof/>
            <w:lang w:bidi="ar-SA"/>
          </w:rPr>
          <w:t>8.2.2. The script of the edition</w:t>
        </w:r>
        <w:r>
          <w:rPr>
            <w:noProof/>
            <w:webHidden/>
          </w:rPr>
          <w:tab/>
        </w:r>
        <w:r>
          <w:rPr>
            <w:noProof/>
            <w:webHidden/>
          </w:rPr>
          <w:fldChar w:fldCharType="begin"/>
        </w:r>
        <w:r>
          <w:rPr>
            <w:noProof/>
            <w:webHidden/>
          </w:rPr>
          <w:instrText xml:space="preserve"> PAGEREF _Toc242976673 \h </w:instrText>
        </w:r>
        <w:r>
          <w:rPr>
            <w:noProof/>
            <w:webHidden/>
          </w:rPr>
        </w:r>
        <w:r>
          <w:rPr>
            <w:noProof/>
            <w:webHidden/>
          </w:rPr>
          <w:fldChar w:fldCharType="separate"/>
        </w:r>
        <w:r>
          <w:rPr>
            <w:noProof/>
            <w:webHidden/>
          </w:rPr>
          <w:t>134</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74" w:history="1">
        <w:r>
          <w:rPr>
            <w:rStyle w:val="Hiperhivatkozs"/>
            <w:noProof/>
            <w:lang w:bidi="ar-SA"/>
          </w:rPr>
          <w:t>8.2.3. Multiscript inscriptions</w:t>
        </w:r>
        <w:r>
          <w:rPr>
            <w:noProof/>
            <w:webHidden/>
          </w:rPr>
          <w:tab/>
        </w:r>
        <w:r>
          <w:rPr>
            <w:noProof/>
            <w:webHidden/>
          </w:rPr>
          <w:fldChar w:fldCharType="begin"/>
        </w:r>
        <w:r>
          <w:rPr>
            <w:noProof/>
            <w:webHidden/>
          </w:rPr>
          <w:instrText xml:space="preserve"> PAGEREF _Toc242976674 \h </w:instrText>
        </w:r>
        <w:r>
          <w:rPr>
            <w:noProof/>
            <w:webHidden/>
          </w:rPr>
        </w:r>
        <w:r>
          <w:rPr>
            <w:noProof/>
            <w:webHidden/>
          </w:rPr>
          <w:fldChar w:fldCharType="separate"/>
        </w:r>
        <w:r>
          <w:rPr>
            <w:noProof/>
            <w:webHidden/>
          </w:rPr>
          <w:t>134</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75" w:history="1">
        <w:r>
          <w:rPr>
            <w:rStyle w:val="Hiperhivatkozs"/>
            <w:noProof/>
            <w:lang w:bidi="ar-SA"/>
          </w:rPr>
          <w:t>8.5.1. Alignment</w:t>
        </w:r>
        <w:r>
          <w:rPr>
            <w:noProof/>
            <w:webHidden/>
          </w:rPr>
          <w:tab/>
        </w:r>
        <w:r>
          <w:rPr>
            <w:noProof/>
            <w:webHidden/>
          </w:rPr>
          <w:fldChar w:fldCharType="begin"/>
        </w:r>
        <w:r>
          <w:rPr>
            <w:noProof/>
            <w:webHidden/>
          </w:rPr>
          <w:instrText xml:space="preserve"> PAGEREF _Toc242976675 \h </w:instrText>
        </w:r>
        <w:r>
          <w:rPr>
            <w:noProof/>
            <w:webHidden/>
          </w:rPr>
        </w:r>
        <w:r>
          <w:rPr>
            <w:noProof/>
            <w:webHidden/>
          </w:rPr>
          <w:fldChar w:fldCharType="separate"/>
        </w:r>
        <w:r>
          <w:rPr>
            <w:noProof/>
            <w:webHidden/>
          </w:rPr>
          <w:t>136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76" w:history="1">
        <w:r>
          <w:rPr>
            <w:rStyle w:val="Hiperhivatkozs"/>
            <w:noProof/>
            <w:lang w:bidi="ar-SA"/>
          </w:rPr>
          <w:t>8.5.2. Directionality and orientation</w:t>
        </w:r>
        <w:r>
          <w:rPr>
            <w:noProof/>
            <w:webHidden/>
          </w:rPr>
          <w:tab/>
        </w:r>
        <w:r>
          <w:rPr>
            <w:noProof/>
            <w:webHidden/>
          </w:rPr>
          <w:fldChar w:fldCharType="begin"/>
        </w:r>
        <w:r>
          <w:rPr>
            <w:noProof/>
            <w:webHidden/>
          </w:rPr>
          <w:instrText xml:space="preserve"> PAGEREF _Toc242976676 \h </w:instrText>
        </w:r>
        <w:r>
          <w:rPr>
            <w:noProof/>
            <w:webHidden/>
          </w:rPr>
        </w:r>
        <w:r>
          <w:rPr>
            <w:noProof/>
            <w:webHidden/>
          </w:rPr>
          <w:fldChar w:fldCharType="separate"/>
        </w:r>
        <w:r>
          <w:rPr>
            <w:noProof/>
            <w:webHidden/>
          </w:rPr>
          <w:t>137</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77" w:history="1">
        <w:r>
          <w:rPr>
            <w:rStyle w:val="Hiperhivatkozs"/>
            <w:noProof/>
            <w:lang w:bidi="ar-SA"/>
          </w:rPr>
          <w:t>9.1.1. Encoding numbers</w:t>
        </w:r>
        <w:r>
          <w:rPr>
            <w:noProof/>
            <w:webHidden/>
          </w:rPr>
          <w:tab/>
        </w:r>
        <w:r>
          <w:rPr>
            <w:noProof/>
            <w:webHidden/>
          </w:rPr>
          <w:fldChar w:fldCharType="begin"/>
        </w:r>
        <w:r>
          <w:rPr>
            <w:noProof/>
            <w:webHidden/>
          </w:rPr>
          <w:instrText xml:space="preserve"> PAGEREF _Toc242976677 \h </w:instrText>
        </w:r>
        <w:r>
          <w:rPr>
            <w:noProof/>
            <w:webHidden/>
          </w:rPr>
        </w:r>
        <w:r>
          <w:rPr>
            <w:noProof/>
            <w:webHidden/>
          </w:rPr>
          <w:fldChar w:fldCharType="separate"/>
        </w:r>
        <w:r>
          <w:rPr>
            <w:noProof/>
            <w:webHidden/>
          </w:rPr>
          <w:t>139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78" w:history="1">
        <w:r>
          <w:rPr>
            <w:rStyle w:val="Hiperhivatkozs"/>
            <w:noProof/>
            <w:lang w:bidi="ar-SA"/>
          </w:rPr>
          <w:t>9.1.2. When and how to encode numbers</w:t>
        </w:r>
        <w:r>
          <w:rPr>
            <w:noProof/>
            <w:webHidden/>
          </w:rPr>
          <w:tab/>
        </w:r>
        <w:r>
          <w:rPr>
            <w:noProof/>
            <w:webHidden/>
          </w:rPr>
          <w:fldChar w:fldCharType="begin"/>
        </w:r>
        <w:r>
          <w:rPr>
            <w:noProof/>
            <w:webHidden/>
          </w:rPr>
          <w:instrText xml:space="preserve"> PAGEREF _Toc242976678 \h </w:instrText>
        </w:r>
        <w:r>
          <w:rPr>
            <w:noProof/>
            <w:webHidden/>
          </w:rPr>
        </w:r>
        <w:r>
          <w:rPr>
            <w:noProof/>
            <w:webHidden/>
          </w:rPr>
          <w:fldChar w:fldCharType="separate"/>
        </w:r>
        <w:r>
          <w:rPr>
            <w:noProof/>
            <w:webHidden/>
          </w:rPr>
          <w:t>139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79" w:history="1">
        <w:r>
          <w:rPr>
            <w:rStyle w:val="Hiperhivatkozs"/>
            <w:noProof/>
            <w:lang w:bidi="ar-SA"/>
          </w:rPr>
          <w:t>9.1.3. Difficulties in reading numbers</w:t>
        </w:r>
        <w:r>
          <w:rPr>
            <w:noProof/>
            <w:webHidden/>
          </w:rPr>
          <w:tab/>
        </w:r>
        <w:r>
          <w:rPr>
            <w:noProof/>
            <w:webHidden/>
          </w:rPr>
          <w:fldChar w:fldCharType="begin"/>
        </w:r>
        <w:r>
          <w:rPr>
            <w:noProof/>
            <w:webHidden/>
          </w:rPr>
          <w:instrText xml:space="preserve"> PAGEREF _Toc242976679 \h </w:instrText>
        </w:r>
        <w:r>
          <w:rPr>
            <w:noProof/>
            <w:webHidden/>
          </w:rPr>
        </w:r>
        <w:r>
          <w:rPr>
            <w:noProof/>
            <w:webHidden/>
          </w:rPr>
          <w:fldChar w:fldCharType="separate"/>
        </w:r>
        <w:r>
          <w:rPr>
            <w:noProof/>
            <w:webHidden/>
          </w:rPr>
          <w:t>141</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80" w:history="1">
        <w:r>
          <w:rPr>
            <w:rStyle w:val="Hiperhivatkozs"/>
            <w:noProof/>
            <w:lang w:bidi="ar-SA"/>
          </w:rPr>
          <w:t>9.1.4. Editorial intervention and numerals</w:t>
        </w:r>
        <w:r>
          <w:rPr>
            <w:noProof/>
            <w:webHidden/>
          </w:rPr>
          <w:tab/>
        </w:r>
        <w:r>
          <w:rPr>
            <w:noProof/>
            <w:webHidden/>
          </w:rPr>
          <w:fldChar w:fldCharType="begin"/>
        </w:r>
        <w:r>
          <w:rPr>
            <w:noProof/>
            <w:webHidden/>
          </w:rPr>
          <w:instrText xml:space="preserve"> PAGEREF _Toc242976680 \h </w:instrText>
        </w:r>
        <w:r>
          <w:rPr>
            <w:noProof/>
            <w:webHidden/>
          </w:rPr>
        </w:r>
        <w:r>
          <w:rPr>
            <w:noProof/>
            <w:webHidden/>
          </w:rPr>
          <w:fldChar w:fldCharType="separate"/>
        </w:r>
        <w:r>
          <w:rPr>
            <w:noProof/>
            <w:webHidden/>
          </w:rPr>
          <w:t>142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81" w:history="1">
        <w:r>
          <w:rPr>
            <w:rStyle w:val="Hiperhivatkozs"/>
            <w:noProof/>
            <w:lang w:bidi="ar-SA"/>
          </w:rPr>
          <w:t>9.2.1. Tagging abbreviations</w:t>
        </w:r>
        <w:r>
          <w:rPr>
            <w:noProof/>
            <w:webHidden/>
          </w:rPr>
          <w:tab/>
        </w:r>
        <w:r>
          <w:rPr>
            <w:noProof/>
            <w:webHidden/>
          </w:rPr>
          <w:fldChar w:fldCharType="begin"/>
        </w:r>
        <w:r>
          <w:rPr>
            <w:noProof/>
            <w:webHidden/>
          </w:rPr>
          <w:instrText xml:space="preserve"> PAGEREF _Toc242976681 \h </w:instrText>
        </w:r>
        <w:r>
          <w:rPr>
            <w:noProof/>
            <w:webHidden/>
          </w:rPr>
        </w:r>
        <w:r>
          <w:rPr>
            <w:noProof/>
            <w:webHidden/>
          </w:rPr>
          <w:fldChar w:fldCharType="separate"/>
        </w:r>
        <w:r>
          <w:rPr>
            <w:noProof/>
            <w:webHidden/>
          </w:rPr>
          <w:t>142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82" w:history="1">
        <w:r>
          <w:rPr>
            <w:rStyle w:val="Hiperhivatkozs"/>
            <w:noProof/>
            <w:lang w:bidi="ar-SA"/>
          </w:rPr>
          <w:t>9.2.2. Expanding abbreviations</w:t>
        </w:r>
        <w:r>
          <w:rPr>
            <w:noProof/>
            <w:webHidden/>
          </w:rPr>
          <w:tab/>
        </w:r>
        <w:r>
          <w:rPr>
            <w:noProof/>
            <w:webHidden/>
          </w:rPr>
          <w:fldChar w:fldCharType="begin"/>
        </w:r>
        <w:r>
          <w:rPr>
            <w:noProof/>
            <w:webHidden/>
          </w:rPr>
          <w:instrText xml:space="preserve"> PAGEREF _Toc242976682 \h </w:instrText>
        </w:r>
        <w:r>
          <w:rPr>
            <w:noProof/>
            <w:webHidden/>
          </w:rPr>
        </w:r>
        <w:r>
          <w:rPr>
            <w:noProof/>
            <w:webHidden/>
          </w:rPr>
          <w:fldChar w:fldCharType="separate"/>
        </w:r>
        <w:r>
          <w:rPr>
            <w:noProof/>
            <w:webHidden/>
          </w:rPr>
          <w:t>142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83" w:history="1">
        <w:r>
          <w:rPr>
            <w:rStyle w:val="Hiperhivatkozs"/>
            <w:noProof/>
            <w:lang w:bidi="ar-SA"/>
          </w:rPr>
          <w:t>10.1.1. Textpart divisions in the apparatus</w:t>
        </w:r>
        <w:r>
          <w:rPr>
            <w:noProof/>
            <w:webHidden/>
          </w:rPr>
          <w:tab/>
        </w:r>
        <w:r>
          <w:rPr>
            <w:noProof/>
            <w:webHidden/>
          </w:rPr>
          <w:fldChar w:fldCharType="begin"/>
        </w:r>
        <w:r>
          <w:rPr>
            <w:noProof/>
            <w:webHidden/>
          </w:rPr>
          <w:instrText xml:space="preserve"> PAGEREF _Toc242976683 \h </w:instrText>
        </w:r>
        <w:r>
          <w:rPr>
            <w:noProof/>
            <w:webHidden/>
          </w:rPr>
        </w:r>
        <w:r>
          <w:rPr>
            <w:noProof/>
            <w:webHidden/>
          </w:rPr>
          <w:fldChar w:fldCharType="separate"/>
        </w:r>
        <w:r>
          <w:rPr>
            <w:noProof/>
            <w:webHidden/>
          </w:rPr>
          <w:t>145</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84" w:history="1">
        <w:r>
          <w:rPr>
            <w:rStyle w:val="Hiperhivatkozs"/>
            <w:noProof/>
            <w:lang w:bidi="ar-SA"/>
          </w:rPr>
          <w:t>10.3.1. The extent of lemmas</w:t>
        </w:r>
        <w:r>
          <w:rPr>
            <w:noProof/>
            <w:webHidden/>
          </w:rPr>
          <w:tab/>
        </w:r>
        <w:r>
          <w:rPr>
            <w:noProof/>
            <w:webHidden/>
          </w:rPr>
          <w:fldChar w:fldCharType="begin"/>
        </w:r>
        <w:r>
          <w:rPr>
            <w:noProof/>
            <w:webHidden/>
          </w:rPr>
          <w:instrText xml:space="preserve"> PAGEREF _Toc242976684 \h </w:instrText>
        </w:r>
        <w:r>
          <w:rPr>
            <w:noProof/>
            <w:webHidden/>
          </w:rPr>
        </w:r>
        <w:r>
          <w:rPr>
            <w:noProof/>
            <w:webHidden/>
          </w:rPr>
          <w:fldChar w:fldCharType="separate"/>
        </w:r>
        <w:r>
          <w:rPr>
            <w:noProof/>
            <w:webHidden/>
          </w:rPr>
          <w:t>147</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85" w:history="1">
        <w:r>
          <w:rPr>
            <w:rStyle w:val="Hiperhivatkozs"/>
            <w:noProof/>
            <w:lang w:bidi="ar-SA"/>
          </w:rPr>
          <w:t>10.3.2. The content of lemmas</w:t>
        </w:r>
        <w:r>
          <w:rPr>
            <w:noProof/>
            <w:webHidden/>
          </w:rPr>
          <w:tab/>
        </w:r>
        <w:r>
          <w:rPr>
            <w:noProof/>
            <w:webHidden/>
          </w:rPr>
          <w:fldChar w:fldCharType="begin"/>
        </w:r>
        <w:r>
          <w:rPr>
            <w:noProof/>
            <w:webHidden/>
          </w:rPr>
          <w:instrText xml:space="preserve"> PAGEREF _Toc242976685 \h </w:instrText>
        </w:r>
        <w:r>
          <w:rPr>
            <w:noProof/>
            <w:webHidden/>
          </w:rPr>
        </w:r>
        <w:r>
          <w:rPr>
            <w:noProof/>
            <w:webHidden/>
          </w:rPr>
          <w:fldChar w:fldCharType="separate"/>
        </w:r>
        <w:r>
          <w:rPr>
            <w:noProof/>
            <w:webHidden/>
          </w:rPr>
          <w:t>147</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86" w:history="1">
        <w:r>
          <w:rPr>
            <w:rStyle w:val="Hiperhivatkozs"/>
            <w:noProof/>
            <w:lang w:bidi="ar-SA"/>
          </w:rPr>
          <w:t>10.3.3. The source of lemmas</w:t>
        </w:r>
        <w:r>
          <w:rPr>
            <w:noProof/>
            <w:webHidden/>
          </w:rPr>
          <w:tab/>
        </w:r>
        <w:r>
          <w:rPr>
            <w:noProof/>
            <w:webHidden/>
          </w:rPr>
          <w:fldChar w:fldCharType="begin"/>
        </w:r>
        <w:r>
          <w:rPr>
            <w:noProof/>
            <w:webHidden/>
          </w:rPr>
          <w:instrText xml:space="preserve"> PAGEREF _Toc242976686 \h </w:instrText>
        </w:r>
        <w:r>
          <w:rPr>
            <w:noProof/>
            <w:webHidden/>
          </w:rPr>
        </w:r>
        <w:r>
          <w:rPr>
            <w:noProof/>
            <w:webHidden/>
          </w:rPr>
          <w:fldChar w:fldCharType="separate"/>
        </w:r>
        <w:r>
          <w:rPr>
            <w:noProof/>
            <w:webHidden/>
          </w:rPr>
          <w:t>148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87" w:history="1">
        <w:r>
          <w:rPr>
            <w:rStyle w:val="Hiperhivatkozs"/>
            <w:noProof/>
            <w:lang w:bidi="ar-SA"/>
          </w:rPr>
          <w:t>10.4.1. The extent of alternative readings</w:t>
        </w:r>
        <w:r>
          <w:rPr>
            <w:noProof/>
            <w:webHidden/>
          </w:rPr>
          <w:tab/>
        </w:r>
        <w:r>
          <w:rPr>
            <w:noProof/>
            <w:webHidden/>
          </w:rPr>
          <w:fldChar w:fldCharType="begin"/>
        </w:r>
        <w:r>
          <w:rPr>
            <w:noProof/>
            <w:webHidden/>
          </w:rPr>
          <w:instrText xml:space="preserve"> PAGEREF _Toc242976687 \h </w:instrText>
        </w:r>
        <w:r>
          <w:rPr>
            <w:noProof/>
            <w:webHidden/>
          </w:rPr>
        </w:r>
        <w:r>
          <w:rPr>
            <w:noProof/>
            <w:webHidden/>
          </w:rPr>
          <w:fldChar w:fldCharType="separate"/>
        </w:r>
        <w:r>
          <w:rPr>
            <w:noProof/>
            <w:webHidden/>
          </w:rPr>
          <w:t>148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88" w:history="1">
        <w:r>
          <w:rPr>
            <w:rStyle w:val="Hiperhivatkozs"/>
            <w:noProof/>
            <w:lang w:bidi="ar-SA"/>
          </w:rPr>
          <w:t>10.4.2. The content of alternative readings</w:t>
        </w:r>
        <w:r>
          <w:rPr>
            <w:noProof/>
            <w:webHidden/>
          </w:rPr>
          <w:tab/>
        </w:r>
        <w:r>
          <w:rPr>
            <w:noProof/>
            <w:webHidden/>
          </w:rPr>
          <w:fldChar w:fldCharType="begin"/>
        </w:r>
        <w:r>
          <w:rPr>
            <w:noProof/>
            <w:webHidden/>
          </w:rPr>
          <w:instrText xml:space="preserve"> PAGEREF _Toc242976688 \h </w:instrText>
        </w:r>
        <w:r>
          <w:rPr>
            <w:noProof/>
            <w:webHidden/>
          </w:rPr>
        </w:r>
        <w:r>
          <w:rPr>
            <w:noProof/>
            <w:webHidden/>
          </w:rPr>
          <w:fldChar w:fldCharType="separate"/>
        </w:r>
        <w:r>
          <w:rPr>
            <w:noProof/>
            <w:webHidden/>
          </w:rPr>
          <w:t>148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89" w:history="1">
        <w:r>
          <w:rPr>
            <w:rStyle w:val="Hiperhivatkozs"/>
            <w:noProof/>
            <w:lang w:bidi="ar-SA"/>
          </w:rPr>
          <w:t>10.4.3. The source of alternative readings</w:t>
        </w:r>
        <w:r>
          <w:rPr>
            <w:noProof/>
            <w:webHidden/>
          </w:rPr>
          <w:tab/>
        </w:r>
        <w:r>
          <w:rPr>
            <w:noProof/>
            <w:webHidden/>
          </w:rPr>
          <w:fldChar w:fldCharType="begin"/>
        </w:r>
        <w:r>
          <w:rPr>
            <w:noProof/>
            <w:webHidden/>
          </w:rPr>
          <w:instrText xml:space="preserve"> PAGEREF _Toc242976689 \h </w:instrText>
        </w:r>
        <w:r>
          <w:rPr>
            <w:noProof/>
            <w:webHidden/>
          </w:rPr>
        </w:r>
        <w:r>
          <w:rPr>
            <w:noProof/>
            <w:webHidden/>
          </w:rPr>
          <w:fldChar w:fldCharType="separate"/>
        </w:r>
        <w:r>
          <w:rPr>
            <w:noProof/>
            <w:webHidden/>
          </w:rPr>
          <w:t>149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90" w:history="1">
        <w:r>
          <w:rPr>
            <w:rStyle w:val="Hiperhivatkozs"/>
            <w:noProof/>
            <w:lang w:bidi="ar-SA"/>
          </w:rPr>
          <w:t>11.1.1. Textpart divisions in the translation</w:t>
        </w:r>
        <w:r>
          <w:rPr>
            <w:noProof/>
            <w:webHidden/>
          </w:rPr>
          <w:tab/>
        </w:r>
        <w:r>
          <w:rPr>
            <w:noProof/>
            <w:webHidden/>
          </w:rPr>
          <w:fldChar w:fldCharType="begin"/>
        </w:r>
        <w:r>
          <w:rPr>
            <w:noProof/>
            <w:webHidden/>
          </w:rPr>
          <w:instrText xml:space="preserve"> PAGEREF _Toc242976690 \h </w:instrText>
        </w:r>
        <w:r>
          <w:rPr>
            <w:noProof/>
            <w:webHidden/>
          </w:rPr>
        </w:r>
        <w:r>
          <w:rPr>
            <w:noProof/>
            <w:webHidden/>
          </w:rPr>
          <w:fldChar w:fldCharType="separate"/>
        </w:r>
        <w:r>
          <w:rPr>
            <w:noProof/>
            <w:webHidden/>
          </w:rPr>
          <w:t>152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91" w:history="1">
        <w:r>
          <w:rPr>
            <w:rStyle w:val="Hiperhivatkozs"/>
            <w:noProof/>
            <w:lang w:bidi="ar-SA"/>
          </w:rPr>
          <w:t>11.1.2. Crediting the author of the translation</w:t>
        </w:r>
        <w:r>
          <w:rPr>
            <w:noProof/>
            <w:webHidden/>
          </w:rPr>
          <w:tab/>
        </w:r>
        <w:r>
          <w:rPr>
            <w:noProof/>
            <w:webHidden/>
          </w:rPr>
          <w:fldChar w:fldCharType="begin"/>
        </w:r>
        <w:r>
          <w:rPr>
            <w:noProof/>
            <w:webHidden/>
          </w:rPr>
          <w:instrText xml:space="preserve"> PAGEREF _Toc242976691 \h </w:instrText>
        </w:r>
        <w:r>
          <w:rPr>
            <w:noProof/>
            <w:webHidden/>
          </w:rPr>
        </w:r>
        <w:r>
          <w:rPr>
            <w:noProof/>
            <w:webHidden/>
          </w:rPr>
          <w:fldChar w:fldCharType="separate"/>
        </w:r>
        <w:r>
          <w:rPr>
            <w:noProof/>
            <w:webHidden/>
          </w:rPr>
          <w:t>153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92" w:history="1">
        <w:r>
          <w:rPr>
            <w:rStyle w:val="Hiperhivatkozs"/>
            <w:noProof/>
            <w:lang w:bidi="ar-SA"/>
          </w:rPr>
          <w:t>11.1.3. Attaching multiple translations</w:t>
        </w:r>
        <w:r>
          <w:rPr>
            <w:noProof/>
            <w:webHidden/>
          </w:rPr>
          <w:tab/>
        </w:r>
        <w:r>
          <w:rPr>
            <w:noProof/>
            <w:webHidden/>
          </w:rPr>
          <w:fldChar w:fldCharType="begin"/>
        </w:r>
        <w:r>
          <w:rPr>
            <w:noProof/>
            <w:webHidden/>
          </w:rPr>
          <w:instrText xml:space="preserve"> PAGEREF _Toc242976692 \h </w:instrText>
        </w:r>
        <w:r>
          <w:rPr>
            <w:noProof/>
            <w:webHidden/>
          </w:rPr>
        </w:r>
        <w:r>
          <w:rPr>
            <w:noProof/>
            <w:webHidden/>
          </w:rPr>
          <w:fldChar w:fldCharType="separate"/>
        </w:r>
        <w:r>
          <w:rPr>
            <w:noProof/>
            <w:webHidden/>
          </w:rPr>
          <w:t>153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93" w:history="1">
        <w:r>
          <w:rPr>
            <w:rStyle w:val="Hiperhivatkozs"/>
            <w:noProof/>
            <w:lang w:bidi="ar-SA"/>
          </w:rPr>
          <w:t>11.2.1. Reflecting extrinsic structure in the translation</w:t>
        </w:r>
        <w:r>
          <w:rPr>
            <w:noProof/>
            <w:webHidden/>
          </w:rPr>
          <w:tab/>
        </w:r>
        <w:r>
          <w:rPr>
            <w:noProof/>
            <w:webHidden/>
          </w:rPr>
          <w:fldChar w:fldCharType="begin"/>
        </w:r>
        <w:r>
          <w:rPr>
            <w:noProof/>
            <w:webHidden/>
          </w:rPr>
          <w:instrText xml:space="preserve"> PAGEREF _Toc242976693 \h </w:instrText>
        </w:r>
        <w:r>
          <w:rPr>
            <w:noProof/>
            <w:webHidden/>
          </w:rPr>
        </w:r>
        <w:r>
          <w:rPr>
            <w:noProof/>
            <w:webHidden/>
          </w:rPr>
          <w:fldChar w:fldCharType="separate"/>
        </w:r>
        <w:r>
          <w:rPr>
            <w:noProof/>
            <w:webHidden/>
          </w:rPr>
          <w:t>154</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94" w:history="1">
        <w:r>
          <w:rPr>
            <w:rStyle w:val="Hiperhivatkozs"/>
            <w:noProof/>
            <w:lang w:bidi="ar-SA"/>
          </w:rPr>
          <w:t>11.2.2. Reflecting intrinsic structure in the translation</w:t>
        </w:r>
        <w:r>
          <w:rPr>
            <w:noProof/>
            <w:webHidden/>
          </w:rPr>
          <w:tab/>
        </w:r>
        <w:r>
          <w:rPr>
            <w:noProof/>
            <w:webHidden/>
          </w:rPr>
          <w:fldChar w:fldCharType="begin"/>
        </w:r>
        <w:r>
          <w:rPr>
            <w:noProof/>
            <w:webHidden/>
          </w:rPr>
          <w:instrText xml:space="preserve"> PAGEREF _Toc242976694 \h </w:instrText>
        </w:r>
        <w:r>
          <w:rPr>
            <w:noProof/>
            <w:webHidden/>
          </w:rPr>
        </w:r>
        <w:r>
          <w:rPr>
            <w:noProof/>
            <w:webHidden/>
          </w:rPr>
          <w:fldChar w:fldCharType="separate"/>
        </w:r>
        <w:r>
          <w:rPr>
            <w:noProof/>
            <w:webHidden/>
          </w:rPr>
          <w:t>154</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95" w:history="1">
        <w:r>
          <w:rPr>
            <w:rStyle w:val="Hiperhivatkozs"/>
            <w:noProof/>
            <w:lang w:bidi="ar-SA"/>
          </w:rPr>
          <w:t>11.2.3. Headings in translations</w:t>
        </w:r>
        <w:r>
          <w:rPr>
            <w:noProof/>
            <w:webHidden/>
          </w:rPr>
          <w:tab/>
        </w:r>
        <w:r>
          <w:rPr>
            <w:noProof/>
            <w:webHidden/>
          </w:rPr>
          <w:fldChar w:fldCharType="begin"/>
        </w:r>
        <w:r>
          <w:rPr>
            <w:noProof/>
            <w:webHidden/>
          </w:rPr>
          <w:instrText xml:space="preserve"> PAGEREF _Toc242976695 \h </w:instrText>
        </w:r>
        <w:r>
          <w:rPr>
            <w:noProof/>
            <w:webHidden/>
          </w:rPr>
        </w:r>
        <w:r>
          <w:rPr>
            <w:noProof/>
            <w:webHidden/>
          </w:rPr>
          <w:fldChar w:fldCharType="separate"/>
        </w:r>
        <w:r>
          <w:rPr>
            <w:noProof/>
            <w:webHidden/>
          </w:rPr>
          <w:t>155</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96" w:history="1">
        <w:r>
          <w:rPr>
            <w:rStyle w:val="Hiperhivatkozs"/>
            <w:noProof/>
            <w:lang w:bidi="ar-SA"/>
          </w:rPr>
          <w:t>11.3.1. Referring to lines and stanzas of the source</w:t>
        </w:r>
        <w:r>
          <w:rPr>
            <w:noProof/>
            <w:webHidden/>
          </w:rPr>
          <w:tab/>
        </w:r>
        <w:r>
          <w:rPr>
            <w:noProof/>
            <w:webHidden/>
          </w:rPr>
          <w:fldChar w:fldCharType="begin"/>
        </w:r>
        <w:r>
          <w:rPr>
            <w:noProof/>
            <w:webHidden/>
          </w:rPr>
          <w:instrText xml:space="preserve"> PAGEREF _Toc242976696 \h </w:instrText>
        </w:r>
        <w:r>
          <w:rPr>
            <w:noProof/>
            <w:webHidden/>
          </w:rPr>
        </w:r>
        <w:r>
          <w:rPr>
            <w:noProof/>
            <w:webHidden/>
          </w:rPr>
          <w:fldChar w:fldCharType="separate"/>
        </w:r>
        <w:r>
          <w:rPr>
            <w:noProof/>
            <w:webHidden/>
          </w:rPr>
          <w:t>155</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97" w:history="1">
        <w:r>
          <w:rPr>
            <w:rStyle w:val="Hiperhivatkozs"/>
            <w:noProof/>
            <w:lang w:bidi="ar-SA"/>
          </w:rPr>
          <w:t>11.4.1. Globally available markup</w:t>
        </w:r>
        <w:r>
          <w:rPr>
            <w:noProof/>
            <w:webHidden/>
          </w:rPr>
          <w:tab/>
        </w:r>
        <w:r>
          <w:rPr>
            <w:noProof/>
            <w:webHidden/>
          </w:rPr>
          <w:fldChar w:fldCharType="begin"/>
        </w:r>
        <w:r>
          <w:rPr>
            <w:noProof/>
            <w:webHidden/>
          </w:rPr>
          <w:instrText xml:space="preserve"> PAGEREF _Toc242976697 \h </w:instrText>
        </w:r>
        <w:r>
          <w:rPr>
            <w:noProof/>
            <w:webHidden/>
          </w:rPr>
        </w:r>
        <w:r>
          <w:rPr>
            <w:noProof/>
            <w:webHidden/>
          </w:rPr>
          <w:fldChar w:fldCharType="separate"/>
        </w:r>
        <w:r>
          <w:rPr>
            <w:noProof/>
            <w:webHidden/>
          </w:rPr>
          <w:t>156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98" w:history="1">
        <w:r>
          <w:rPr>
            <w:rStyle w:val="Hiperhivatkozs"/>
            <w:noProof/>
            <w:lang w:bidi="ar-SA"/>
          </w:rPr>
          <w:t>11.4.2. Supplied text in the translation</w:t>
        </w:r>
        <w:r>
          <w:rPr>
            <w:noProof/>
            <w:webHidden/>
          </w:rPr>
          <w:tab/>
        </w:r>
        <w:r>
          <w:rPr>
            <w:noProof/>
            <w:webHidden/>
          </w:rPr>
          <w:fldChar w:fldCharType="begin"/>
        </w:r>
        <w:r>
          <w:rPr>
            <w:noProof/>
            <w:webHidden/>
          </w:rPr>
          <w:instrText xml:space="preserve"> PAGEREF _Toc242976698 \h </w:instrText>
        </w:r>
        <w:r>
          <w:rPr>
            <w:noProof/>
            <w:webHidden/>
          </w:rPr>
        </w:r>
        <w:r>
          <w:rPr>
            <w:noProof/>
            <w:webHidden/>
          </w:rPr>
          <w:fldChar w:fldCharType="separate"/>
        </w:r>
        <w:r>
          <w:rPr>
            <w:noProof/>
            <w:webHidden/>
          </w:rPr>
          <w:t>156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699" w:history="1">
        <w:r>
          <w:rPr>
            <w:rStyle w:val="Hiperhivatkozs"/>
            <w:noProof/>
            <w:lang w:bidi="ar-SA"/>
          </w:rPr>
          <w:t>11.4.3. Gaps in the translation</w:t>
        </w:r>
        <w:r>
          <w:rPr>
            <w:noProof/>
            <w:webHidden/>
          </w:rPr>
          <w:tab/>
        </w:r>
        <w:r>
          <w:rPr>
            <w:noProof/>
            <w:webHidden/>
          </w:rPr>
          <w:fldChar w:fldCharType="begin"/>
        </w:r>
        <w:r>
          <w:rPr>
            <w:noProof/>
            <w:webHidden/>
          </w:rPr>
          <w:instrText xml:space="preserve"> PAGEREF _Toc242976699 \h </w:instrText>
        </w:r>
        <w:r>
          <w:rPr>
            <w:noProof/>
            <w:webHidden/>
          </w:rPr>
        </w:r>
        <w:r>
          <w:rPr>
            <w:noProof/>
            <w:webHidden/>
          </w:rPr>
          <w:fldChar w:fldCharType="separate"/>
        </w:r>
        <w:r>
          <w:rPr>
            <w:noProof/>
            <w:webHidden/>
          </w:rPr>
          <w:t>158</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00" w:history="1">
        <w:r>
          <w:rPr>
            <w:rStyle w:val="Hiperhivatkozs"/>
            <w:noProof/>
            <w:lang w:bidi="ar-SA"/>
          </w:rPr>
          <w:t>11.4.4. Tentative translation</w:t>
        </w:r>
        <w:r>
          <w:rPr>
            <w:noProof/>
            <w:webHidden/>
          </w:rPr>
          <w:tab/>
        </w:r>
        <w:r>
          <w:rPr>
            <w:noProof/>
            <w:webHidden/>
          </w:rPr>
          <w:fldChar w:fldCharType="begin"/>
        </w:r>
        <w:r>
          <w:rPr>
            <w:noProof/>
            <w:webHidden/>
          </w:rPr>
          <w:instrText xml:space="preserve"> PAGEREF _Toc242976700 \h </w:instrText>
        </w:r>
        <w:r>
          <w:rPr>
            <w:noProof/>
            <w:webHidden/>
          </w:rPr>
        </w:r>
        <w:r>
          <w:rPr>
            <w:noProof/>
            <w:webHidden/>
          </w:rPr>
          <w:fldChar w:fldCharType="separate"/>
        </w:r>
        <w:r>
          <w:rPr>
            <w:noProof/>
            <w:webHidden/>
          </w:rPr>
          <w:t>159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01" w:history="1">
        <w:r>
          <w:rPr>
            <w:rStyle w:val="Hiperhivatkozs"/>
            <w:noProof/>
            <w:lang w:bidi="ar-SA"/>
          </w:rPr>
          <w:t>11.4.5. Incorrect or unexpected text</w:t>
        </w:r>
        <w:r>
          <w:rPr>
            <w:noProof/>
            <w:webHidden/>
          </w:rPr>
          <w:tab/>
        </w:r>
        <w:r>
          <w:rPr>
            <w:noProof/>
            <w:webHidden/>
          </w:rPr>
          <w:fldChar w:fldCharType="begin"/>
        </w:r>
        <w:r>
          <w:rPr>
            <w:noProof/>
            <w:webHidden/>
          </w:rPr>
          <w:instrText xml:space="preserve"> PAGEREF _Toc242976701 \h </w:instrText>
        </w:r>
        <w:r>
          <w:rPr>
            <w:noProof/>
            <w:webHidden/>
          </w:rPr>
        </w:r>
        <w:r>
          <w:rPr>
            <w:noProof/>
            <w:webHidden/>
          </w:rPr>
          <w:fldChar w:fldCharType="separate"/>
        </w:r>
        <w:r>
          <w:rPr>
            <w:noProof/>
            <w:webHidden/>
          </w:rPr>
          <w:t>159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02" w:history="1">
        <w:r>
          <w:rPr>
            <w:rStyle w:val="Hiperhivatkozs"/>
            <w:noProof/>
            <w:lang w:bidi="ar-SA"/>
          </w:rPr>
          <w:t>11.4.6. Bitextual translation</w:t>
        </w:r>
        <w:r>
          <w:rPr>
            <w:noProof/>
            <w:webHidden/>
          </w:rPr>
          <w:tab/>
        </w:r>
        <w:r>
          <w:rPr>
            <w:noProof/>
            <w:webHidden/>
          </w:rPr>
          <w:fldChar w:fldCharType="begin"/>
        </w:r>
        <w:r>
          <w:rPr>
            <w:noProof/>
            <w:webHidden/>
          </w:rPr>
          <w:instrText xml:space="preserve"> PAGEREF _Toc242976702 \h </w:instrText>
        </w:r>
        <w:r>
          <w:rPr>
            <w:noProof/>
            <w:webHidden/>
          </w:rPr>
        </w:r>
        <w:r>
          <w:rPr>
            <w:noProof/>
            <w:webHidden/>
          </w:rPr>
          <w:fldChar w:fldCharType="separate"/>
        </w:r>
        <w:r>
          <w:rPr>
            <w:noProof/>
            <w:webHidden/>
          </w:rPr>
          <w:t>159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03" w:history="1">
        <w:r>
          <w:rPr>
            <w:rStyle w:val="Hiperhivatkozs"/>
            <w:noProof/>
            <w:lang w:bidi="ar-SA"/>
          </w:rPr>
          <w:t>11.4.7. Original space in the translation</w:t>
        </w:r>
        <w:r>
          <w:rPr>
            <w:noProof/>
            <w:webHidden/>
          </w:rPr>
          <w:tab/>
        </w:r>
        <w:r>
          <w:rPr>
            <w:noProof/>
            <w:webHidden/>
          </w:rPr>
          <w:fldChar w:fldCharType="begin"/>
        </w:r>
        <w:r>
          <w:rPr>
            <w:noProof/>
            <w:webHidden/>
          </w:rPr>
          <w:instrText xml:space="preserve"> PAGEREF _Toc242976703 \h </w:instrText>
        </w:r>
        <w:r>
          <w:rPr>
            <w:noProof/>
            <w:webHidden/>
          </w:rPr>
        </w:r>
        <w:r>
          <w:rPr>
            <w:noProof/>
            <w:webHidden/>
          </w:rPr>
          <w:fldChar w:fldCharType="separate"/>
        </w:r>
        <w:r>
          <w:rPr>
            <w:noProof/>
            <w:webHidden/>
          </w:rPr>
          <w:t>160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04" w:history="1">
        <w:r>
          <w:rPr>
            <w:rStyle w:val="Hiperhivatkozs"/>
            <w:noProof/>
            <w:lang w:bidi="ar-SA"/>
          </w:rPr>
          <w:t>11.5.1. Adapting a previous translation</w:t>
        </w:r>
        <w:r>
          <w:rPr>
            <w:noProof/>
            <w:webHidden/>
          </w:rPr>
          <w:tab/>
        </w:r>
        <w:r>
          <w:rPr>
            <w:noProof/>
            <w:webHidden/>
          </w:rPr>
          <w:fldChar w:fldCharType="begin"/>
        </w:r>
        <w:r>
          <w:rPr>
            <w:noProof/>
            <w:webHidden/>
          </w:rPr>
          <w:instrText xml:space="preserve"> PAGEREF _Toc242976704 \h </w:instrText>
        </w:r>
        <w:r>
          <w:rPr>
            <w:noProof/>
            <w:webHidden/>
          </w:rPr>
        </w:r>
        <w:r>
          <w:rPr>
            <w:noProof/>
            <w:webHidden/>
          </w:rPr>
          <w:fldChar w:fldCharType="separate"/>
        </w:r>
        <w:r>
          <w:rPr>
            <w:noProof/>
            <w:webHidden/>
          </w:rPr>
          <w:t>160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05" w:history="1">
        <w:r>
          <w:rPr>
            <w:rStyle w:val="Hiperhivatkozs"/>
            <w:noProof/>
            <w:lang w:bidi="ar-SA"/>
          </w:rPr>
          <w:t>11.5.2. Adopting a previous translation verbatim</w:t>
        </w:r>
        <w:r>
          <w:rPr>
            <w:noProof/>
            <w:webHidden/>
          </w:rPr>
          <w:tab/>
        </w:r>
        <w:r>
          <w:rPr>
            <w:noProof/>
            <w:webHidden/>
          </w:rPr>
          <w:fldChar w:fldCharType="begin"/>
        </w:r>
        <w:r>
          <w:rPr>
            <w:noProof/>
            <w:webHidden/>
          </w:rPr>
          <w:instrText xml:space="preserve"> PAGEREF _Toc242976705 \h </w:instrText>
        </w:r>
        <w:r>
          <w:rPr>
            <w:noProof/>
            <w:webHidden/>
          </w:rPr>
        </w:r>
        <w:r>
          <w:rPr>
            <w:noProof/>
            <w:webHidden/>
          </w:rPr>
          <w:fldChar w:fldCharType="separate"/>
        </w:r>
        <w:r>
          <w:rPr>
            <w:noProof/>
            <w:webHidden/>
          </w:rPr>
          <w:t>160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06" w:history="1">
        <w:r>
          <w:rPr>
            <w:rStyle w:val="Hiperhivatkozs"/>
            <w:noProof/>
            <w:lang w:bidi="ar-SA"/>
          </w:rPr>
          <w:t>11.5.3. Adopting and adapting notes to a translation</w:t>
        </w:r>
        <w:r>
          <w:rPr>
            <w:noProof/>
            <w:webHidden/>
          </w:rPr>
          <w:tab/>
        </w:r>
        <w:r>
          <w:rPr>
            <w:noProof/>
            <w:webHidden/>
          </w:rPr>
          <w:fldChar w:fldCharType="begin"/>
        </w:r>
        <w:r>
          <w:rPr>
            <w:noProof/>
            <w:webHidden/>
          </w:rPr>
          <w:instrText xml:space="preserve"> PAGEREF _Toc242976706 \h </w:instrText>
        </w:r>
        <w:r>
          <w:rPr>
            <w:noProof/>
            <w:webHidden/>
          </w:rPr>
        </w:r>
        <w:r>
          <w:rPr>
            <w:noProof/>
            <w:webHidden/>
          </w:rPr>
          <w:fldChar w:fldCharType="separate"/>
        </w:r>
        <w:r>
          <w:rPr>
            <w:noProof/>
            <w:webHidden/>
          </w:rPr>
          <w:t>161</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07" w:history="1">
        <w:r>
          <w:rPr>
            <w:rStyle w:val="Hiperhivatkozs"/>
            <w:noProof/>
            <w:lang w:bidi="ar-SA"/>
          </w:rPr>
          <w:t>12.1.1. Textpart divisions within the commentary</w:t>
        </w:r>
        <w:r>
          <w:rPr>
            <w:noProof/>
            <w:webHidden/>
          </w:rPr>
          <w:tab/>
        </w:r>
        <w:r>
          <w:rPr>
            <w:noProof/>
            <w:webHidden/>
          </w:rPr>
          <w:fldChar w:fldCharType="begin"/>
        </w:r>
        <w:r>
          <w:rPr>
            <w:noProof/>
            <w:webHidden/>
          </w:rPr>
          <w:instrText xml:space="preserve"> PAGEREF _Toc242976707 \h </w:instrText>
        </w:r>
        <w:r>
          <w:rPr>
            <w:noProof/>
            <w:webHidden/>
          </w:rPr>
        </w:r>
        <w:r>
          <w:rPr>
            <w:noProof/>
            <w:webHidden/>
          </w:rPr>
          <w:fldChar w:fldCharType="separate"/>
        </w:r>
        <w:r>
          <w:rPr>
            <w:noProof/>
            <w:webHidden/>
          </w:rPr>
          <w:t>162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08" w:history="1">
        <w:r>
          <w:rPr>
            <w:rStyle w:val="Hiperhivatkozs"/>
            <w:noProof/>
            <w:lang w:bidi="ar-SA"/>
          </w:rPr>
          <w:t>13.2.1. Markup within the epigraphic lemma</w:t>
        </w:r>
        <w:r>
          <w:rPr>
            <w:noProof/>
            <w:webHidden/>
          </w:rPr>
          <w:tab/>
        </w:r>
        <w:r>
          <w:rPr>
            <w:noProof/>
            <w:webHidden/>
          </w:rPr>
          <w:fldChar w:fldCharType="begin"/>
        </w:r>
        <w:r>
          <w:rPr>
            <w:noProof/>
            <w:webHidden/>
          </w:rPr>
          <w:instrText xml:space="preserve"> PAGEREF _Toc242976708 \h </w:instrText>
        </w:r>
        <w:r>
          <w:rPr>
            <w:noProof/>
            <w:webHidden/>
          </w:rPr>
        </w:r>
        <w:r>
          <w:rPr>
            <w:noProof/>
            <w:webHidden/>
          </w:rPr>
          <w:fldChar w:fldCharType="separate"/>
        </w:r>
        <w:r>
          <w:rPr>
            <w:noProof/>
            <w:webHidden/>
          </w:rPr>
          <w:t>165</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09" w:history="1">
        <w:r>
          <w:rPr>
            <w:rStyle w:val="Hiperhivatkozs"/>
            <w:noProof/>
            <w:lang w:bidi="ar-SA"/>
          </w:rPr>
          <w:t>13.3.1. The primary bibliography</w:t>
        </w:r>
        <w:r>
          <w:rPr>
            <w:noProof/>
            <w:webHidden/>
          </w:rPr>
          <w:tab/>
        </w:r>
        <w:r>
          <w:rPr>
            <w:noProof/>
            <w:webHidden/>
          </w:rPr>
          <w:fldChar w:fldCharType="begin"/>
        </w:r>
        <w:r>
          <w:rPr>
            <w:noProof/>
            <w:webHidden/>
          </w:rPr>
          <w:instrText xml:space="preserve"> PAGEREF _Toc242976709 \h </w:instrText>
        </w:r>
        <w:r>
          <w:rPr>
            <w:noProof/>
            <w:webHidden/>
          </w:rPr>
        </w:r>
        <w:r>
          <w:rPr>
            <w:noProof/>
            <w:webHidden/>
          </w:rPr>
          <w:fldChar w:fldCharType="separate"/>
        </w:r>
        <w:r>
          <w:rPr>
            <w:noProof/>
            <w:webHidden/>
          </w:rPr>
          <w:t>166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10" w:history="1">
        <w:r>
          <w:rPr>
            <w:rStyle w:val="Hiperhivatkozs"/>
            <w:noProof/>
            <w:lang w:bidi="ar-SA"/>
          </w:rPr>
          <w:t>13.3.2. The secondary bibliography</w:t>
        </w:r>
        <w:r>
          <w:rPr>
            <w:noProof/>
            <w:webHidden/>
          </w:rPr>
          <w:tab/>
        </w:r>
        <w:r>
          <w:rPr>
            <w:noProof/>
            <w:webHidden/>
          </w:rPr>
          <w:fldChar w:fldCharType="begin"/>
        </w:r>
        <w:r>
          <w:rPr>
            <w:noProof/>
            <w:webHidden/>
          </w:rPr>
          <w:instrText xml:space="preserve"> PAGEREF _Toc242976710 \h </w:instrText>
        </w:r>
        <w:r>
          <w:rPr>
            <w:noProof/>
            <w:webHidden/>
          </w:rPr>
        </w:r>
        <w:r>
          <w:rPr>
            <w:noProof/>
            <w:webHidden/>
          </w:rPr>
          <w:fldChar w:fldCharType="separate"/>
        </w:r>
        <w:r>
          <w:rPr>
            <w:noProof/>
            <w:webHidden/>
          </w:rPr>
          <w:t>166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11" w:history="1">
        <w:r>
          <w:rPr>
            <w:rStyle w:val="Hiperhivatkozs"/>
            <w:noProof/>
            <w:lang w:bidi="ar-SA"/>
          </w:rPr>
          <w:t>13.3.3. Bibliographic sigla</w:t>
        </w:r>
        <w:r>
          <w:rPr>
            <w:noProof/>
            <w:webHidden/>
          </w:rPr>
          <w:tab/>
        </w:r>
        <w:r>
          <w:rPr>
            <w:noProof/>
            <w:webHidden/>
          </w:rPr>
          <w:fldChar w:fldCharType="begin"/>
        </w:r>
        <w:r>
          <w:rPr>
            <w:noProof/>
            <w:webHidden/>
          </w:rPr>
          <w:instrText xml:space="preserve"> PAGEREF _Toc242976711 \h </w:instrText>
        </w:r>
        <w:r>
          <w:rPr>
            <w:noProof/>
            <w:webHidden/>
          </w:rPr>
        </w:r>
        <w:r>
          <w:rPr>
            <w:noProof/>
            <w:webHidden/>
          </w:rPr>
          <w:fldChar w:fldCharType="separate"/>
        </w:r>
        <w:r>
          <w:rPr>
            <w:noProof/>
            <w:webHidden/>
          </w:rPr>
          <w:t>166</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12" w:history="1">
        <w:r>
          <w:rPr>
            <w:rStyle w:val="Hiperhivatkozs"/>
            <w:noProof/>
            <w:lang w:bidi="ar-SA"/>
          </w:rPr>
          <w:t>14.2.1. Emphasis</w:t>
        </w:r>
        <w:r>
          <w:rPr>
            <w:noProof/>
            <w:webHidden/>
          </w:rPr>
          <w:tab/>
        </w:r>
        <w:r>
          <w:rPr>
            <w:noProof/>
            <w:webHidden/>
          </w:rPr>
          <w:fldChar w:fldCharType="begin"/>
        </w:r>
        <w:r>
          <w:rPr>
            <w:noProof/>
            <w:webHidden/>
          </w:rPr>
          <w:instrText xml:space="preserve"> PAGEREF _Toc242976712 \h </w:instrText>
        </w:r>
        <w:r>
          <w:rPr>
            <w:noProof/>
            <w:webHidden/>
          </w:rPr>
        </w:r>
        <w:r>
          <w:rPr>
            <w:noProof/>
            <w:webHidden/>
          </w:rPr>
          <w:fldChar w:fldCharType="separate"/>
        </w:r>
        <w:r>
          <w:rPr>
            <w:noProof/>
            <w:webHidden/>
          </w:rPr>
          <w:t>169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13" w:history="1">
        <w:r>
          <w:rPr>
            <w:rStyle w:val="Hiperhivatkozs"/>
            <w:noProof/>
            <w:lang w:bidi="ar-SA"/>
          </w:rPr>
          <w:t>14.2.2. Subscript and superscript</w:t>
        </w:r>
        <w:r>
          <w:rPr>
            <w:noProof/>
            <w:webHidden/>
          </w:rPr>
          <w:tab/>
        </w:r>
        <w:r>
          <w:rPr>
            <w:noProof/>
            <w:webHidden/>
          </w:rPr>
          <w:fldChar w:fldCharType="begin"/>
        </w:r>
        <w:r>
          <w:rPr>
            <w:noProof/>
            <w:webHidden/>
          </w:rPr>
          <w:instrText xml:space="preserve"> PAGEREF _Toc242976713 \h </w:instrText>
        </w:r>
        <w:r>
          <w:rPr>
            <w:noProof/>
            <w:webHidden/>
          </w:rPr>
        </w:r>
        <w:r>
          <w:rPr>
            <w:noProof/>
            <w:webHidden/>
          </w:rPr>
          <w:fldChar w:fldCharType="separate"/>
        </w:r>
        <w:r>
          <w:rPr>
            <w:noProof/>
            <w:webHidden/>
          </w:rPr>
          <w:t>169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14" w:history="1">
        <w:r>
          <w:rPr>
            <w:rStyle w:val="Hiperhivatkozs"/>
            <w:noProof/>
            <w:lang w:bidi="ar-SA"/>
          </w:rPr>
          <w:t>14.2.3. Grantha script</w:t>
        </w:r>
        <w:r>
          <w:rPr>
            <w:noProof/>
            <w:webHidden/>
          </w:rPr>
          <w:tab/>
        </w:r>
        <w:r>
          <w:rPr>
            <w:noProof/>
            <w:webHidden/>
          </w:rPr>
          <w:fldChar w:fldCharType="begin"/>
        </w:r>
        <w:r>
          <w:rPr>
            <w:noProof/>
            <w:webHidden/>
          </w:rPr>
          <w:instrText xml:space="preserve"> PAGEREF _Toc242976714 \h </w:instrText>
        </w:r>
        <w:r>
          <w:rPr>
            <w:noProof/>
            <w:webHidden/>
          </w:rPr>
        </w:r>
        <w:r>
          <w:rPr>
            <w:noProof/>
            <w:webHidden/>
          </w:rPr>
          <w:fldChar w:fldCharType="separate"/>
        </w:r>
        <w:r>
          <w:rPr>
            <w:noProof/>
            <w:webHidden/>
          </w:rPr>
          <w:t>169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15" w:history="1">
        <w:r>
          <w:rPr>
            <w:rStyle w:val="Hiperhivatkozs"/>
            <w:noProof/>
            <w:lang w:bidi="ar-SA"/>
          </w:rPr>
          <w:t>14.2.4. Highlighting for review</w:t>
        </w:r>
        <w:r>
          <w:rPr>
            <w:noProof/>
            <w:webHidden/>
          </w:rPr>
          <w:tab/>
        </w:r>
        <w:r>
          <w:rPr>
            <w:noProof/>
            <w:webHidden/>
          </w:rPr>
          <w:fldChar w:fldCharType="begin"/>
        </w:r>
        <w:r>
          <w:rPr>
            <w:noProof/>
            <w:webHidden/>
          </w:rPr>
          <w:instrText xml:space="preserve"> PAGEREF _Toc242976715 \h </w:instrText>
        </w:r>
        <w:r>
          <w:rPr>
            <w:noProof/>
            <w:webHidden/>
          </w:rPr>
        </w:r>
        <w:r>
          <w:rPr>
            <w:noProof/>
            <w:webHidden/>
          </w:rPr>
          <w:fldChar w:fldCharType="separate"/>
        </w:r>
        <w:r>
          <w:rPr>
            <w:noProof/>
            <w:webHidden/>
          </w:rPr>
          <w:t>169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16" w:history="1">
        <w:r>
          <w:rPr>
            <w:rStyle w:val="Hiperhivatkozs"/>
            <w:noProof/>
            <w:lang w:bidi="ar-SA"/>
          </w:rPr>
          <w:t>14.3.1. Paragraphs</w:t>
        </w:r>
        <w:r>
          <w:rPr>
            <w:noProof/>
            <w:webHidden/>
          </w:rPr>
          <w:tab/>
        </w:r>
        <w:r>
          <w:rPr>
            <w:noProof/>
            <w:webHidden/>
          </w:rPr>
          <w:fldChar w:fldCharType="begin"/>
        </w:r>
        <w:r>
          <w:rPr>
            <w:noProof/>
            <w:webHidden/>
          </w:rPr>
          <w:instrText xml:space="preserve"> PAGEREF _Toc242976716 \h </w:instrText>
        </w:r>
        <w:r>
          <w:rPr>
            <w:noProof/>
            <w:webHidden/>
          </w:rPr>
        </w:r>
        <w:r>
          <w:rPr>
            <w:noProof/>
            <w:webHidden/>
          </w:rPr>
          <w:fldChar w:fldCharType="separate"/>
        </w:r>
        <w:r>
          <w:rPr>
            <w:noProof/>
            <w:webHidden/>
          </w:rPr>
          <w:t>169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17" w:history="1">
        <w:r>
          <w:rPr>
            <w:rStyle w:val="Hiperhivatkozs"/>
            <w:noProof/>
            <w:lang w:bidi="ar-SA"/>
          </w:rPr>
          <w:t>14.3.2. Verse containers</w:t>
        </w:r>
        <w:r>
          <w:rPr>
            <w:noProof/>
            <w:webHidden/>
          </w:rPr>
          <w:tab/>
        </w:r>
        <w:r>
          <w:rPr>
            <w:noProof/>
            <w:webHidden/>
          </w:rPr>
          <w:fldChar w:fldCharType="begin"/>
        </w:r>
        <w:r>
          <w:rPr>
            <w:noProof/>
            <w:webHidden/>
          </w:rPr>
          <w:instrText xml:space="preserve"> PAGEREF _Toc242976717 \h </w:instrText>
        </w:r>
        <w:r>
          <w:rPr>
            <w:noProof/>
            <w:webHidden/>
          </w:rPr>
        </w:r>
        <w:r>
          <w:rPr>
            <w:noProof/>
            <w:webHidden/>
          </w:rPr>
          <w:fldChar w:fldCharType="separate"/>
        </w:r>
        <w:r>
          <w:rPr>
            <w:noProof/>
            <w:webHidden/>
          </w:rPr>
          <w:t>170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18" w:history="1">
        <w:r>
          <w:rPr>
            <w:rStyle w:val="Hiperhivatkozs"/>
            <w:noProof/>
            <w:lang w:bidi="ar-SA"/>
          </w:rPr>
          <w:t>14.3.3. Block quotes</w:t>
        </w:r>
        <w:r>
          <w:rPr>
            <w:noProof/>
            <w:webHidden/>
          </w:rPr>
          <w:tab/>
        </w:r>
        <w:r>
          <w:rPr>
            <w:noProof/>
            <w:webHidden/>
          </w:rPr>
          <w:fldChar w:fldCharType="begin"/>
        </w:r>
        <w:r>
          <w:rPr>
            <w:noProof/>
            <w:webHidden/>
          </w:rPr>
          <w:instrText xml:space="preserve"> PAGEREF _Toc242976718 \h </w:instrText>
        </w:r>
        <w:r>
          <w:rPr>
            <w:noProof/>
            <w:webHidden/>
          </w:rPr>
        </w:r>
        <w:r>
          <w:rPr>
            <w:noProof/>
            <w:webHidden/>
          </w:rPr>
          <w:fldChar w:fldCharType="separate"/>
        </w:r>
        <w:r>
          <w:rPr>
            <w:noProof/>
            <w:webHidden/>
          </w:rPr>
          <w:t>170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19" w:history="1">
        <w:r>
          <w:rPr>
            <w:rStyle w:val="Hiperhivatkozs"/>
            <w:noProof/>
            <w:lang w:bidi="ar-SA"/>
          </w:rPr>
          <w:t>14.3.4. Lists</w:t>
        </w:r>
        <w:r>
          <w:rPr>
            <w:noProof/>
            <w:webHidden/>
          </w:rPr>
          <w:tab/>
        </w:r>
        <w:r>
          <w:rPr>
            <w:noProof/>
            <w:webHidden/>
          </w:rPr>
          <w:fldChar w:fldCharType="begin"/>
        </w:r>
        <w:r>
          <w:rPr>
            <w:noProof/>
            <w:webHidden/>
          </w:rPr>
          <w:instrText xml:space="preserve"> PAGEREF _Toc242976719 \h </w:instrText>
        </w:r>
        <w:r>
          <w:rPr>
            <w:noProof/>
            <w:webHidden/>
          </w:rPr>
        </w:r>
        <w:r>
          <w:rPr>
            <w:noProof/>
            <w:webHidden/>
          </w:rPr>
          <w:fldChar w:fldCharType="separate"/>
        </w:r>
        <w:r>
          <w:rPr>
            <w:noProof/>
            <w:webHidden/>
          </w:rPr>
          <w:t>170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20" w:history="1">
        <w:r>
          <w:rPr>
            <w:rStyle w:val="Hiperhivatkozs"/>
            <w:noProof/>
            <w:lang w:bidi="ar-SA"/>
          </w:rPr>
          <w:t>14.4.1. Encoding language</w:t>
        </w:r>
        <w:r>
          <w:rPr>
            <w:noProof/>
            <w:webHidden/>
          </w:rPr>
          <w:tab/>
        </w:r>
        <w:r>
          <w:rPr>
            <w:noProof/>
            <w:webHidden/>
          </w:rPr>
          <w:fldChar w:fldCharType="begin"/>
        </w:r>
        <w:r>
          <w:rPr>
            <w:noProof/>
            <w:webHidden/>
          </w:rPr>
          <w:instrText xml:space="preserve"> PAGEREF _Toc242976720 \h </w:instrText>
        </w:r>
        <w:r>
          <w:rPr>
            <w:noProof/>
            <w:webHidden/>
          </w:rPr>
        </w:r>
        <w:r>
          <w:rPr>
            <w:noProof/>
            <w:webHidden/>
          </w:rPr>
          <w:fldChar w:fldCharType="separate"/>
        </w:r>
        <w:r>
          <w:rPr>
            <w:noProof/>
            <w:webHidden/>
          </w:rPr>
          <w:t>172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21" w:history="1">
        <w:r>
          <w:rPr>
            <w:rStyle w:val="Hiperhivatkozs"/>
            <w:noProof/>
            <w:lang w:bidi="ar-SA"/>
          </w:rPr>
          <w:t>14.4.2. Tagging foreign languages outside the edition</w:t>
        </w:r>
        <w:r>
          <w:rPr>
            <w:noProof/>
            <w:webHidden/>
          </w:rPr>
          <w:tab/>
        </w:r>
        <w:r>
          <w:rPr>
            <w:noProof/>
            <w:webHidden/>
          </w:rPr>
          <w:fldChar w:fldCharType="begin"/>
        </w:r>
        <w:r>
          <w:rPr>
            <w:noProof/>
            <w:webHidden/>
          </w:rPr>
          <w:instrText xml:space="preserve"> PAGEREF _Toc242976721 \h </w:instrText>
        </w:r>
        <w:r>
          <w:rPr>
            <w:noProof/>
            <w:webHidden/>
          </w:rPr>
        </w:r>
        <w:r>
          <w:rPr>
            <w:noProof/>
            <w:webHidden/>
          </w:rPr>
          <w:fldChar w:fldCharType="separate"/>
        </w:r>
        <w:r>
          <w:rPr>
            <w:noProof/>
            <w:webHidden/>
          </w:rPr>
          <w:t>173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22" w:history="1">
        <w:r>
          <w:rPr>
            <w:rStyle w:val="Hiperhivatkozs"/>
            <w:noProof/>
            <w:lang w:bidi="ar-SA"/>
          </w:rPr>
          <w:t>14.5.1. Encoding notes</w:t>
        </w:r>
        <w:r>
          <w:rPr>
            <w:noProof/>
            <w:webHidden/>
          </w:rPr>
          <w:tab/>
        </w:r>
        <w:r>
          <w:rPr>
            <w:noProof/>
            <w:webHidden/>
          </w:rPr>
          <w:fldChar w:fldCharType="begin"/>
        </w:r>
        <w:r>
          <w:rPr>
            <w:noProof/>
            <w:webHidden/>
          </w:rPr>
          <w:instrText xml:space="preserve"> PAGEREF _Toc242976722 \h </w:instrText>
        </w:r>
        <w:r>
          <w:rPr>
            <w:noProof/>
            <w:webHidden/>
          </w:rPr>
        </w:r>
        <w:r>
          <w:rPr>
            <w:noProof/>
            <w:webHidden/>
          </w:rPr>
          <w:fldChar w:fldCharType="separate"/>
        </w:r>
        <w:r>
          <w:rPr>
            <w:noProof/>
            <w:webHidden/>
          </w:rPr>
          <w:t>174</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23" w:history="1">
        <w:r>
          <w:rPr>
            <w:rStyle w:val="Hiperhivatkozs"/>
            <w:noProof/>
            <w:lang w:bidi="ar-SA"/>
          </w:rPr>
          <w:t>14.5.2. The content of notes</w:t>
        </w:r>
        <w:r>
          <w:rPr>
            <w:noProof/>
            <w:webHidden/>
          </w:rPr>
          <w:tab/>
        </w:r>
        <w:r>
          <w:rPr>
            <w:noProof/>
            <w:webHidden/>
          </w:rPr>
          <w:fldChar w:fldCharType="begin"/>
        </w:r>
        <w:r>
          <w:rPr>
            <w:noProof/>
            <w:webHidden/>
          </w:rPr>
          <w:instrText xml:space="preserve"> PAGEREF _Toc242976723 \h </w:instrText>
        </w:r>
        <w:r>
          <w:rPr>
            <w:noProof/>
            <w:webHidden/>
          </w:rPr>
        </w:r>
        <w:r>
          <w:rPr>
            <w:noProof/>
            <w:webHidden/>
          </w:rPr>
          <w:fldChar w:fldCharType="separate"/>
        </w:r>
        <w:r>
          <w:rPr>
            <w:noProof/>
            <w:webHidden/>
          </w:rPr>
          <w:t>175</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24" w:history="1">
        <w:r>
          <w:rPr>
            <w:rStyle w:val="Hiperhivatkozs"/>
            <w:noProof/>
            <w:lang w:bidi="ar-SA"/>
          </w:rPr>
          <w:t>14.6.1. Encoding bibliographic citations</w:t>
        </w:r>
        <w:r>
          <w:rPr>
            <w:noProof/>
            <w:webHidden/>
          </w:rPr>
          <w:tab/>
        </w:r>
        <w:r>
          <w:rPr>
            <w:noProof/>
            <w:webHidden/>
          </w:rPr>
          <w:fldChar w:fldCharType="begin"/>
        </w:r>
        <w:r>
          <w:rPr>
            <w:noProof/>
            <w:webHidden/>
          </w:rPr>
          <w:instrText xml:space="preserve"> PAGEREF _Toc242976724 \h </w:instrText>
        </w:r>
        <w:r>
          <w:rPr>
            <w:noProof/>
            <w:webHidden/>
          </w:rPr>
        </w:r>
        <w:r>
          <w:rPr>
            <w:noProof/>
            <w:webHidden/>
          </w:rPr>
          <w:fldChar w:fldCharType="separate"/>
        </w:r>
        <w:r>
          <w:rPr>
            <w:noProof/>
            <w:webHidden/>
          </w:rPr>
          <w:t>175</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25" w:history="1">
        <w:r>
          <w:rPr>
            <w:rStyle w:val="Hiperhivatkozs"/>
            <w:noProof/>
            <w:lang w:bidi="ar-SA"/>
          </w:rPr>
          <w:t xml:space="preserve">14.6.2. Crediting publications with </w:t>
        </w:r>
        <w:r>
          <w:rPr>
            <w:rStyle w:val="Hiperhivatkozs"/>
            <w:rFonts w:ascii="Consolas" w:hAnsi="Consolas" w:cs="Consolas"/>
            <w:noProof/>
            <w:shd w:val="clear" w:color="auto" w:fill="F2F2F2" w:themeFill="background1" w:themeFillShade="F2"/>
            <w:lang w:bidi="ar-SA"/>
          </w:rPr>
          <w:t>@source</w:t>
        </w:r>
        <w:r>
          <w:rPr>
            <w:noProof/>
            <w:webHidden/>
          </w:rPr>
          <w:tab/>
        </w:r>
        <w:r>
          <w:rPr>
            <w:noProof/>
            <w:webHidden/>
          </w:rPr>
          <w:fldChar w:fldCharType="begin"/>
        </w:r>
        <w:r>
          <w:rPr>
            <w:noProof/>
            <w:webHidden/>
          </w:rPr>
          <w:instrText xml:space="preserve"> PAGEREF _Toc242976725 \h </w:instrText>
        </w:r>
        <w:r>
          <w:rPr>
            <w:noProof/>
            <w:webHidden/>
          </w:rPr>
        </w:r>
        <w:r>
          <w:rPr>
            <w:noProof/>
            <w:webHidden/>
          </w:rPr>
          <w:fldChar w:fldCharType="separate"/>
        </w:r>
        <w:r>
          <w:rPr>
            <w:noProof/>
            <w:webHidden/>
          </w:rPr>
          <w:t>180</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26" w:history="1">
        <w:r>
          <w:rPr>
            <w:rStyle w:val="Hiperhivatkozs"/>
            <w:noProof/>
            <w:lang w:bidi="ar-SA"/>
          </w:rPr>
          <w:t>14.6.3. Quotation</w:t>
        </w:r>
        <w:r>
          <w:rPr>
            <w:noProof/>
            <w:webHidden/>
          </w:rPr>
          <w:tab/>
        </w:r>
        <w:r>
          <w:rPr>
            <w:noProof/>
            <w:webHidden/>
          </w:rPr>
          <w:fldChar w:fldCharType="begin"/>
        </w:r>
        <w:r>
          <w:rPr>
            <w:noProof/>
            <w:webHidden/>
          </w:rPr>
          <w:instrText xml:space="preserve"> PAGEREF _Toc242976726 \h </w:instrText>
        </w:r>
        <w:r>
          <w:rPr>
            <w:noProof/>
            <w:webHidden/>
          </w:rPr>
        </w:r>
        <w:r>
          <w:rPr>
            <w:noProof/>
            <w:webHidden/>
          </w:rPr>
          <w:fldChar w:fldCharType="separate"/>
        </w:r>
        <w:r>
          <w:rPr>
            <w:noProof/>
            <w:webHidden/>
          </w:rPr>
          <w:t>181</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27" w:history="1">
        <w:r>
          <w:rPr>
            <w:rStyle w:val="Hiperhivatkozs"/>
            <w:noProof/>
            <w:lang w:bidi="ar-SA"/>
          </w:rPr>
          <w:t>14.6.4. Referring to web resources</w:t>
        </w:r>
        <w:r>
          <w:rPr>
            <w:noProof/>
            <w:webHidden/>
          </w:rPr>
          <w:tab/>
        </w:r>
        <w:r>
          <w:rPr>
            <w:noProof/>
            <w:webHidden/>
          </w:rPr>
          <w:fldChar w:fldCharType="begin"/>
        </w:r>
        <w:r>
          <w:rPr>
            <w:noProof/>
            <w:webHidden/>
          </w:rPr>
          <w:instrText xml:space="preserve"> PAGEREF _Toc242976727 \h </w:instrText>
        </w:r>
        <w:r>
          <w:rPr>
            <w:noProof/>
            <w:webHidden/>
          </w:rPr>
        </w:r>
        <w:r>
          <w:rPr>
            <w:noProof/>
            <w:webHidden/>
          </w:rPr>
          <w:fldChar w:fldCharType="separate"/>
        </w:r>
        <w:r>
          <w:rPr>
            <w:noProof/>
            <w:webHidden/>
          </w:rPr>
          <w:t>182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28" w:history="1">
        <w:r>
          <w:rPr>
            <w:rStyle w:val="Hiperhivatkozs"/>
            <w:noProof/>
            <w:lang w:bidi="ar-SA"/>
          </w:rPr>
          <w:t xml:space="preserve">14.6.5. Crediting a DHARMA contributor with </w:t>
        </w:r>
        <w:r>
          <w:rPr>
            <w:rStyle w:val="Hiperhivatkozs"/>
            <w:rFonts w:ascii="Consolas" w:hAnsi="Consolas" w:cs="Consolas"/>
            <w:noProof/>
            <w:shd w:val="clear" w:color="auto" w:fill="F2F2F2" w:themeFill="background1" w:themeFillShade="F2"/>
            <w:lang w:bidi="ar-SA"/>
          </w:rPr>
          <w:t>@resp</w:t>
        </w:r>
        <w:r>
          <w:rPr>
            <w:noProof/>
            <w:webHidden/>
          </w:rPr>
          <w:tab/>
        </w:r>
        <w:r>
          <w:rPr>
            <w:noProof/>
            <w:webHidden/>
          </w:rPr>
          <w:fldChar w:fldCharType="begin"/>
        </w:r>
        <w:r>
          <w:rPr>
            <w:noProof/>
            <w:webHidden/>
          </w:rPr>
          <w:instrText xml:space="preserve"> PAGEREF _Toc242976728 \h </w:instrText>
        </w:r>
        <w:r>
          <w:rPr>
            <w:noProof/>
            <w:webHidden/>
          </w:rPr>
        </w:r>
        <w:r>
          <w:rPr>
            <w:noProof/>
            <w:webHidden/>
          </w:rPr>
          <w:fldChar w:fldCharType="separate"/>
        </w:r>
        <w:r>
          <w:rPr>
            <w:noProof/>
            <w:webHidden/>
          </w:rPr>
          <w:t>182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29" w:history="1">
        <w:r>
          <w:rPr>
            <w:rStyle w:val="Hiperhivatkozs"/>
            <w:noProof/>
            <w:lang w:bidi="ar-SA"/>
          </w:rPr>
          <w:t xml:space="preserve">14.6.6. Identifying elements with </w:t>
        </w:r>
        <w:r>
          <w:rPr>
            <w:rStyle w:val="Hiperhivatkozs"/>
            <w:rFonts w:ascii="Consolas" w:hAnsi="Consolas" w:cs="Consolas"/>
            <w:noProof/>
            <w:shd w:val="clear" w:color="auto" w:fill="F2F2F2" w:themeFill="background1" w:themeFillShade="F2"/>
            <w:lang w:bidi="ar-SA"/>
          </w:rPr>
          <w:t>@xml:id</w:t>
        </w:r>
        <w:r>
          <w:rPr>
            <w:noProof/>
            <w:webHidden/>
          </w:rPr>
          <w:tab/>
        </w:r>
        <w:r>
          <w:rPr>
            <w:noProof/>
            <w:webHidden/>
          </w:rPr>
          <w:fldChar w:fldCharType="begin"/>
        </w:r>
        <w:r>
          <w:rPr>
            <w:noProof/>
            <w:webHidden/>
          </w:rPr>
          <w:instrText xml:space="preserve"> PAGEREF _Toc242976729 \h </w:instrText>
        </w:r>
        <w:r>
          <w:rPr>
            <w:noProof/>
            <w:webHidden/>
          </w:rPr>
        </w:r>
        <w:r>
          <w:rPr>
            <w:noProof/>
            <w:webHidden/>
          </w:rPr>
          <w:fldChar w:fldCharType="separate"/>
        </w:r>
        <w:r>
          <w:rPr>
            <w:noProof/>
            <w:webHidden/>
          </w:rPr>
          <w:t>183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30" w:history="1">
        <w:r>
          <w:rPr>
            <w:rStyle w:val="Hiperhivatkozs"/>
            <w:noProof/>
            <w:lang w:bidi="ar-SA"/>
          </w:rPr>
          <w:t>14.7.1. Encoding titles</w:t>
        </w:r>
        <w:r>
          <w:rPr>
            <w:noProof/>
            <w:webHidden/>
          </w:rPr>
          <w:tab/>
        </w:r>
        <w:r>
          <w:rPr>
            <w:noProof/>
            <w:webHidden/>
          </w:rPr>
          <w:fldChar w:fldCharType="begin"/>
        </w:r>
        <w:r>
          <w:rPr>
            <w:noProof/>
            <w:webHidden/>
          </w:rPr>
          <w:instrText xml:space="preserve"> PAGEREF _Toc242976730 \h </w:instrText>
        </w:r>
        <w:r>
          <w:rPr>
            <w:noProof/>
            <w:webHidden/>
          </w:rPr>
        </w:r>
        <w:r>
          <w:rPr>
            <w:noProof/>
            <w:webHidden/>
          </w:rPr>
          <w:fldChar w:fldCharType="separate"/>
        </w:r>
        <w:r>
          <w:rPr>
            <w:noProof/>
            <w:webHidden/>
          </w:rPr>
          <w:t>183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31" w:history="1">
        <w:r>
          <w:rPr>
            <w:rStyle w:val="Hiperhivatkozs"/>
            <w:noProof/>
            <w:lang w:bidi="ar-SA"/>
          </w:rPr>
          <w:t>14.7.2. Encoding names</w:t>
        </w:r>
        <w:r>
          <w:rPr>
            <w:noProof/>
            <w:webHidden/>
          </w:rPr>
          <w:tab/>
        </w:r>
        <w:r>
          <w:rPr>
            <w:noProof/>
            <w:webHidden/>
          </w:rPr>
          <w:fldChar w:fldCharType="begin"/>
        </w:r>
        <w:r>
          <w:rPr>
            <w:noProof/>
            <w:webHidden/>
          </w:rPr>
          <w:instrText xml:space="preserve"> PAGEREF _Toc242976731 \h </w:instrText>
        </w:r>
        <w:r>
          <w:rPr>
            <w:noProof/>
            <w:webHidden/>
          </w:rPr>
        </w:r>
        <w:r>
          <w:rPr>
            <w:noProof/>
            <w:webHidden/>
          </w:rPr>
          <w:fldChar w:fldCharType="separate"/>
        </w:r>
        <w:r>
          <w:rPr>
            <w:noProof/>
            <w:webHidden/>
          </w:rPr>
          <w:t>183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32" w:history="1">
        <w:r>
          <w:rPr>
            <w:rStyle w:val="Hiperhivatkozs"/>
            <w:noProof/>
            <w:lang w:bidi="ar-SA"/>
          </w:rPr>
          <w:t>14.7.3. Other interpretive and analytical encoding</w:t>
        </w:r>
        <w:r>
          <w:rPr>
            <w:noProof/>
            <w:webHidden/>
          </w:rPr>
          <w:tab/>
        </w:r>
        <w:r>
          <w:rPr>
            <w:noProof/>
            <w:webHidden/>
          </w:rPr>
          <w:fldChar w:fldCharType="begin"/>
        </w:r>
        <w:r>
          <w:rPr>
            <w:noProof/>
            <w:webHidden/>
          </w:rPr>
          <w:instrText xml:space="preserve"> PAGEREF _Toc242976732 \h </w:instrText>
        </w:r>
        <w:r>
          <w:rPr>
            <w:noProof/>
            <w:webHidden/>
          </w:rPr>
        </w:r>
        <w:r>
          <w:rPr>
            <w:noProof/>
            <w:webHidden/>
          </w:rPr>
          <w:fldChar w:fldCharType="separate"/>
        </w:r>
        <w:r>
          <w:rPr>
            <w:noProof/>
            <w:webHidden/>
          </w:rPr>
          <w:t>184</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33" w:history="1">
        <w:r>
          <w:rPr>
            <w:rStyle w:val="Hiperhivatkozs"/>
            <w:noProof/>
            <w:lang w:bidi="ar-SA"/>
          </w:rPr>
          <w:t>15.1.1. The title</w:t>
        </w:r>
        <w:r>
          <w:rPr>
            <w:noProof/>
            <w:webHidden/>
          </w:rPr>
          <w:tab/>
        </w:r>
        <w:r>
          <w:rPr>
            <w:noProof/>
            <w:webHidden/>
          </w:rPr>
          <w:fldChar w:fldCharType="begin"/>
        </w:r>
        <w:r>
          <w:rPr>
            <w:noProof/>
            <w:webHidden/>
          </w:rPr>
          <w:instrText xml:space="preserve"> PAGEREF _Toc242976733 \h </w:instrText>
        </w:r>
        <w:r>
          <w:rPr>
            <w:noProof/>
            <w:webHidden/>
          </w:rPr>
        </w:r>
        <w:r>
          <w:rPr>
            <w:noProof/>
            <w:webHidden/>
          </w:rPr>
          <w:fldChar w:fldCharType="separate"/>
        </w:r>
        <w:r>
          <w:rPr>
            <w:noProof/>
            <w:webHidden/>
          </w:rPr>
          <w:t>185</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34" w:history="1">
        <w:r>
          <w:rPr>
            <w:rStyle w:val="Hiperhivatkozs"/>
            <w:noProof/>
            <w:lang w:bidi="ar-SA"/>
          </w:rPr>
          <w:t>15.1.2. The responsibility statement(s)</w:t>
        </w:r>
        <w:r>
          <w:rPr>
            <w:noProof/>
            <w:webHidden/>
          </w:rPr>
          <w:tab/>
        </w:r>
        <w:r>
          <w:rPr>
            <w:noProof/>
            <w:webHidden/>
          </w:rPr>
          <w:fldChar w:fldCharType="begin"/>
        </w:r>
        <w:r>
          <w:rPr>
            <w:noProof/>
            <w:webHidden/>
          </w:rPr>
          <w:instrText xml:space="preserve"> PAGEREF _Toc242976734 \h </w:instrText>
        </w:r>
        <w:r>
          <w:rPr>
            <w:noProof/>
            <w:webHidden/>
          </w:rPr>
        </w:r>
        <w:r>
          <w:rPr>
            <w:noProof/>
            <w:webHidden/>
          </w:rPr>
          <w:fldChar w:fldCharType="separate"/>
        </w:r>
        <w:r>
          <w:rPr>
            <w:noProof/>
            <w:webHidden/>
          </w:rPr>
          <w:t>185</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35" w:history="1">
        <w:r>
          <w:rPr>
            <w:rStyle w:val="Hiperhivatkozs"/>
            <w:noProof/>
            <w:lang w:bidi="ar-SA"/>
          </w:rPr>
          <w:t>15.1.3. The publication statement</w:t>
        </w:r>
        <w:r>
          <w:rPr>
            <w:noProof/>
            <w:webHidden/>
          </w:rPr>
          <w:tab/>
        </w:r>
        <w:r>
          <w:rPr>
            <w:noProof/>
            <w:webHidden/>
          </w:rPr>
          <w:fldChar w:fldCharType="begin"/>
        </w:r>
        <w:r>
          <w:rPr>
            <w:noProof/>
            <w:webHidden/>
          </w:rPr>
          <w:instrText xml:space="preserve"> PAGEREF _Toc242976735 \h </w:instrText>
        </w:r>
        <w:r>
          <w:rPr>
            <w:noProof/>
            <w:webHidden/>
          </w:rPr>
        </w:r>
        <w:r>
          <w:rPr>
            <w:noProof/>
            <w:webHidden/>
          </w:rPr>
          <w:fldChar w:fldCharType="separate"/>
        </w:r>
        <w:r>
          <w:rPr>
            <w:noProof/>
            <w:webHidden/>
          </w:rPr>
          <w:t>187</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36" w:history="1">
        <w:r>
          <w:rPr>
            <w:rStyle w:val="Hiperhivatkozs"/>
            <w:noProof/>
            <w:lang w:bidi="ar-SA"/>
          </w:rPr>
          <w:t>15.2.1. The hand description</w:t>
        </w:r>
        <w:r>
          <w:rPr>
            <w:noProof/>
            <w:webHidden/>
          </w:rPr>
          <w:tab/>
        </w:r>
        <w:r>
          <w:rPr>
            <w:noProof/>
            <w:webHidden/>
          </w:rPr>
          <w:fldChar w:fldCharType="begin"/>
        </w:r>
        <w:r>
          <w:rPr>
            <w:noProof/>
            <w:webHidden/>
          </w:rPr>
          <w:instrText xml:space="preserve"> PAGEREF _Toc242976736 \h </w:instrText>
        </w:r>
        <w:r>
          <w:rPr>
            <w:noProof/>
            <w:webHidden/>
          </w:rPr>
        </w:r>
        <w:r>
          <w:rPr>
            <w:noProof/>
            <w:webHidden/>
          </w:rPr>
          <w:fldChar w:fldCharType="separate"/>
        </w:r>
        <w:r>
          <w:rPr>
            <w:noProof/>
            <w:webHidden/>
          </w:rPr>
          <w:t>187</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37" w:history="1">
        <w:r>
          <w:rPr>
            <w:rStyle w:val="Hiperhivatkozs"/>
            <w:noProof/>
            <w:lang w:bidi="ar-SA"/>
          </w:rPr>
          <w:t>16.2.1. Tier 1, block-level elements representing XML structure and extrinsic structure</w:t>
        </w:r>
        <w:r>
          <w:rPr>
            <w:noProof/>
            <w:webHidden/>
          </w:rPr>
          <w:tab/>
        </w:r>
        <w:r>
          <w:rPr>
            <w:noProof/>
            <w:webHidden/>
          </w:rPr>
          <w:fldChar w:fldCharType="begin"/>
        </w:r>
        <w:r>
          <w:rPr>
            <w:noProof/>
            <w:webHidden/>
          </w:rPr>
          <w:instrText xml:space="preserve"> PAGEREF _Toc242976737 \h </w:instrText>
        </w:r>
        <w:r>
          <w:rPr>
            <w:noProof/>
            <w:webHidden/>
          </w:rPr>
        </w:r>
        <w:r>
          <w:rPr>
            <w:noProof/>
            <w:webHidden/>
          </w:rPr>
          <w:fldChar w:fldCharType="separate"/>
        </w:r>
        <w:r>
          <w:rPr>
            <w:noProof/>
            <w:webHidden/>
          </w:rPr>
          <w:t>191</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38" w:history="1">
        <w:r>
          <w:rPr>
            <w:rStyle w:val="Hiperhivatkozs"/>
            <w:noProof/>
            <w:lang w:bidi="ar-SA"/>
          </w:rPr>
          <w:t>16.2.2. Tier 2, block-level elements representing intrinsic structure</w:t>
        </w:r>
        <w:r>
          <w:rPr>
            <w:noProof/>
            <w:webHidden/>
          </w:rPr>
          <w:tab/>
        </w:r>
        <w:r>
          <w:rPr>
            <w:noProof/>
            <w:webHidden/>
          </w:rPr>
          <w:fldChar w:fldCharType="begin"/>
        </w:r>
        <w:r>
          <w:rPr>
            <w:noProof/>
            <w:webHidden/>
          </w:rPr>
          <w:instrText xml:space="preserve"> PAGEREF _Toc242976738 \h </w:instrText>
        </w:r>
        <w:r>
          <w:rPr>
            <w:noProof/>
            <w:webHidden/>
          </w:rPr>
        </w:r>
        <w:r>
          <w:rPr>
            <w:noProof/>
            <w:webHidden/>
          </w:rPr>
          <w:fldChar w:fldCharType="separate"/>
        </w:r>
        <w:r>
          <w:rPr>
            <w:noProof/>
            <w:webHidden/>
          </w:rPr>
          <w:t>191</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39" w:history="1">
        <w:r>
          <w:rPr>
            <w:rStyle w:val="Hiperhivatkozs"/>
            <w:noProof/>
            <w:lang w:bidi="ar-SA"/>
          </w:rPr>
          <w:t>16.2.3. Tier 2A, phrase-level elements representing semantic information</w:t>
        </w:r>
        <w:r>
          <w:rPr>
            <w:noProof/>
            <w:webHidden/>
          </w:rPr>
          <w:tab/>
        </w:r>
        <w:r>
          <w:rPr>
            <w:noProof/>
            <w:webHidden/>
          </w:rPr>
          <w:fldChar w:fldCharType="begin"/>
        </w:r>
        <w:r>
          <w:rPr>
            <w:noProof/>
            <w:webHidden/>
          </w:rPr>
          <w:instrText xml:space="preserve"> PAGEREF _Toc242976739 \h </w:instrText>
        </w:r>
        <w:r>
          <w:rPr>
            <w:noProof/>
            <w:webHidden/>
          </w:rPr>
        </w:r>
        <w:r>
          <w:rPr>
            <w:noProof/>
            <w:webHidden/>
          </w:rPr>
          <w:fldChar w:fldCharType="separate"/>
        </w:r>
        <w:r>
          <w:rPr>
            <w:noProof/>
            <w:webHidden/>
          </w:rPr>
          <w:t>191</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40" w:history="1">
        <w:r>
          <w:rPr>
            <w:rStyle w:val="Hiperhivatkozs"/>
            <w:noProof/>
            <w:lang w:bidi="ar-SA"/>
          </w:rPr>
          <w:t>16.2.4. Tier 3, empty elements representing extrinsic structure</w:t>
        </w:r>
        <w:r>
          <w:rPr>
            <w:noProof/>
            <w:webHidden/>
          </w:rPr>
          <w:tab/>
        </w:r>
        <w:r>
          <w:rPr>
            <w:noProof/>
            <w:webHidden/>
          </w:rPr>
          <w:fldChar w:fldCharType="begin"/>
        </w:r>
        <w:r>
          <w:rPr>
            <w:noProof/>
            <w:webHidden/>
          </w:rPr>
          <w:instrText xml:space="preserve"> PAGEREF _Toc242976740 \h </w:instrText>
        </w:r>
        <w:r>
          <w:rPr>
            <w:noProof/>
            <w:webHidden/>
          </w:rPr>
        </w:r>
        <w:r>
          <w:rPr>
            <w:noProof/>
            <w:webHidden/>
          </w:rPr>
          <w:fldChar w:fldCharType="separate"/>
        </w:r>
        <w:r>
          <w:rPr>
            <w:noProof/>
            <w:webHidden/>
          </w:rPr>
          <w:t>192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41" w:history="1">
        <w:r>
          <w:rPr>
            <w:rStyle w:val="Hiperhivatkozs"/>
            <w:noProof/>
            <w:lang w:bidi="ar-SA"/>
          </w:rPr>
          <w:t>16.2.5. Tier 4, empty elements representing local features</w:t>
        </w:r>
        <w:r>
          <w:rPr>
            <w:noProof/>
            <w:webHidden/>
          </w:rPr>
          <w:tab/>
        </w:r>
        <w:r>
          <w:rPr>
            <w:noProof/>
            <w:webHidden/>
          </w:rPr>
          <w:fldChar w:fldCharType="begin"/>
        </w:r>
        <w:r>
          <w:rPr>
            <w:noProof/>
            <w:webHidden/>
          </w:rPr>
          <w:instrText xml:space="preserve"> PAGEREF _Toc242976741 \h </w:instrText>
        </w:r>
        <w:r>
          <w:rPr>
            <w:noProof/>
            <w:webHidden/>
          </w:rPr>
        </w:r>
        <w:r>
          <w:rPr>
            <w:noProof/>
            <w:webHidden/>
          </w:rPr>
          <w:fldChar w:fldCharType="separate"/>
        </w:r>
        <w:r>
          <w:rPr>
            <w:noProof/>
            <w:webHidden/>
          </w:rPr>
          <w:t>192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42" w:history="1">
        <w:r>
          <w:rPr>
            <w:rStyle w:val="Hiperhivatkozs"/>
            <w:noProof/>
            <w:lang w:bidi="ar-SA"/>
          </w:rPr>
          <w:t>16.2.6. Tier 5, phrase-level elements representing changes to the text</w:t>
        </w:r>
        <w:r>
          <w:rPr>
            <w:noProof/>
            <w:webHidden/>
          </w:rPr>
          <w:tab/>
        </w:r>
        <w:r>
          <w:rPr>
            <w:noProof/>
            <w:webHidden/>
          </w:rPr>
          <w:fldChar w:fldCharType="begin"/>
        </w:r>
        <w:r>
          <w:rPr>
            <w:noProof/>
            <w:webHidden/>
          </w:rPr>
          <w:instrText xml:space="preserve"> PAGEREF _Toc242976742 \h </w:instrText>
        </w:r>
        <w:r>
          <w:rPr>
            <w:noProof/>
            <w:webHidden/>
          </w:rPr>
        </w:r>
        <w:r>
          <w:rPr>
            <w:noProof/>
            <w:webHidden/>
          </w:rPr>
          <w:fldChar w:fldCharType="separate"/>
        </w:r>
        <w:r>
          <w:rPr>
            <w:noProof/>
            <w:webHidden/>
          </w:rPr>
          <w:t>192</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43" w:history="1">
        <w:r>
          <w:rPr>
            <w:rStyle w:val="Hiperhivatkozs"/>
            <w:noProof/>
            <w:lang w:bidi="ar-SA"/>
          </w:rPr>
          <w:t>16.2.7. Tier 6, unclear</w:t>
        </w:r>
        <w:r>
          <w:rPr>
            <w:noProof/>
            <w:webHidden/>
          </w:rPr>
          <w:tab/>
        </w:r>
        <w:r>
          <w:rPr>
            <w:noProof/>
            <w:webHidden/>
          </w:rPr>
          <w:fldChar w:fldCharType="begin"/>
        </w:r>
        <w:r>
          <w:rPr>
            <w:noProof/>
            <w:webHidden/>
          </w:rPr>
          <w:instrText xml:space="preserve"> PAGEREF _Toc242976743 \h </w:instrText>
        </w:r>
        <w:r>
          <w:rPr>
            <w:noProof/>
            <w:webHidden/>
          </w:rPr>
        </w:r>
        <w:r>
          <w:rPr>
            <w:noProof/>
            <w:webHidden/>
          </w:rPr>
          <w:fldChar w:fldCharType="separate"/>
        </w:r>
        <w:r>
          <w:rPr>
            <w:noProof/>
            <w:webHidden/>
          </w:rPr>
          <w:t>193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44" w:history="1">
        <w:r>
          <w:rPr>
            <w:rStyle w:val="Hiperhivatkozs"/>
            <w:noProof/>
            <w:lang w:bidi="ar-SA"/>
          </w:rPr>
          <w:t>16.3.1. Grapholinguistic recap</w:t>
        </w:r>
        <w:r>
          <w:rPr>
            <w:noProof/>
            <w:webHidden/>
          </w:rPr>
          <w:tab/>
        </w:r>
        <w:r>
          <w:rPr>
            <w:noProof/>
            <w:webHidden/>
          </w:rPr>
          <w:fldChar w:fldCharType="begin"/>
        </w:r>
        <w:r>
          <w:rPr>
            <w:noProof/>
            <w:webHidden/>
          </w:rPr>
          <w:instrText xml:space="preserve"> PAGEREF _Toc242976744 \h </w:instrText>
        </w:r>
        <w:r>
          <w:rPr>
            <w:noProof/>
            <w:webHidden/>
          </w:rPr>
        </w:r>
        <w:r>
          <w:rPr>
            <w:noProof/>
            <w:webHidden/>
          </w:rPr>
          <w:fldChar w:fldCharType="separate"/>
        </w:r>
        <w:r>
          <w:rPr>
            <w:noProof/>
            <w:webHidden/>
          </w:rPr>
          <w:t>193</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45" w:history="1">
        <w:r>
          <w:rPr>
            <w:rStyle w:val="Hiperhivatkozs"/>
            <w:noProof/>
            <w:lang w:bidi="ar-SA"/>
          </w:rPr>
          <w:t>16.3.2. Encoding Indic documents in Romanised transliteration</w:t>
        </w:r>
        <w:r>
          <w:rPr>
            <w:noProof/>
            <w:webHidden/>
          </w:rPr>
          <w:tab/>
        </w:r>
        <w:r>
          <w:rPr>
            <w:noProof/>
            <w:webHidden/>
          </w:rPr>
          <w:fldChar w:fldCharType="begin"/>
        </w:r>
        <w:r>
          <w:rPr>
            <w:noProof/>
            <w:webHidden/>
          </w:rPr>
          <w:instrText xml:space="preserve"> PAGEREF _Toc242976745 \h </w:instrText>
        </w:r>
        <w:r>
          <w:rPr>
            <w:noProof/>
            <w:webHidden/>
          </w:rPr>
        </w:r>
        <w:r>
          <w:rPr>
            <w:noProof/>
            <w:webHidden/>
          </w:rPr>
          <w:fldChar w:fldCharType="separate"/>
        </w:r>
        <w:r>
          <w:rPr>
            <w:noProof/>
            <w:webHidden/>
          </w:rPr>
          <w:t>194</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46" w:history="1">
        <w:r>
          <w:rPr>
            <w:rStyle w:val="Hiperhivatkozs"/>
            <w:noProof/>
            <w:lang w:bidi="ar-SA"/>
          </w:rPr>
          <w:t>Appendix C.2.1. Crediting the previous digital editor(s)</w:t>
        </w:r>
        <w:r>
          <w:rPr>
            <w:noProof/>
            <w:webHidden/>
          </w:rPr>
          <w:tab/>
        </w:r>
        <w:r>
          <w:rPr>
            <w:noProof/>
            <w:webHidden/>
          </w:rPr>
          <w:fldChar w:fldCharType="begin"/>
        </w:r>
        <w:r>
          <w:rPr>
            <w:noProof/>
            <w:webHidden/>
          </w:rPr>
          <w:instrText xml:space="preserve"> PAGEREF _Toc242976746 \h </w:instrText>
        </w:r>
        <w:r>
          <w:rPr>
            <w:noProof/>
            <w:webHidden/>
          </w:rPr>
        </w:r>
        <w:r>
          <w:rPr>
            <w:noProof/>
            <w:webHidden/>
          </w:rPr>
          <w:fldChar w:fldCharType="separate"/>
        </w:r>
        <w:r>
          <w:rPr>
            <w:noProof/>
            <w:webHidden/>
          </w:rPr>
          <w:t>209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47" w:history="1">
        <w:r>
          <w:rPr>
            <w:rStyle w:val="Hiperhivatkozs"/>
            <w:noProof/>
            <w:lang w:bidi="ar-SA"/>
          </w:rPr>
          <w:t>Appendix C.2.2. Referring to the ingested digital edition</w:t>
        </w:r>
        <w:r>
          <w:rPr>
            <w:noProof/>
            <w:webHidden/>
          </w:rPr>
          <w:tab/>
        </w:r>
        <w:r>
          <w:rPr>
            <w:noProof/>
            <w:webHidden/>
          </w:rPr>
          <w:fldChar w:fldCharType="begin"/>
        </w:r>
        <w:r>
          <w:rPr>
            <w:noProof/>
            <w:webHidden/>
          </w:rPr>
          <w:instrText xml:space="preserve"> PAGEREF _Toc242976747 \h </w:instrText>
        </w:r>
        <w:r>
          <w:rPr>
            <w:noProof/>
            <w:webHidden/>
          </w:rPr>
        </w:r>
        <w:r>
          <w:rPr>
            <w:noProof/>
            <w:webHidden/>
          </w:rPr>
          <w:fldChar w:fldCharType="separate"/>
        </w:r>
        <w:r>
          <w:rPr>
            <w:noProof/>
            <w:webHidden/>
          </w:rPr>
          <w:t>209</w:t>
        </w:r>
        <w:r>
          <w:rPr>
            <w:noProof/>
            <w:webHidden/>
          </w:rPr>
          <w:fldChar w:fldCharType="end"/>
        </w:r>
      </w:hyperlink>
    </w:p>
    <w:p>
      <w:pPr>
        <w:pStyle w:val="TJ3"/>
        <w:rPr>
          <w:rFonts w:asciiTheme="minorHAnsi" w:hAnsiTheme="minorHAnsi" w:cstheme="minorBidi"/>
          <w:noProof/>
          <w:kern w:val="0"/>
          <w:sz w:val="22"/>
          <w:szCs w:val="20"/>
          <w:lang w:eastAsia="en-GB"/>
          <w14:ligatures w14:val="none"/>
        </w:rPr>
      </w:pPr>
      <w:hyperlink w:anchor="_Toc242976748" w:history="1">
        <w:r>
          <w:rPr>
            <w:rStyle w:val="Hiperhivatkozs"/>
            <w:noProof/>
            <w:lang w:bidi="ar-SA"/>
          </w:rPr>
          <w:t>Appendix C.2.3. Manual revision of the encoding</w:t>
        </w:r>
        <w:r>
          <w:rPr>
            <w:noProof/>
            <w:webHidden/>
          </w:rPr>
          <w:tab/>
        </w:r>
        <w:r>
          <w:rPr>
            <w:noProof/>
            <w:webHidden/>
          </w:rPr>
          <w:fldChar w:fldCharType="begin"/>
        </w:r>
        <w:r>
          <w:rPr>
            <w:noProof/>
            <w:webHidden/>
          </w:rPr>
          <w:instrText xml:space="preserve"> PAGEREF _Toc242976748 \h </w:instrText>
        </w:r>
        <w:r>
          <w:rPr>
            <w:noProof/>
            <w:webHidden/>
          </w:rPr>
        </w:r>
        <w:r>
          <w:rPr>
            <w:noProof/>
            <w:webHidden/>
          </w:rPr>
          <w:fldChar w:fldCharType="separate"/>
        </w:r>
        <w:r>
          <w:rPr>
            <w:noProof/>
            <w:webHidden/>
          </w:rPr>
          <w:t>210</w:t>
        </w:r>
        <w:r>
          <w:rPr>
            <w:noProof/>
            <w:webHidden/>
          </w:rPr>
          <w:fldChar w:fldCharType="end"/>
        </w:r>
      </w:hyperlink>
    </w:p>
    <w:p>
      <w:r>
        <w:rPr>
          <w:rFonts w:ascii="Calibri" w:hAnsi="Calibri"/>
          <w:b/>
        </w:rPr>
        <w:fldChar w:fldCharType="end"/>
      </w:r>
    </w:p>
    <w:p>
      <w:pPr>
        <w:pStyle w:val="Cmsor1"/>
      </w:pPr>
      <w:r>
        <w:lastRenderedPageBreak/>
        <w:t>Introduction</w:t>
      </w:r>
    </w:p>
    <w:p>
      <w:pPr>
        <w:pStyle w:val="Cmsor2"/>
      </w:pPr>
      <w:bookmarkStart w:id="6" w:name="_ta3bzfnw5348" w:colFirst="0" w:colLast="0"/>
      <w:bookmarkEnd w:id="6"/>
      <w:r>
        <w:t>Version history</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224"/>
        <w:gridCol w:w="3487"/>
        <w:gridCol w:w="3487"/>
        <w:gridCol w:w="1420"/>
      </w:tblGrid>
      <w:tr>
        <w:trPr>
          <w:trHeight w:val="480"/>
        </w:trPr>
        <w:tc>
          <w:tcPr>
            <w:tcW w:w="636" w:type="pct"/>
            <w:shd w:val="clear" w:color="auto" w:fill="EAF1DD"/>
            <w:tcMar>
              <w:top w:w="100" w:type="dxa"/>
              <w:left w:w="100" w:type="dxa"/>
              <w:bottom w:w="100" w:type="dxa"/>
              <w:right w:w="100" w:type="dxa"/>
            </w:tcMar>
          </w:tcPr>
          <w:p>
            <w:pPr>
              <w:pStyle w:val="Tabletext"/>
            </w:pPr>
            <w:r>
              <w:t>Version</w:t>
            </w:r>
          </w:p>
        </w:tc>
        <w:tc>
          <w:tcPr>
            <w:tcW w:w="1812" w:type="pct"/>
            <w:shd w:val="clear" w:color="auto" w:fill="EAF1DD"/>
          </w:tcPr>
          <w:p>
            <w:pPr>
              <w:pStyle w:val="Tabletext"/>
            </w:pPr>
            <w:r>
              <w:t>Authors</w:t>
            </w:r>
          </w:p>
        </w:tc>
        <w:tc>
          <w:tcPr>
            <w:tcW w:w="1813" w:type="pct"/>
            <w:shd w:val="clear" w:color="auto" w:fill="EAF1DD"/>
            <w:tcMar>
              <w:top w:w="100" w:type="dxa"/>
              <w:left w:w="100" w:type="dxa"/>
              <w:bottom w:w="100" w:type="dxa"/>
              <w:right w:w="100" w:type="dxa"/>
            </w:tcMar>
          </w:tcPr>
          <w:p>
            <w:pPr>
              <w:pStyle w:val="Tabletext"/>
            </w:pPr>
            <w:r>
              <w:t>Changes</w:t>
            </w:r>
          </w:p>
        </w:tc>
        <w:tc>
          <w:tcPr>
            <w:tcW w:w="738" w:type="pct"/>
            <w:shd w:val="clear" w:color="auto" w:fill="EAF1DD"/>
            <w:tcMar>
              <w:top w:w="100" w:type="dxa"/>
              <w:left w:w="100" w:type="dxa"/>
              <w:bottom w:w="100" w:type="dxa"/>
              <w:right w:w="100" w:type="dxa"/>
            </w:tcMar>
          </w:tcPr>
          <w:p>
            <w:pPr>
              <w:pStyle w:val="Tabletext"/>
            </w:pPr>
            <w:r>
              <w:t>Date</w:t>
            </w:r>
          </w:p>
        </w:tc>
      </w:tr>
      <w:tr>
        <w:tc>
          <w:tcPr>
            <w:tcW w:w="636" w:type="pct"/>
            <w:tcMar>
              <w:top w:w="100" w:type="dxa"/>
              <w:left w:w="100" w:type="dxa"/>
              <w:bottom w:w="100" w:type="dxa"/>
              <w:right w:w="100" w:type="dxa"/>
            </w:tcMar>
          </w:tcPr>
          <w:p>
            <w:pPr>
              <w:pStyle w:val="Tabletext"/>
            </w:pPr>
            <w:r>
              <w:t>0.1</w:t>
            </w:r>
          </w:p>
        </w:tc>
        <w:tc>
          <w:tcPr>
            <w:tcW w:w="1812" w:type="pct"/>
          </w:tcPr>
          <w:p>
            <w:pPr>
              <w:pStyle w:val="Tabletext"/>
            </w:pPr>
            <w:r>
              <w:t>Balogh</w:t>
            </w:r>
          </w:p>
        </w:tc>
        <w:tc>
          <w:tcPr>
            <w:tcW w:w="1813" w:type="pct"/>
            <w:tcMar>
              <w:top w:w="100" w:type="dxa"/>
              <w:left w:w="100" w:type="dxa"/>
              <w:bottom w:w="100" w:type="dxa"/>
              <w:right w:w="100" w:type="dxa"/>
            </w:tcMar>
          </w:tcPr>
          <w:p>
            <w:pPr>
              <w:pStyle w:val="Tabletext"/>
            </w:pPr>
            <w:r>
              <w:t>Redaction of the first draft</w:t>
            </w:r>
          </w:p>
        </w:tc>
        <w:tc>
          <w:tcPr>
            <w:tcW w:w="738" w:type="pct"/>
            <w:tcMar>
              <w:top w:w="100" w:type="dxa"/>
              <w:left w:w="100" w:type="dxa"/>
              <w:bottom w:w="100" w:type="dxa"/>
              <w:right w:w="100" w:type="dxa"/>
            </w:tcMar>
          </w:tcPr>
          <w:p>
            <w:pPr>
              <w:pStyle w:val="Tabletext"/>
            </w:pPr>
            <w:r>
              <w:t>2019-07</w:t>
            </w:r>
          </w:p>
        </w:tc>
      </w:tr>
      <w:tr>
        <w:tc>
          <w:tcPr>
            <w:tcW w:w="636" w:type="pct"/>
            <w:tcMar>
              <w:top w:w="100" w:type="dxa"/>
              <w:left w:w="100" w:type="dxa"/>
              <w:bottom w:w="100" w:type="dxa"/>
              <w:right w:w="100" w:type="dxa"/>
            </w:tcMar>
          </w:tcPr>
          <w:p>
            <w:pPr>
              <w:pStyle w:val="Tabletext"/>
            </w:pPr>
            <w:r>
              <w:t>0.8</w:t>
            </w:r>
          </w:p>
        </w:tc>
        <w:tc>
          <w:tcPr>
            <w:tcW w:w="1812" w:type="pct"/>
          </w:tcPr>
          <w:p>
            <w:pPr>
              <w:pStyle w:val="Tabletext"/>
            </w:pPr>
            <w:r>
              <w:t>Balogh, Griffiths, with Janiak &amp; Francis</w:t>
            </w:r>
          </w:p>
        </w:tc>
        <w:tc>
          <w:tcPr>
            <w:tcW w:w="1813" w:type="pct"/>
            <w:tcMar>
              <w:top w:w="100" w:type="dxa"/>
              <w:left w:w="100" w:type="dxa"/>
              <w:bottom w:w="100" w:type="dxa"/>
              <w:right w:w="100" w:type="dxa"/>
            </w:tcMar>
          </w:tcPr>
          <w:p>
            <w:pPr>
              <w:pStyle w:val="Tabletext"/>
            </w:pPr>
            <w:r>
              <w:t>Expansion and revision for release</w:t>
            </w:r>
          </w:p>
        </w:tc>
        <w:tc>
          <w:tcPr>
            <w:tcW w:w="738" w:type="pct"/>
            <w:tcMar>
              <w:top w:w="100" w:type="dxa"/>
              <w:left w:w="100" w:type="dxa"/>
              <w:bottom w:w="100" w:type="dxa"/>
              <w:right w:w="100" w:type="dxa"/>
            </w:tcMar>
          </w:tcPr>
          <w:p>
            <w:pPr>
              <w:pStyle w:val="Tabletext"/>
            </w:pPr>
            <w:r>
              <w:t>to 2019-12</w:t>
            </w:r>
          </w:p>
        </w:tc>
      </w:tr>
      <w:tr>
        <w:tc>
          <w:tcPr>
            <w:tcW w:w="636" w:type="pct"/>
            <w:tcMar>
              <w:top w:w="100" w:type="dxa"/>
              <w:left w:w="100" w:type="dxa"/>
              <w:bottom w:w="100" w:type="dxa"/>
              <w:right w:w="100" w:type="dxa"/>
            </w:tcMar>
          </w:tcPr>
          <w:p>
            <w:pPr>
              <w:pStyle w:val="Tabletext"/>
            </w:pPr>
            <w:r>
              <w:t>0.9</w:t>
            </w:r>
          </w:p>
        </w:tc>
        <w:tc>
          <w:tcPr>
            <w:tcW w:w="1812" w:type="pct"/>
          </w:tcPr>
          <w:p>
            <w:pPr>
              <w:pStyle w:val="Tabletext"/>
            </w:pPr>
            <w:r>
              <w:t>Balogh, Griffiths</w:t>
            </w:r>
          </w:p>
        </w:tc>
        <w:tc>
          <w:tcPr>
            <w:tcW w:w="1813" w:type="pct"/>
            <w:tcMar>
              <w:top w:w="100" w:type="dxa"/>
              <w:left w:w="100" w:type="dxa"/>
              <w:bottom w:w="100" w:type="dxa"/>
              <w:right w:w="100" w:type="dxa"/>
            </w:tcMar>
          </w:tcPr>
          <w:p>
            <w:pPr>
              <w:pStyle w:val="Tabletext"/>
            </w:pPr>
            <w:r>
              <w:t>Redaction for release</w:t>
            </w:r>
          </w:p>
        </w:tc>
        <w:tc>
          <w:tcPr>
            <w:tcW w:w="738" w:type="pct"/>
            <w:tcMar>
              <w:top w:w="100" w:type="dxa"/>
              <w:left w:w="100" w:type="dxa"/>
              <w:bottom w:w="100" w:type="dxa"/>
              <w:right w:w="100" w:type="dxa"/>
            </w:tcMar>
          </w:tcPr>
          <w:p>
            <w:pPr>
              <w:pStyle w:val="Tabletext"/>
            </w:pPr>
            <w:r>
              <w:t>to 2020-03-17</w:t>
            </w:r>
          </w:p>
        </w:tc>
      </w:tr>
      <w:tr>
        <w:tc>
          <w:tcPr>
            <w:tcW w:w="636" w:type="pct"/>
            <w:tcMar>
              <w:top w:w="100" w:type="dxa"/>
              <w:left w:w="100" w:type="dxa"/>
              <w:bottom w:w="100" w:type="dxa"/>
              <w:right w:w="100" w:type="dxa"/>
            </w:tcMar>
          </w:tcPr>
          <w:p>
            <w:pPr>
              <w:pStyle w:val="Tabletext"/>
            </w:pPr>
            <w:r>
              <w:t>1.0</w:t>
            </w:r>
          </w:p>
        </w:tc>
        <w:tc>
          <w:tcPr>
            <w:tcW w:w="1812" w:type="pct"/>
          </w:tcPr>
          <w:p>
            <w:pPr>
              <w:pStyle w:val="Tabletext"/>
            </w:pPr>
            <w:r>
              <w:t>Balogh, Griffiths</w:t>
            </w:r>
          </w:p>
        </w:tc>
        <w:tc>
          <w:tcPr>
            <w:tcW w:w="1813" w:type="pct"/>
            <w:tcMar>
              <w:top w:w="100" w:type="dxa"/>
              <w:left w:w="100" w:type="dxa"/>
              <w:bottom w:w="100" w:type="dxa"/>
              <w:right w:w="100" w:type="dxa"/>
            </w:tcMar>
          </w:tcPr>
          <w:p>
            <w:pPr>
              <w:pStyle w:val="Tabletext"/>
            </w:pPr>
            <w:r>
              <w:t>Revision after feedback and discussion</w:t>
            </w:r>
          </w:p>
        </w:tc>
        <w:tc>
          <w:tcPr>
            <w:tcW w:w="738" w:type="pct"/>
            <w:tcMar>
              <w:top w:w="100" w:type="dxa"/>
              <w:left w:w="100" w:type="dxa"/>
              <w:bottom w:w="100" w:type="dxa"/>
              <w:right w:w="100" w:type="dxa"/>
            </w:tcMar>
          </w:tcPr>
          <w:p>
            <w:pPr>
              <w:pStyle w:val="Tabletext"/>
            </w:pPr>
            <w:r>
              <w:t>2020-07-05</w:t>
            </w:r>
          </w:p>
        </w:tc>
      </w:tr>
      <w:tr>
        <w:tc>
          <w:tcPr>
            <w:tcW w:w="636" w:type="pct"/>
            <w:tcMar>
              <w:top w:w="100" w:type="dxa"/>
              <w:left w:w="100" w:type="dxa"/>
              <w:bottom w:w="100" w:type="dxa"/>
              <w:right w:w="100" w:type="dxa"/>
            </w:tcMar>
          </w:tcPr>
          <w:p>
            <w:pPr>
              <w:pStyle w:val="Tabletext"/>
            </w:pPr>
            <w:r>
              <w:t>(no release)</w:t>
            </w:r>
          </w:p>
        </w:tc>
        <w:tc>
          <w:tcPr>
            <w:tcW w:w="1812" w:type="pct"/>
          </w:tcPr>
          <w:p>
            <w:pPr>
              <w:pStyle w:val="Tabletext"/>
            </w:pPr>
            <w:r>
              <w:t>Balogh</w:t>
            </w:r>
          </w:p>
        </w:tc>
        <w:tc>
          <w:tcPr>
            <w:tcW w:w="1813" w:type="pct"/>
            <w:tcMar>
              <w:top w:w="100" w:type="dxa"/>
              <w:left w:w="100" w:type="dxa"/>
              <w:bottom w:w="100" w:type="dxa"/>
              <w:right w:w="100" w:type="dxa"/>
            </w:tcMar>
          </w:tcPr>
          <w:p>
            <w:pPr>
              <w:pStyle w:val="Tabletext"/>
            </w:pPr>
            <w:r>
              <w:t>ongoing revision of online copy</w:t>
            </w:r>
          </w:p>
        </w:tc>
        <w:tc>
          <w:tcPr>
            <w:tcW w:w="738" w:type="pct"/>
            <w:tcMar>
              <w:top w:w="100" w:type="dxa"/>
              <w:left w:w="100" w:type="dxa"/>
              <w:bottom w:w="100" w:type="dxa"/>
              <w:right w:w="100" w:type="dxa"/>
            </w:tcMar>
          </w:tcPr>
          <w:p>
            <w:pPr>
              <w:pStyle w:val="Tabletext"/>
            </w:pPr>
            <w:r>
              <w:t>to 2024-07</w:t>
            </w:r>
          </w:p>
        </w:tc>
      </w:tr>
      <w:tr>
        <w:tc>
          <w:tcPr>
            <w:tcW w:w="636" w:type="pct"/>
            <w:tcMar>
              <w:top w:w="100" w:type="dxa"/>
              <w:left w:w="100" w:type="dxa"/>
              <w:bottom w:w="100" w:type="dxa"/>
              <w:right w:w="100" w:type="dxa"/>
            </w:tcMar>
          </w:tcPr>
          <w:p>
            <w:pPr>
              <w:pStyle w:val="Tabletext"/>
            </w:pPr>
            <w:r>
              <w:t>2.0</w:t>
            </w:r>
          </w:p>
        </w:tc>
        <w:tc>
          <w:tcPr>
            <w:tcW w:w="1812" w:type="pct"/>
          </w:tcPr>
          <w:p>
            <w:pPr>
              <w:pStyle w:val="Tabletext"/>
            </w:pPr>
            <w:r>
              <w:t>Balogh, with Griffiths, Francis &amp; Meyer</w:t>
            </w:r>
          </w:p>
        </w:tc>
        <w:tc>
          <w:tcPr>
            <w:tcW w:w="1813" w:type="pct"/>
            <w:tcMar>
              <w:top w:w="100" w:type="dxa"/>
              <w:left w:w="100" w:type="dxa"/>
              <w:bottom w:w="100" w:type="dxa"/>
              <w:right w:w="100" w:type="dxa"/>
            </w:tcMar>
          </w:tcPr>
          <w:p>
            <w:pPr>
              <w:pStyle w:val="Tabletext"/>
            </w:pPr>
            <w:r>
              <w:t>major overhaul and finalisation</w:t>
            </w:r>
          </w:p>
        </w:tc>
        <w:tc>
          <w:tcPr>
            <w:tcW w:w="738" w:type="pct"/>
            <w:tcMar>
              <w:top w:w="100" w:type="dxa"/>
              <w:left w:w="100" w:type="dxa"/>
              <w:bottom w:w="100" w:type="dxa"/>
              <w:right w:w="100" w:type="dxa"/>
            </w:tcMar>
          </w:tcPr>
          <w:p>
            <w:pPr>
              <w:pStyle w:val="Tabletext"/>
            </w:pPr>
            <w:r>
              <w:t>2026-09</w:t>
            </w:r>
          </w:p>
        </w:tc>
      </w:tr>
    </w:tbl>
    <w:p>
      <w:pPr>
        <w:pStyle w:val="Cmsor3"/>
      </w:pPr>
      <w:bookmarkStart w:id="7" w:name="_ss0fr01ijjvr" w:colFirst="0" w:colLast="0"/>
      <w:bookmarkStart w:id="8" w:name="_Ref149662927"/>
      <w:bookmarkStart w:id="9" w:name="_Toc242976582"/>
      <w:bookmarkEnd w:id="7"/>
      <w:r>
        <w:t>About this version and how it relates to other versions</w:t>
      </w:r>
      <w:bookmarkEnd w:id="8"/>
      <w:bookmarkEnd w:id="9"/>
    </w:p>
    <w:p>
      <w:r>
        <w:t xml:space="preserve">This is the </w:t>
      </w:r>
      <w:r>
        <w:rPr>
          <w:b/>
          <w:bCs/>
        </w:rPr>
        <w:t>final and definitive public release</w:t>
      </w:r>
      <w:r>
        <w:t xml:space="preserve"> version of the DHARMA Encoding Guide for Documentary Editions, which supersedes the first release version (Balogh and Griffiths 2020b, then called Encoding Guide for Diplomatic Editions).</w:t>
      </w:r>
    </w:p>
    <w:p>
      <w:pPr>
        <w:pStyle w:val="Normlbehzs"/>
      </w:pPr>
      <w:r>
        <w:t>Practical experience since the first release has shown that project members primarily consult the online soft copy of the Guide.</w:t>
      </w:r>
      <w:r>
        <w:rPr>
          <w:rStyle w:val="Lbjegyzet-hivatkozs"/>
        </w:rPr>
        <w:footnoteReference w:id="1"/>
      </w:r>
      <w:r>
        <w:t xml:space="preserve"> This was useful because ongoing revisions have been discussed and introduced in that copy. With the release of this final version, no further revision is planned, so the online copy shall serve only for quick access. Moreover, the online copy’s layout is sub-par and its cross-references may be occasionally incorrect, so only this archived release can be considered definitive. When citing the Guide in a publication, please refer only to the release version.</w:t>
      </w:r>
    </w:p>
    <w:p>
      <w:pPr>
        <w:pStyle w:val="Normlbehzs"/>
      </w:pPr>
      <w:r>
        <w:t>No detailed changelog is included here, because this version incorporates all changes accumulated over the years since the last public release.</w:t>
      </w:r>
    </w:p>
    <w:p>
      <w:pPr>
        <w:pStyle w:val="Cmsor2"/>
      </w:pPr>
      <w:bookmarkStart w:id="10" w:name="_7wlxzerj2b6e" w:colFirst="0" w:colLast="0"/>
      <w:bookmarkStart w:id="11" w:name="_mnn7i9yp8l0l" w:colFirst="0" w:colLast="0"/>
      <w:bookmarkStart w:id="12" w:name="_pxxk68dqnvkk" w:colFirst="0" w:colLast="0"/>
      <w:bookmarkEnd w:id="10"/>
      <w:bookmarkEnd w:id="11"/>
      <w:bookmarkEnd w:id="12"/>
      <w:r>
        <w:t>Acknowledgements</w:t>
      </w:r>
    </w:p>
    <w:p>
      <w:r>
        <w:t>Many people in addition to the authors noted above have helped in the creation of this guide; the most significant contributors have been Axelle Janiak, Emmanuel Francis, Michaël Meyer and Annette Schmiedchen.</w:t>
      </w:r>
    </w:p>
    <w:p>
      <w:pPr>
        <w:pStyle w:val="Cmsor2"/>
      </w:pPr>
      <w:r>
        <w:t>Scope</w:t>
      </w:r>
    </w:p>
    <w:p>
      <w:r>
        <w:t>This Guide is for the EpiDoc compliant encoding of original sources for the DHARMA project. The Guide has been composed primarily with epigraphic texts in mind, but is also applicable to the encoding of texts transmitted as manuscripts, when these are edited “as documents” (rather than “as works” in the form of a critical edition). We also hope that the solutions recommended here gain currency beyond the scope of the DHARMA project. All encoders are strongly encouraged at least to skim it from cover to cover, to obtain a general idea of the topics covered in it. This guide presupposes that you are already familiar with version 4 of the DHARMA Transliteration Guide, released together with the present guide.</w:t>
      </w:r>
    </w:p>
    <w:p>
      <w:pPr>
        <w:pStyle w:val="Cmsor2"/>
      </w:pPr>
      <w:bookmarkStart w:id="13" w:name="_10lqdugq9c0g" w:colFirst="0" w:colLast="0"/>
      <w:bookmarkEnd w:id="13"/>
      <w:r>
        <w:lastRenderedPageBreak/>
        <w:t>Further reading</w:t>
      </w:r>
    </w:p>
    <w:p>
      <w:r>
        <w:t>This Guide is a constrained and detailed adaptation of the EpiDoc guidelines,</w:t>
      </w:r>
      <w:r>
        <w:rPr>
          <w:rStyle w:val="Lbjegyzet-hivatkozs"/>
        </w:rPr>
        <w:footnoteReference w:id="2"/>
      </w:r>
      <w:r>
        <w:t xml:space="preserve"> which are themselves a constrained and detailed adaptation of the TEI guidelines.</w:t>
      </w:r>
      <w:r>
        <w:rPr>
          <w:rStyle w:val="Lbjegyzet-hivatkozs"/>
        </w:rPr>
        <w:footnoteReference w:id="3"/>
      </w:r>
      <w:r>
        <w:t xml:space="preserve"> A good general introduction to EpiDoc can be found in Bodard 2010. If you are entirely new to XML or the idea of computer markup, we recommend </w:t>
      </w:r>
      <w:r>
        <w:rPr>
          <w:noProof/>
        </w:rPr>
        <w:t>Roueché</w:t>
      </w:r>
      <w:r>
        <w:t xml:space="preserve"> and Flanders (n. d.) and Birnbaum (2015) for an introduction. </w:t>
      </w:r>
    </w:p>
    <w:p>
      <w:pPr>
        <w:pStyle w:val="Cmsor2"/>
      </w:pPr>
      <w:bookmarkStart w:id="14" w:name="_tm2h1v9vrjxa" w:colFirst="0" w:colLast="0"/>
      <w:bookmarkEnd w:id="14"/>
      <w:r>
        <w:t>Software</w:t>
      </w:r>
    </w:p>
    <w:p>
      <w:r>
        <w:t>The XML editor recommended throughout the project is Oxygen, but you are free to use any editor to produce your marked-up texts. Visual Studio Code is in particular recommended as a powerful free alternative to Oxygen. Editing software will usually be able to colour-code XML and may also be able to check the well-formedness of the markup or even to validate against a schema.</w:t>
      </w:r>
    </w:p>
    <w:p/>
    <w:p>
      <w:r>
        <w:t>Working in Oxygen, you will need to set a suitable font for the Editor.</w:t>
      </w:r>
    </w:p>
    <w:p>
      <w:pPr>
        <w:pStyle w:val="Lista"/>
      </w:pPr>
      <w:r>
        <w:t>the setting is found at Options/Preferences/Appearance/Fonts</w:t>
      </w:r>
    </w:p>
    <w:p>
      <w:pPr>
        <w:pStyle w:val="Lista"/>
      </w:pPr>
      <w:r>
        <w:t>what makes a font suitable?</w:t>
      </w:r>
    </w:p>
    <w:p>
      <w:pPr>
        <w:pStyle w:val="Lista2"/>
      </w:pPr>
      <w:r>
        <w:t>it can correctly display all the diacritical characters you work with</w:t>
      </w:r>
    </w:p>
    <w:p>
      <w:pPr>
        <w:pStyle w:val="Lista2"/>
      </w:pPr>
      <w:r>
        <w:t>it is easy on the eye</w:t>
      </w:r>
    </w:p>
    <w:p>
      <w:pPr>
        <w:pStyle w:val="Lista2"/>
      </w:pPr>
      <w:r>
        <w:t xml:space="preserve">it is preferably one in which the characters | </w:t>
      </w:r>
      <w:r>
        <w:rPr>
          <w:noProof/>
        </w:rPr>
        <w:t>(</w:t>
      </w:r>
      <w:r>
        <w:t xml:space="preserve">vertical bar), l </w:t>
      </w:r>
      <w:r>
        <w:rPr>
          <w:noProof/>
        </w:rPr>
        <w:t>(</w:t>
      </w:r>
      <w:r>
        <w:t xml:space="preserve">lowercase L) and I </w:t>
      </w:r>
      <w:r>
        <w:rPr>
          <w:noProof/>
        </w:rPr>
        <w:t>(</w:t>
      </w:r>
      <w:r>
        <w:t xml:space="preserve">uppercase </w:t>
      </w:r>
      <w:proofErr w:type="spellStart"/>
      <w:r>
        <w:t>i</w:t>
      </w:r>
      <w:proofErr w:type="spellEnd"/>
      <w:r>
        <w:t>) are all easily distinguishable</w:t>
      </w:r>
    </w:p>
    <w:p>
      <w:pPr>
        <w:pStyle w:val="Lista2"/>
      </w:pPr>
      <w:r>
        <w:t>it is preferably not too wide, so that you can see plenty of text even when not working on a full screen</w:t>
      </w:r>
    </w:p>
    <w:p>
      <w:pPr>
        <w:pStyle w:val="Lista"/>
      </w:pPr>
      <w:r>
        <w:t>some fonts we have tested and liked include:</w:t>
      </w:r>
    </w:p>
    <w:p>
      <w:pPr>
        <w:pStyle w:val="Lista2"/>
      </w:pPr>
      <w:r>
        <w:t xml:space="preserve">Google’s free </w:t>
      </w:r>
      <w:r>
        <w:rPr>
          <w:rFonts w:cs="Noto Serif"/>
        </w:rPr>
        <w:t>Noto Serif</w:t>
      </w:r>
      <w:r>
        <w:t xml:space="preserve"> and </w:t>
      </w:r>
      <w:r>
        <w:rPr>
          <w:rFonts w:cs="Noto Sans"/>
        </w:rPr>
        <w:t>Noto Sans</w:t>
      </w:r>
    </w:p>
    <w:p>
      <w:pPr>
        <w:pStyle w:val="Lista2"/>
      </w:pPr>
      <w:r>
        <w:t xml:space="preserve">Microsoft’s </w:t>
      </w:r>
      <w:r>
        <w:rPr>
          <w:rFonts w:asciiTheme="minorHAnsi" w:hAnsiTheme="minorHAnsi"/>
        </w:rPr>
        <w:t>Cambria</w:t>
      </w:r>
      <w:r>
        <w:t xml:space="preserve"> and </w:t>
      </w:r>
      <w:r>
        <w:rPr>
          <w:rFonts w:ascii="Consolas" w:hAnsi="Consolas"/>
        </w:rPr>
        <w:t>Consolas</w:t>
      </w:r>
    </w:p>
    <w:p>
      <w:pPr>
        <w:pStyle w:val="Lista"/>
      </w:pPr>
      <w:r>
        <w:t>note that fonts continue to develop</w:t>
      </w:r>
    </w:p>
    <w:p>
      <w:pPr>
        <w:pStyle w:val="Lista2"/>
      </w:pPr>
      <w:r>
        <w:t>if a font is attractive but causes display problems, check whether you have the latest version and if not, replace your version with that to see if the problems go away</w:t>
      </w:r>
    </w:p>
    <w:p/>
    <w:p>
      <w:r>
        <w:t>Further instructions for XML editing software in the project:</w:t>
      </w:r>
    </w:p>
    <w:p>
      <w:pPr>
        <w:pStyle w:val="Lista"/>
      </w:pPr>
      <w:r>
        <w:t xml:space="preserve">for using Oxygen with the DHARMA XML schema: </w:t>
      </w:r>
      <w:hyperlink r:id="rId10" w:history="1">
        <w:r>
          <w:rPr>
            <w:rStyle w:val="Hiperhivatkozs"/>
          </w:rPr>
          <w:t>https://github.com/erc-dharma/project-documentation/blob/66167c20f4be621256460be1640cb7a727104854/schema/README.md</w:t>
        </w:r>
      </w:hyperlink>
    </w:p>
    <w:p>
      <w:pPr>
        <w:pStyle w:val="Lista"/>
      </w:pPr>
      <w:r>
        <w:t xml:space="preserve">for setting up Oxygen to create human-readable HTML from an XML edition: </w:t>
      </w:r>
      <w:hyperlink r:id="rId11" w:history="1">
        <w:r>
          <w:rPr>
            <w:rStyle w:val="Hiperhivatkozs"/>
          </w:rPr>
          <w:t>https://github.com/erc-dharma/project-documentation/blob/master/stylesheets/README.md</w:t>
        </w:r>
      </w:hyperlink>
    </w:p>
    <w:p>
      <w:pPr>
        <w:pStyle w:val="Lista"/>
      </w:pPr>
      <w:r>
        <w:t xml:space="preserve">for using Visual Studio Code: </w:t>
      </w:r>
      <w:hyperlink r:id="rId12" w:history="1">
        <w:r>
          <w:rPr>
            <w:rStyle w:val="Hiperhivatkozs"/>
          </w:rPr>
          <w:t>https://erc-dharma.github.io/project-documentation/visual-code/UsingVS_v01</w:t>
        </w:r>
      </w:hyperlink>
    </w:p>
    <w:p>
      <w:pPr>
        <w:pStyle w:val="Cmsor2"/>
      </w:pPr>
      <w:bookmarkStart w:id="15" w:name="_h6ld3i1yh73t" w:colFirst="0" w:colLast="0"/>
      <w:bookmarkEnd w:id="15"/>
      <w:r>
        <w:t>Note on the examples</w:t>
      </w:r>
    </w:p>
    <w:p>
      <w:r>
        <w:t>We use generic English text to illustrate layout and other details where the meaning of the text is not relevant. The text excerpts used for other examples are mostly Sanskrit from India. Many of the illustrations have been drawn from actual inscriptions, but to eliminate distractions, details irrelevant to the topic at hand are often silently normalised, restored, corrected or altered in such illustrations.</w:t>
      </w:r>
    </w:p>
    <w:p>
      <w:pPr>
        <w:pStyle w:val="Normlbehzs"/>
      </w:pPr>
      <w:r>
        <w:t xml:space="preserve">XML </w:t>
      </w:r>
      <w:r>
        <w:rPr>
          <w:rStyle w:val="Code"/>
        </w:rPr>
        <w:t>&lt;elements&gt;</w:t>
      </w:r>
      <w:r>
        <w:t xml:space="preserve"> mentioned in discussion or used in illustrations are set apart from regular text by typeface, text colour and a shaded background. XML </w:t>
      </w:r>
      <w:r>
        <w:rPr>
          <w:rStyle w:val="Codeattribute"/>
        </w:rPr>
        <w:t>@attributes</w:t>
      </w:r>
      <w:r>
        <w:t xml:space="preserve">, when mentioned on their own, are prefixed with an </w:t>
      </w:r>
      <w:r>
        <w:rPr>
          <w:rStyle w:val="Codeattribute"/>
        </w:rPr>
        <w:t>@</w:t>
      </w:r>
      <w:r>
        <w:t xml:space="preserve"> sign and highlighted with text colour and background shading. To eliminate distractions, encoding details irrelevant to the topic at hand </w:t>
      </w:r>
      <w:r>
        <w:rPr>
          <w:noProof/>
        </w:rPr>
        <w:t>(</w:t>
      </w:r>
      <w:r>
        <w:t xml:space="preserve">such as end-tags, attributes and text content) are often omitted in illustrations even though they may be mandatory in actual practice. </w:t>
      </w:r>
    </w:p>
    <w:p>
      <w:pPr>
        <w:pStyle w:val="Cmsor2"/>
      </w:pPr>
      <w:bookmarkStart w:id="16" w:name="_66jpmlsjumit" w:colFirst="0" w:colLast="0"/>
      <w:bookmarkEnd w:id="16"/>
      <w:r>
        <w:lastRenderedPageBreak/>
        <w:t>Abbreviations</w:t>
      </w:r>
    </w:p>
    <w:p>
      <w:r>
        <w:t>In addition to some straightforward abbreviations, this Guide uses:</w:t>
      </w:r>
    </w:p>
    <w:p>
      <w:pPr>
        <w:pStyle w:val="Legend"/>
      </w:pPr>
      <w:r>
        <w:tab/>
        <w:t xml:space="preserve">EGC </w:t>
      </w:r>
      <w:r>
        <w:tab/>
        <w:t>the DHARMA Encoding Guide for Critical Editions</w:t>
      </w:r>
    </w:p>
    <w:p>
      <w:pPr>
        <w:pStyle w:val="Legend"/>
      </w:pPr>
      <w:r>
        <w:tab/>
        <w:t xml:space="preserve">EGD </w:t>
      </w:r>
      <w:r>
        <w:tab/>
        <w:t xml:space="preserve">the DHARMA Encoding Guide for Documentary Editions </w:t>
      </w:r>
      <w:r>
        <w:rPr>
          <w:noProof/>
        </w:rPr>
        <w:t>(</w:t>
      </w:r>
      <w:r>
        <w:t>the present document)</w:t>
      </w:r>
    </w:p>
    <w:p>
      <w:pPr>
        <w:pStyle w:val="Legend"/>
      </w:pPr>
      <w:r>
        <w:tab/>
        <w:t xml:space="preserve">TG </w:t>
      </w:r>
      <w:r>
        <w:tab/>
        <w:t>the DHARMA Transliteration Guide (version 4)</w:t>
      </w:r>
    </w:p>
    <w:p>
      <w:pPr>
        <w:pStyle w:val="Legend"/>
      </w:pPr>
      <w:r>
        <w:tab/>
      </w:r>
      <w:r>
        <w:rPr>
          <w:highlight w:val="yellow"/>
        </w:rPr>
        <w:t>VG</w:t>
      </w:r>
      <w:r>
        <w:rPr>
          <w:highlight w:val="yellow"/>
        </w:rPr>
        <w:tab/>
        <w:t>the DHARMA Versification Guide</w:t>
      </w:r>
    </w:p>
    <w:p>
      <w:pPr>
        <w:pStyle w:val="Legend"/>
      </w:pPr>
      <w:r>
        <w:tab/>
        <w:t>ZG</w:t>
      </w:r>
      <w:r>
        <w:tab/>
        <w:t>the DHARMA Zotero Guide</w:t>
      </w:r>
    </w:p>
    <w:p>
      <w:pPr>
        <w:pStyle w:val="Cmsor1"/>
      </w:pPr>
      <w:r>
        <w:lastRenderedPageBreak/>
        <w:t>Theoretical framework</w:t>
      </w:r>
    </w:p>
    <w:p>
      <w:pPr>
        <w:rPr>
          <w:lang w:eastAsia="en-US" w:bidi="ar-SA"/>
        </w:rPr>
      </w:pPr>
      <w:r>
        <w:t>Familiarity with terminology pertaining to epigraphy and textual studies is generally taken for granted, but some definitions and explanations are given in the body of the Guide when deemed necessary.</w:t>
      </w:r>
      <w:r>
        <w:t xml:space="preserve"> </w:t>
      </w:r>
      <w:r>
        <w:t xml:space="preserve">Terms and concepts relevant to versification are defined in </w:t>
      </w:r>
      <w:r>
        <w:rPr>
          <w:highlight w:val="yellow"/>
        </w:rPr>
        <w:t>VG</w:t>
      </w:r>
      <w:r>
        <w:t xml:space="preserve"> §#.</w:t>
      </w:r>
    </w:p>
    <w:p>
      <w:pPr>
        <w:pStyle w:val="Cmsor2"/>
      </w:pPr>
      <w:bookmarkStart w:id="17" w:name="_ktq4gtyoojde" w:colFirst="0" w:colLast="0"/>
      <w:bookmarkStart w:id="18" w:name="_u31qo517lzme" w:colFirst="0" w:colLast="0"/>
      <w:bookmarkStart w:id="19" w:name="_2jkucuulj067" w:colFirst="0" w:colLast="0"/>
      <w:bookmarkStart w:id="20" w:name="_Ref242695968"/>
      <w:bookmarkEnd w:id="17"/>
      <w:bookmarkEnd w:id="18"/>
      <w:bookmarkEnd w:id="19"/>
      <w:r>
        <w:t>Terminology for the analysis of writing</w:t>
      </w:r>
      <w:bookmarkEnd w:id="20"/>
    </w:p>
    <w:p>
      <w:r>
        <w:rPr>
          <w:lang w:eastAsia="en-US" w:bidi="ar-SA"/>
        </w:rPr>
        <w:t xml:space="preserve">The grapholinguistic terms used in this section are </w:t>
      </w:r>
      <w:r>
        <w:t xml:space="preserve">defined </w:t>
      </w:r>
      <w:r>
        <w:t xml:space="preserve">more fully </w:t>
      </w:r>
      <w:r>
        <w:t>in TG §1.6 and elaborated in TG §2; the present document’s §</w:t>
      </w:r>
      <w:r>
        <w:fldChar w:fldCharType="begin"/>
      </w:r>
      <w:r>
        <w:instrText xml:space="preserve"> REF _Ref227844670 \r \h </w:instrText>
      </w:r>
      <w:r>
        <w:fldChar w:fldCharType="separate"/>
      </w:r>
      <w:r>
        <w:t>16.3</w:t>
      </w:r>
      <w:r>
        <w:fldChar w:fldCharType="end"/>
      </w:r>
      <w:r>
        <w:t xml:space="preserve"> </w:t>
      </w:r>
      <w:r>
        <w:t xml:space="preserve">summarises </w:t>
      </w:r>
      <w:r>
        <w:t>the implications of these definitions as regards work on Indic texts in Romanised transliteration.</w:t>
      </w:r>
    </w:p>
    <w:p>
      <w:pPr>
        <w:pStyle w:val="Lista"/>
      </w:pPr>
      <w:r>
        <w:rPr>
          <w:b/>
          <w:bCs/>
        </w:rPr>
        <w:t>graphemes</w:t>
      </w:r>
      <w:r>
        <w:t xml:space="preserve"> are a finite set of signs belonging to a writing system, comprised of a signifier that is a graphic feature and a signified that is a minimal unit of abstract linguistic information pertinent to analytic interest</w:t>
      </w:r>
    </w:p>
    <w:p>
      <w:pPr>
        <w:pStyle w:val="Lista"/>
      </w:pPr>
      <w:r>
        <w:rPr>
          <w:b/>
          <w:bCs/>
        </w:rPr>
        <w:t>graphs</w:t>
      </w:r>
      <w:r>
        <w:t xml:space="preserve"> are an infinite set of graphic signs belonging to a script, which are the concrete graphic instantiations of graphemes, such as |A|, |</w:t>
      </w:r>
      <w:r>
        <w:rPr>
          <w:rFonts w:ascii="Old English Text MT" w:hAnsi="Old English Text MT"/>
        </w:rPr>
        <w:t>A</w:t>
      </w:r>
      <w:r>
        <w:t>|, |</w:t>
      </w:r>
      <w:r>
        <w:rPr>
          <w:rStyle w:val="ForeignDevanagariScript0"/>
          <w:rFonts w:hint="cs"/>
          <w:cs/>
        </w:rPr>
        <w:t>अ</w:t>
      </w:r>
      <w:r>
        <w:t>|, |</w:t>
      </w:r>
      <w:r>
        <w:rPr>
          <w:rStyle w:val="ForeignDevanagariAlt"/>
          <w:cs/>
        </w:rPr>
        <w:t>अ</w:t>
      </w:r>
      <w:r>
        <w:t>|</w:t>
      </w:r>
    </w:p>
    <w:p>
      <w:pPr>
        <w:pStyle w:val="Lista"/>
      </w:pPr>
      <w:r>
        <w:rPr>
          <w:b/>
          <w:bCs/>
        </w:rPr>
        <w:t>graphotactics</w:t>
      </w:r>
      <w:r>
        <w:t xml:space="preserve"> is </w:t>
      </w:r>
      <w:r>
        <w:rPr>
          <w:noProof/>
        </w:rPr>
        <w:t>(</w:t>
      </w:r>
      <w:r>
        <w:t>the study of) the ways in which graphemes and graphs combine into sequences</w:t>
      </w:r>
    </w:p>
    <w:p>
      <w:pPr>
        <w:pStyle w:val="Lista"/>
      </w:pPr>
      <w:r>
        <w:rPr>
          <w:b/>
          <w:bCs/>
        </w:rPr>
        <w:t>allographs</w:t>
      </w:r>
      <w:r>
        <w:t xml:space="preserve"> are graphs which instantiate the same grapheme</w:t>
      </w:r>
    </w:p>
    <w:p>
      <w:pPr>
        <w:pStyle w:val="Lista2"/>
      </w:pPr>
      <w:r>
        <w:rPr>
          <w:b/>
          <w:bCs/>
        </w:rPr>
        <w:t>graphetic allographs</w:t>
      </w:r>
      <w:r>
        <w:t xml:space="preserve"> are allographs which do not signify any linguistic information other than that contained in the grapheme, such as Devanagari |</w:t>
      </w:r>
      <w:r>
        <w:rPr>
          <w:rStyle w:val="ForeignDevanagariScript0"/>
          <w:cs/>
        </w:rPr>
        <w:t>अ</w:t>
      </w:r>
      <w:r>
        <w:t>|, |</w:t>
      </w:r>
      <w:r>
        <w:rPr>
          <w:rStyle w:val="ForeignDevanagariAlt"/>
          <w:rFonts w:asciiTheme="majorBidi" w:hAnsiTheme="majorBidi" w:cstheme="majorBidi"/>
          <w:cs/>
        </w:rPr>
        <w:t>अ</w:t>
      </w:r>
      <w:r>
        <w:t>| and |</w:t>
      </w:r>
      <w:r>
        <w:rPr>
          <w:rStyle w:val="ForeignDevanagariAlt"/>
          <w:cs/>
        </w:rPr>
        <w:t>अ</w:t>
      </w:r>
      <w:r>
        <w:t>|</w:t>
      </w:r>
    </w:p>
    <w:p>
      <w:pPr>
        <w:pStyle w:val="Lista2"/>
      </w:pPr>
      <w:r>
        <w:rPr>
          <w:b/>
          <w:bCs/>
        </w:rPr>
        <w:t>graphotactic allographs</w:t>
      </w:r>
      <w:r>
        <w:t xml:space="preserve"> are allographs of which only one is permitted in a given graphotactic context </w:t>
      </w:r>
      <w:r>
        <w:rPr>
          <w:noProof/>
        </w:rPr>
        <w:t>(</w:t>
      </w:r>
      <w:r>
        <w:t xml:space="preserve">in a given sequence of graphemes), such as the graphs corresponding to the grapheme </w:t>
      </w:r>
      <w:r>
        <w:rPr>
          <w:rStyle w:val="ForeignIndic"/>
        </w:rPr>
        <w:t>&lt;r&gt;</w:t>
      </w:r>
      <w:r>
        <w:t xml:space="preserve"> in Devanagari </w:t>
      </w:r>
      <w:r>
        <w:rPr>
          <w:noProof/>
          <w:lang w:bidi="sa-IN"/>
        </w:rPr>
        <w:t>|</w:t>
      </w:r>
      <w:r>
        <w:rPr>
          <w:rStyle w:val="ForeignDevanagariScript0"/>
          <w:rFonts w:hint="cs"/>
          <w:cs/>
        </w:rPr>
        <w:t>र्क</w:t>
      </w:r>
      <w:r>
        <w:rPr>
          <w:noProof/>
          <w:lang w:bidi="sa-IN"/>
        </w:rPr>
        <w:t>|</w:t>
      </w:r>
      <w:r>
        <w:rPr>
          <w:rStyle w:val="ForeignIndic"/>
        </w:rPr>
        <w:t>=</w:t>
      </w:r>
      <w:r>
        <w:rPr>
          <w:noProof/>
          <w:lang w:bidi="sa-IN"/>
        </w:rPr>
        <w:t>|rka|</w:t>
      </w:r>
      <w:r>
        <w:rPr>
          <w:lang w:bidi="sa-IN"/>
        </w:rPr>
        <w:t xml:space="preserve"> and </w:t>
      </w:r>
      <w:r>
        <w:rPr>
          <w:noProof/>
          <w:lang w:bidi="sa-IN"/>
        </w:rPr>
        <w:t>|</w:t>
      </w:r>
      <w:r>
        <w:rPr>
          <w:rStyle w:val="ForeignDevanagariScript0"/>
          <w:rFonts w:hint="cs"/>
          <w:cs/>
        </w:rPr>
        <w:t>क्र</w:t>
      </w:r>
      <w:r>
        <w:rPr>
          <w:noProof/>
          <w:lang w:bidi="sa-IN"/>
        </w:rPr>
        <w:t>|</w:t>
      </w:r>
      <w:r>
        <w:rPr>
          <w:rStyle w:val="ForeignIndic"/>
        </w:rPr>
        <w:t>=|kra|</w:t>
      </w:r>
    </w:p>
    <w:p>
      <w:pPr>
        <w:pStyle w:val="Lista2"/>
      </w:pPr>
      <w:r>
        <w:rPr>
          <w:b/>
          <w:bCs/>
        </w:rPr>
        <w:t>graphemic allographs</w:t>
      </w:r>
      <w:r>
        <w:t xml:space="preserve"> are allographs which potentially signify linguistic information in addition to, and at a different level than, that inherent in the grapheme, such as Devanagari |</w:t>
      </w:r>
      <w:r>
        <w:rPr>
          <w:rStyle w:val="ForeignDevanagariScript0"/>
          <w:cs/>
        </w:rPr>
        <w:t>उ</w:t>
      </w:r>
      <w:r>
        <w:t>| | versus |</w:t>
      </w:r>
      <w:r>
        <w:rPr>
          <w:rStyle w:val="ForeignDevanagariScript0"/>
          <w:rFonts w:hint="cs"/>
          <w:cs/>
        </w:rPr>
        <w:t>ु</w:t>
      </w:r>
      <w:r>
        <w:t>|</w:t>
      </w:r>
    </w:p>
    <w:p>
      <w:pPr>
        <w:pStyle w:val="Lista"/>
      </w:pPr>
      <w:r>
        <w:rPr>
          <w:b/>
          <w:bCs/>
        </w:rPr>
        <w:t>homographs</w:t>
      </w:r>
      <w:r>
        <w:t xml:space="preserve"> are identical or nearly identical graphs which instantiate different graphemes</w:t>
      </w:r>
    </w:p>
    <w:p>
      <w:pPr>
        <w:pStyle w:val="Lista"/>
      </w:pPr>
      <w:r>
        <w:t xml:space="preserve">a </w:t>
      </w:r>
      <w:r>
        <w:rPr>
          <w:b/>
          <w:bCs/>
        </w:rPr>
        <w:t>character</w:t>
      </w:r>
      <w:r>
        <w:t xml:space="preserve"> is the minimal graphetically autonomous unit of a writing system, for example, </w:t>
      </w:r>
      <w:r>
        <w:rPr>
          <w:rStyle w:val="ForeignIndic"/>
        </w:rPr>
        <w:t>&lt;A&gt;</w:t>
      </w:r>
      <w:r>
        <w:t xml:space="preserve">, </w:t>
      </w:r>
      <w:r>
        <w:rPr>
          <w:rStyle w:val="ForeignIndic"/>
        </w:rPr>
        <w:t>&lt;T&gt;</w:t>
      </w:r>
      <w:r>
        <w:t xml:space="preserve">, </w:t>
      </w:r>
      <w:r>
        <w:rPr>
          <w:rStyle w:val="ForeignIndic"/>
        </w:rPr>
        <w:t>&lt;t·&gt;</w:t>
      </w:r>
      <w:r>
        <w:t xml:space="preserve">, </w:t>
      </w:r>
      <w:r>
        <w:rPr>
          <w:rStyle w:val="ForeignIndic"/>
        </w:rPr>
        <w:t>&lt;ka&gt;</w:t>
      </w:r>
      <w:r>
        <w:t xml:space="preserve"> and </w:t>
      </w:r>
      <w:r>
        <w:rPr>
          <w:rStyle w:val="ForeignIndic"/>
        </w:rPr>
        <w:t>&lt;rtsnyai&gt;</w:t>
      </w:r>
      <w:r>
        <w:t xml:space="preserve"> are characters of the Indic writing system</w:t>
      </w:r>
    </w:p>
    <w:p>
      <w:pPr>
        <w:pStyle w:val="Lista"/>
      </w:pPr>
      <w:r>
        <w:t xml:space="preserve">a </w:t>
      </w:r>
      <w:r>
        <w:rPr>
          <w:b/>
          <w:bCs/>
        </w:rPr>
        <w:t>glyph</w:t>
      </w:r>
      <w:r>
        <w:t xml:space="preserve"> is the concrete manifestation of a character, for example, |</w:t>
      </w:r>
      <w:r>
        <w:rPr>
          <w:rStyle w:val="ForeignDevanagariScript0"/>
          <w:rFonts w:hint="cs"/>
          <w:cs/>
        </w:rPr>
        <w:t>अ</w:t>
      </w:r>
      <w:r>
        <w:t>|, |</w:t>
      </w:r>
      <w:r>
        <w:rPr>
          <w:rStyle w:val="ForeignDevanagariScript0"/>
          <w:rFonts w:hint="cs"/>
          <w:cs/>
        </w:rPr>
        <w:t>त्</w:t>
      </w:r>
      <w:r>
        <w:t>|, |</w:t>
      </w:r>
      <w:r>
        <w:rPr>
          <w:rStyle w:val="ForeignDevanagariScript0"/>
          <w:rFonts w:hint="cs"/>
          <w:cs/>
        </w:rPr>
        <w:t>क</w:t>
      </w:r>
      <w:r>
        <w:t>| and |</w:t>
      </w:r>
      <w:r>
        <w:rPr>
          <w:rStyle w:val="ForeignDevanagariScript0"/>
          <w:rFonts w:hint="cs"/>
          <w:cs/>
        </w:rPr>
        <w:t>र्त्स्न्यै</w:t>
      </w:r>
      <w:r>
        <w:t>| are glyphs of the Devanagari script</w:t>
      </w:r>
    </w:p>
    <w:p>
      <w:pPr>
        <w:pStyle w:val="Lista"/>
      </w:pPr>
      <w:r>
        <w:t xml:space="preserve">the term </w:t>
      </w:r>
      <w:r>
        <w:rPr>
          <w:rStyle w:val="Foreign"/>
          <w:b/>
          <w:bCs/>
        </w:rPr>
        <w:t>akṣara</w:t>
      </w:r>
      <w:r>
        <w:t xml:space="preserve"> can refer to either the characters or the glyphs of an aksharic writing system</w:t>
      </w:r>
    </w:p>
    <w:p>
      <w:pPr>
        <w:pStyle w:val="Lista"/>
      </w:pPr>
      <w:r>
        <w:t xml:space="preserve">a </w:t>
      </w:r>
      <w:r>
        <w:rPr>
          <w:b/>
          <w:bCs/>
        </w:rPr>
        <w:t>component</w:t>
      </w:r>
      <w:r>
        <w:t xml:space="preserve"> is a visually discernible graph in a complex glyph, such as the graphs </w:t>
      </w:r>
      <w:r>
        <w:rPr>
          <w:noProof/>
        </w:rPr>
        <w:t>|t|</w:t>
      </w:r>
      <w:r>
        <w:t xml:space="preserve"> and </w:t>
      </w:r>
      <w:r>
        <w:rPr>
          <w:noProof/>
        </w:rPr>
        <w:t>|e|</w:t>
      </w:r>
      <w:r>
        <w:t xml:space="preserve"> in |</w:t>
      </w:r>
      <w:r>
        <w:rPr>
          <w:rStyle w:val="ForeignDevanagariScript0"/>
          <w:rFonts w:hint="cs"/>
          <w:cs/>
        </w:rPr>
        <w:t>ते</w:t>
      </w:r>
      <w:r>
        <w:t>|</w:t>
      </w:r>
    </w:p>
    <w:p>
      <w:pPr>
        <w:pStyle w:val="Lista2"/>
      </w:pPr>
      <w:r>
        <w:t xml:space="preserve">a </w:t>
      </w:r>
      <w:r>
        <w:rPr>
          <w:b/>
          <w:bCs/>
        </w:rPr>
        <w:t>marker</w:t>
      </w:r>
      <w:r>
        <w:t xml:space="preserve"> is a graph which can only manifest as a component, and never as an independent glyph, such as the </w:t>
      </w:r>
      <w:r>
        <w:rPr>
          <w:noProof/>
        </w:rPr>
        <w:t>|e|</w:t>
      </w:r>
      <w:r>
        <w:t xml:space="preserve"> in |</w:t>
      </w:r>
      <w:r>
        <w:rPr>
          <w:rStyle w:val="ForeignDevanagariScript0"/>
          <w:rFonts w:hint="cs"/>
          <w:cs/>
        </w:rPr>
        <w:t>ते</w:t>
      </w:r>
      <w:r>
        <w:t>|</w:t>
      </w:r>
    </w:p>
    <w:p>
      <w:pPr>
        <w:pStyle w:val="Lista"/>
      </w:pPr>
      <w:r>
        <w:t xml:space="preserve">a </w:t>
      </w:r>
      <w:r>
        <w:rPr>
          <w:noProof/>
        </w:rPr>
        <w:t>(</w:t>
      </w:r>
      <w:r>
        <w:t xml:space="preserve">graphic) </w:t>
      </w:r>
      <w:r>
        <w:rPr>
          <w:b/>
          <w:bCs/>
        </w:rPr>
        <w:t>element</w:t>
      </w:r>
      <w:r>
        <w:t xml:space="preserve"> is any salient part of a graph or glyph that is not itself a graph, i.e. which has no graphemic signification of its own</w:t>
      </w:r>
    </w:p>
    <w:p>
      <w:pPr>
        <w:pStyle w:val="Lista2"/>
      </w:pPr>
      <w:r>
        <w:t xml:space="preserve">a </w:t>
      </w:r>
      <w:r>
        <w:rPr>
          <w:b/>
          <w:bCs/>
        </w:rPr>
        <w:t>stroke</w:t>
      </w:r>
      <w:r>
        <w:t xml:space="preserve"> is a graphic element which can be written as a single stroke of the writing instrument</w:t>
      </w:r>
    </w:p>
    <w:p>
      <w:pPr>
        <w:pStyle w:val="Lista"/>
      </w:pPr>
      <w:r>
        <w:rPr>
          <w:b/>
          <w:bCs/>
        </w:rPr>
        <w:t>core graphemes</w:t>
      </w:r>
      <w:r>
        <w:t xml:space="preserve"> are those to which we dedicate a unique transliteration equivalent, and this identifies the grapheme precisely enough for our purposes</w:t>
      </w:r>
    </w:p>
    <w:p>
      <w:pPr>
        <w:pStyle w:val="Lista2"/>
      </w:pPr>
      <w:r>
        <w:t xml:space="preserve">our core graphemes are the Indic writing system’s phonographic graphemes </w:t>
      </w:r>
      <w:r>
        <w:rPr>
          <w:noProof/>
        </w:rPr>
        <w:t>(</w:t>
      </w:r>
      <w:r>
        <w:t xml:space="preserve">including the inherent vowel and the </w:t>
      </w:r>
      <w:r>
        <w:rPr>
          <w:rStyle w:val="Foreign"/>
        </w:rPr>
        <w:t>virāma</w:t>
      </w:r>
      <w:r>
        <w:t xml:space="preserve">) and its numeral signs, along with a small number of miscellaneous graphemes such as the </w:t>
      </w:r>
      <w:r>
        <w:rPr>
          <w:rStyle w:val="Foreign"/>
        </w:rPr>
        <w:t>avagraha</w:t>
      </w:r>
      <w:r>
        <w:t xml:space="preserve"> and the abbreviation mark</w:t>
      </w:r>
    </w:p>
    <w:p>
      <w:pPr>
        <w:pStyle w:val="Lista"/>
        <w:rPr>
          <w:b/>
          <w:bCs/>
        </w:rPr>
      </w:pPr>
      <w:r>
        <w:rPr>
          <w:b/>
          <w:bCs/>
        </w:rPr>
        <w:t>peripheral graphemes</w:t>
      </w:r>
      <w:r>
        <w:t xml:space="preserve">, also called simply </w:t>
      </w:r>
      <w:r>
        <w:rPr>
          <w:b/>
          <w:bCs/>
        </w:rPr>
        <w:t>symbols</w:t>
      </w:r>
      <w:r>
        <w:t>, are those which we transliterate by means of a placeholder, which identifies the grapheme in a vague manner, while more precise identification may be added through encoding</w:t>
      </w:r>
    </w:p>
    <w:p>
      <w:pPr>
        <w:pStyle w:val="Lista2"/>
      </w:pPr>
      <w:r>
        <w:t xml:space="preserve">our peripheral graphemes include the Indic writing system’s non-numeral ideograms, its marks other than the </w:t>
      </w:r>
      <w:r>
        <w:rPr>
          <w:rStyle w:val="Foreign"/>
        </w:rPr>
        <w:t>avagraha</w:t>
      </w:r>
      <w:r>
        <w:t xml:space="preserve"> and the abbreviation mark, and its abstract symbols</w:t>
      </w:r>
    </w:p>
    <w:p>
      <w:pPr>
        <w:pStyle w:val="Cmsor2"/>
      </w:pPr>
      <w:r>
        <w:lastRenderedPageBreak/>
        <w:t>Terminology for encoding</w:t>
      </w:r>
    </w:p>
    <w:p>
      <w:r>
        <w:t xml:space="preserve">This section clarifies terms and concepts essential for encoding texts in XML. </w:t>
      </w:r>
    </w:p>
    <w:p>
      <w:pPr>
        <w:pStyle w:val="Cmsor3"/>
      </w:pPr>
      <w:bookmarkStart w:id="21" w:name="_Ref233641527"/>
      <w:bookmarkStart w:id="22" w:name="_Toc242976583"/>
      <w:r>
        <w:t>Markup</w:t>
      </w:r>
      <w:bookmarkEnd w:id="21"/>
      <w:bookmarkEnd w:id="22"/>
    </w:p>
    <w:p>
      <w:pPr>
        <w:pStyle w:val="Lista"/>
      </w:pPr>
      <w:r>
        <w:rPr>
          <w:b/>
          <w:bCs/>
        </w:rPr>
        <w:t>markup</w:t>
      </w:r>
      <w:r>
        <w:t xml:space="preserve"> traditionally means annotation within a text to convey information about the presentation of the text, including among others</w:t>
      </w:r>
    </w:p>
    <w:p>
      <w:pPr>
        <w:pStyle w:val="Lista2"/>
      </w:pPr>
      <w:r>
        <w:t xml:space="preserve">markings in a modern manuscript to instruct a typesetter, for instance </w:t>
      </w:r>
      <w:r>
        <w:rPr>
          <w:u w:val="single"/>
        </w:rPr>
        <w:t>underline</w:t>
      </w:r>
      <w:r>
        <w:t xml:space="preserve"> to indicate conversion to italics</w:t>
      </w:r>
    </w:p>
    <w:p>
      <w:pPr>
        <w:pStyle w:val="Lista2"/>
      </w:pPr>
      <w:r>
        <w:t>various brackets and other signs used in philology and epigraphy, for instance to indicate that certain parts of a text are tentatively read or supplied by the editor</w:t>
      </w:r>
    </w:p>
    <w:p>
      <w:pPr>
        <w:pStyle w:val="Lista2"/>
      </w:pPr>
      <w:r>
        <w:t>machine-readable markup, i.e. encoding</w:t>
      </w:r>
    </w:p>
    <w:p>
      <w:pPr>
        <w:pStyle w:val="Lista"/>
      </w:pPr>
      <w:r>
        <w:t xml:space="preserve">the TEI guidelines define </w:t>
      </w:r>
      <w:r>
        <w:rPr>
          <w:b/>
          <w:bCs/>
        </w:rPr>
        <w:t>encoding</w:t>
      </w:r>
      <w:r>
        <w:t xml:space="preserve"> and </w:t>
      </w:r>
      <w:r>
        <w:rPr>
          <w:b/>
          <w:bCs/>
        </w:rPr>
        <w:t>markup</w:t>
      </w:r>
      <w:r>
        <w:t xml:space="preserve"> as synonymous and applicable in a widely generalised sense to “any means of making explicit an interpretation of a text”</w:t>
      </w:r>
      <w:r>
        <w:rPr>
          <w:rStyle w:val="Lbjegyzet-hivatkozs"/>
        </w:rPr>
        <w:footnoteReference w:id="4"/>
      </w:r>
      <w:r>
        <w:t xml:space="preserve"> and including typographic devices, punctuation marks and even spaces</w:t>
      </w:r>
    </w:p>
    <w:p>
      <w:pPr>
        <w:pStyle w:val="Lista"/>
      </w:pPr>
      <w:r>
        <w:t>in the more circumscribed usage of this guide,</w:t>
      </w:r>
    </w:p>
    <w:p>
      <w:pPr>
        <w:pStyle w:val="Lista2"/>
      </w:pPr>
      <w:r>
        <w:rPr>
          <w:b/>
          <w:bCs/>
        </w:rPr>
        <w:t>markup</w:t>
      </w:r>
      <w:r>
        <w:t xml:space="preserve"> may refer to shorthand used in the transliteration (TG §3.3), to editorial signs used in a printed edition, or to XML encoding</w:t>
      </w:r>
    </w:p>
    <w:p>
      <w:pPr>
        <w:pStyle w:val="Lista2"/>
      </w:pPr>
      <w:r>
        <w:rPr>
          <w:b/>
          <w:bCs/>
        </w:rPr>
        <w:t>encoding</w:t>
      </w:r>
      <w:r>
        <w:t xml:space="preserve"> refers specifically to the method of encoding texts in XML</w:t>
      </w:r>
    </w:p>
    <w:p>
      <w:pPr>
        <w:pStyle w:val="Lista"/>
      </w:pPr>
      <w:r>
        <w:rPr>
          <w:b/>
          <w:bCs/>
        </w:rPr>
        <w:t>conceptual markup</w:t>
      </w:r>
      <w:r>
        <w:t xml:space="preserve"> </w:t>
      </w:r>
      <w:r>
        <w:rPr>
          <w:noProof/>
        </w:rPr>
        <w:t>(</w:t>
      </w:r>
      <w:r>
        <w:t xml:space="preserve">also called descriptive markup and semantic markup) essentially means tagging content for </w:t>
      </w:r>
      <w:r>
        <w:rPr>
          <w:rStyle w:val="Foreign"/>
        </w:rPr>
        <w:t>what it is</w:t>
      </w:r>
      <w:r>
        <w:t xml:space="preserve">, as opposed to other types of markup </w:t>
      </w:r>
      <w:r>
        <w:rPr>
          <w:noProof/>
        </w:rPr>
        <w:t>(</w:t>
      </w:r>
      <w:r>
        <w:t>which are only mentioned here for contrast, but which you need not worry about), namely</w:t>
      </w:r>
    </w:p>
    <w:p>
      <w:pPr>
        <w:pStyle w:val="Lista2"/>
      </w:pPr>
      <w:r>
        <w:t xml:space="preserve">presentational markup, which tags content for </w:t>
      </w:r>
      <w:r>
        <w:rPr>
          <w:rStyle w:val="Foreign"/>
        </w:rPr>
        <w:t>what it should look like</w:t>
      </w:r>
      <w:r>
        <w:t>, as in simple WYSIWYG word processing where you can apply bold, italic, font choice, colour, etc. to bits of text</w:t>
      </w:r>
    </w:p>
    <w:p>
      <w:pPr>
        <w:pStyle w:val="Lista2"/>
      </w:pPr>
      <w:r>
        <w:t xml:space="preserve">procedural markup, which tags content for </w:t>
      </w:r>
      <w:r>
        <w:rPr>
          <w:rStyle w:val="Foreign"/>
        </w:rPr>
        <w:t>what an algorithm should do with it</w:t>
      </w:r>
      <w:r>
        <w:t xml:space="preserve">, as for instance in TeX </w:t>
      </w:r>
      <w:r>
        <w:rPr>
          <w:noProof/>
        </w:rPr>
        <w:t>(</w:t>
      </w:r>
      <w:r>
        <w:t>as opposed to LaTeX, which mostly uses conceptual markup)</w:t>
      </w:r>
    </w:p>
    <w:p>
      <w:pPr>
        <w:pStyle w:val="Lista"/>
      </w:pPr>
      <w:r>
        <w:t xml:space="preserve">conceptual markup allows a </w:t>
      </w:r>
      <w:r>
        <w:rPr>
          <w:i/>
          <w:iCs/>
        </w:rPr>
        <w:t>separation of concerns</w:t>
      </w:r>
      <w:r>
        <w:t>: instructions for what a processing algorithm should do to items tagged in a particular way, as well as instructions for how these items should be rendered on screen or in print, are kept separate from the actual text</w:t>
      </w:r>
    </w:p>
    <w:p>
      <w:pPr>
        <w:pStyle w:val="Lista"/>
      </w:pPr>
      <w:r>
        <w:t xml:space="preserve">a </w:t>
      </w:r>
      <w:r>
        <w:rPr>
          <w:b/>
          <w:bCs/>
        </w:rPr>
        <w:t>markup language</w:t>
      </w:r>
      <w:r>
        <w:t xml:space="preserve"> is a coherent set of markup conventions </w:t>
      </w:r>
    </w:p>
    <w:p>
      <w:pPr>
        <w:pStyle w:val="Lista"/>
      </w:pPr>
      <w:r>
        <w:rPr>
          <w:b/>
          <w:bCs/>
        </w:rPr>
        <w:t>XML</w:t>
      </w:r>
      <w:r>
        <w:t xml:space="preserve"> </w:t>
      </w:r>
      <w:r>
        <w:rPr>
          <w:noProof/>
        </w:rPr>
        <w:t>(eXtensible</w:t>
      </w:r>
      <w:r>
        <w:t xml:space="preserve"> Markup Language) is a machine-readable markup language used for a wide variety of purposes and independent of hardware or software platform</w:t>
      </w:r>
    </w:p>
    <w:p>
      <w:pPr>
        <w:pStyle w:val="Lista"/>
      </w:pPr>
      <w:r>
        <w:t xml:space="preserve">the </w:t>
      </w:r>
      <w:r>
        <w:rPr>
          <w:b/>
          <w:bCs/>
        </w:rPr>
        <w:t>TEI</w:t>
      </w:r>
      <w:r>
        <w:t xml:space="preserve"> </w:t>
      </w:r>
      <w:r>
        <w:rPr>
          <w:noProof/>
        </w:rPr>
        <w:t>(</w:t>
      </w:r>
      <w:r>
        <w:t xml:space="preserve">Text Encoding Initiative) is a standard for the machine-readable encoding of texts </w:t>
      </w:r>
      <w:r>
        <w:rPr>
          <w:noProof/>
        </w:rPr>
        <w:t>(</w:t>
      </w:r>
      <w:r>
        <w:t>understood in a very broad sense) to facilitate text documentation, text representation, text analysis and interpretation</w:t>
      </w:r>
    </w:p>
    <w:p>
      <w:pPr>
        <w:pStyle w:val="Lista2"/>
      </w:pPr>
      <w:r>
        <w:t>TEI has been developed and is maintained by the eponymous Text Encoding Initiative Consortium</w:t>
      </w:r>
    </w:p>
    <w:p>
      <w:pPr>
        <w:pStyle w:val="Lista2"/>
      </w:pPr>
      <w:r>
        <w:t>TEI defines a versatile and massive set of XML conventions for marking up texts</w:t>
      </w:r>
    </w:p>
    <w:p>
      <w:pPr>
        <w:pStyle w:val="Lista"/>
      </w:pPr>
      <w:r>
        <w:rPr>
          <w:b/>
          <w:bCs/>
        </w:rPr>
        <w:t>EpiDoc</w:t>
      </w:r>
      <w:r>
        <w:t xml:space="preserve"> is a subset of TEI-compliant markup rules specifically devised for marking up epigraphic documents</w:t>
      </w:r>
    </w:p>
    <w:p>
      <w:pPr>
        <w:pStyle w:val="Cmsor3"/>
      </w:pPr>
      <w:bookmarkStart w:id="23" w:name="_Ref224893557"/>
      <w:bookmarkStart w:id="24" w:name="_Toc242976584"/>
      <w:r>
        <w:t>XML elements</w:t>
      </w:r>
      <w:bookmarkEnd w:id="23"/>
      <w:bookmarkEnd w:id="24"/>
    </w:p>
    <w:p>
      <w:pPr>
        <w:pStyle w:val="Lista"/>
      </w:pPr>
      <w:r>
        <w:t xml:space="preserve">the structural units of XML are known as </w:t>
      </w:r>
      <w:r>
        <w:rPr>
          <w:b/>
          <w:bCs/>
        </w:rPr>
        <w:t>elements</w:t>
      </w:r>
    </w:p>
    <w:p>
      <w:pPr>
        <w:pStyle w:val="Lista"/>
      </w:pPr>
      <w:r>
        <w:t xml:space="preserve">within an XML document, elements take the form of </w:t>
      </w:r>
      <w:r>
        <w:rPr>
          <w:b/>
          <w:bCs/>
        </w:rPr>
        <w:t>tags</w:t>
      </w:r>
      <w:r>
        <w:t xml:space="preserve">: words of code distinguished from the textual content by being always wrapped in angle brackets </w:t>
      </w:r>
      <w:r>
        <w:rPr>
          <w:rStyle w:val="Code"/>
        </w:rPr>
        <w:t>&lt;&gt;</w:t>
      </w:r>
    </w:p>
    <w:p>
      <w:pPr>
        <w:pStyle w:val="Lista"/>
      </w:pPr>
      <w:r>
        <w:t>an XML element may be either</w:t>
      </w:r>
    </w:p>
    <w:p>
      <w:pPr>
        <w:pStyle w:val="Lista2"/>
      </w:pPr>
      <w:r>
        <w:rPr>
          <w:b/>
          <w:bCs/>
        </w:rPr>
        <w:t>empty</w:t>
      </w:r>
      <w:r>
        <w:t>, containing neither text nor further elements</w:t>
      </w:r>
    </w:p>
    <w:p>
      <w:pPr>
        <w:pStyle w:val="Lista3"/>
      </w:pPr>
      <w:r>
        <w:t>taking the form of a single tag ending with a slash to show that the element ends with the tag</w:t>
      </w:r>
    </w:p>
    <w:p>
      <w:pPr>
        <w:pStyle w:val="Lista4"/>
      </w:pPr>
      <w:r>
        <w:t xml:space="preserve">e.g. </w:t>
      </w:r>
      <w:r>
        <w:rPr>
          <w:rStyle w:val="Code"/>
        </w:rPr>
        <w:t>&lt;lb/&gt;</w:t>
      </w:r>
    </w:p>
    <w:p>
      <w:pPr>
        <w:pStyle w:val="Lista2"/>
      </w:pPr>
      <w:r>
        <w:t xml:space="preserve">or </w:t>
      </w:r>
      <w:r>
        <w:rPr>
          <w:b/>
          <w:bCs/>
        </w:rPr>
        <w:t>non-empty</w:t>
      </w:r>
      <w:r>
        <w:t xml:space="preserve">, containing any mixture of text and/or further </w:t>
      </w:r>
      <w:r>
        <w:rPr>
          <w:noProof/>
        </w:rPr>
        <w:t>(</w:t>
      </w:r>
      <w:r>
        <w:t>empty or non-empty) XML elements</w:t>
      </w:r>
    </w:p>
    <w:p>
      <w:pPr>
        <w:pStyle w:val="Lista3"/>
      </w:pPr>
      <w:r>
        <w:lastRenderedPageBreak/>
        <w:t>taking the form of a pair of tags</w:t>
      </w:r>
    </w:p>
    <w:p>
      <w:pPr>
        <w:pStyle w:val="Lista4"/>
      </w:pPr>
      <w:r>
        <w:t xml:space="preserve">a start-tag which identifies the element, e.g. </w:t>
      </w:r>
      <w:r>
        <w:rPr>
          <w:rStyle w:val="Code"/>
        </w:rPr>
        <w:t>&lt;unclear&gt;</w:t>
      </w:r>
    </w:p>
    <w:p>
      <w:pPr>
        <w:pStyle w:val="Lista4"/>
      </w:pPr>
      <w:r>
        <w:t xml:space="preserve">and an end-tag which includes the slash and repeats the element name, e.g. </w:t>
      </w:r>
      <w:r>
        <w:rPr>
          <w:rStyle w:val="Code"/>
        </w:rPr>
        <w:t>&lt;/unclear&gt;</w:t>
      </w:r>
    </w:p>
    <w:p>
      <w:pPr>
        <w:pStyle w:val="Lista2"/>
      </w:pPr>
      <w:r>
        <w:t>optionally, empty elements can also be represented by a pair of tags with nothing in between</w:t>
      </w:r>
    </w:p>
    <w:p>
      <w:pPr>
        <w:pStyle w:val="Lista3"/>
      </w:pPr>
      <w:r>
        <w:t xml:space="preserve">e.g. </w:t>
      </w:r>
      <w:r>
        <w:rPr>
          <w:rStyle w:val="Code"/>
        </w:rPr>
        <w:t>&lt;lb&gt;&lt;/lb&gt;</w:t>
      </w:r>
    </w:p>
    <w:p>
      <w:pPr>
        <w:pStyle w:val="Lista"/>
      </w:pPr>
      <w:r>
        <w:t>for our purposes, non-empty elements are distinguished into two basic types:</w:t>
      </w:r>
    </w:p>
    <w:p>
      <w:pPr>
        <w:pStyle w:val="Lista2"/>
      </w:pPr>
      <w:r>
        <w:rPr>
          <w:b/>
          <w:bCs/>
        </w:rPr>
        <w:t>block-level elements</w:t>
      </w:r>
      <w:r>
        <w:t xml:space="preserve"> or chunks, which, together, must contain all text within an edition</w:t>
      </w:r>
    </w:p>
    <w:p>
      <w:pPr>
        <w:pStyle w:val="Lista3"/>
      </w:pPr>
      <w:r>
        <w:t xml:space="preserve">these serve in TEI to encode the intrinsic structure of a text </w:t>
      </w:r>
      <w:r>
        <w:rPr>
          <w:noProof/>
        </w:rPr>
        <w:t>(</w:t>
      </w:r>
      <w:r>
        <w:t>§</w:t>
      </w:r>
      <w:r>
        <w:fldChar w:fldCharType="begin"/>
      </w:r>
      <w:r>
        <w:instrText xml:space="preserve"> REF _Ref43978632 \r \h  \* MERGEFORMAT </w:instrText>
      </w:r>
      <w:r>
        <w:fldChar w:fldCharType="separate"/>
      </w:r>
      <w:r>
        <w:t>3</w:t>
      </w:r>
      <w:r>
        <w:fldChar w:fldCharType="end"/>
      </w:r>
      <w:r>
        <w:t>)</w:t>
      </w:r>
    </w:p>
    <w:p>
      <w:pPr>
        <w:pStyle w:val="Lista2"/>
      </w:pPr>
      <w:r>
        <w:rPr>
          <w:b/>
          <w:bCs/>
        </w:rPr>
        <w:t>phrase-level</w:t>
      </w:r>
      <w:r>
        <w:t xml:space="preserve"> elements, which must be entirely contained within a block-level element</w:t>
      </w:r>
    </w:p>
    <w:p>
      <w:pPr>
        <w:pStyle w:val="Lista3"/>
      </w:pPr>
      <w:r>
        <w:t>these serve to mark up local features of the text, for example uncertain readings, editorial alterations, segments in a different script and numerals</w:t>
      </w:r>
    </w:p>
    <w:p>
      <w:pPr>
        <w:pStyle w:val="Lista"/>
      </w:pPr>
      <w:r>
        <w:rPr>
          <w:b/>
          <w:bCs/>
        </w:rPr>
        <w:t>XML element names</w:t>
      </w:r>
      <w:r>
        <w:t xml:space="preserve"> are case-sensitive: e.g. </w:t>
      </w:r>
      <w:r>
        <w:rPr>
          <w:rStyle w:val="Code"/>
        </w:rPr>
        <w:t>&lt;unclear&gt;</w:t>
      </w:r>
      <w:r>
        <w:t xml:space="preserve"> cannot be substituted with </w:t>
      </w:r>
      <w:r>
        <w:rPr>
          <w:rStyle w:val="Code"/>
        </w:rPr>
        <w:t>&lt;Unclear&gt;</w:t>
      </w:r>
      <w:r>
        <w:t xml:space="preserve"> or </w:t>
      </w:r>
      <w:r>
        <w:rPr>
          <w:rStyle w:val="Code"/>
        </w:rPr>
        <w:t>&lt;UNCLEAR&gt;</w:t>
      </w:r>
    </w:p>
    <w:p>
      <w:pPr>
        <w:pStyle w:val="Lista"/>
      </w:pPr>
      <w:r>
        <w:t xml:space="preserve">XML elements can have </w:t>
      </w:r>
      <w:r>
        <w:rPr>
          <w:b/>
          <w:bCs/>
        </w:rPr>
        <w:t>attributes</w:t>
      </w:r>
      <w:r>
        <w:t>, whose function is to record additional information about an element</w:t>
      </w:r>
    </w:p>
    <w:p>
      <w:pPr>
        <w:pStyle w:val="Lista3"/>
      </w:pPr>
      <w:r>
        <w:t>attributes have a name and a value, which are incorporated into the tag for an empty element, or into the start-tag of a non-empty element, e.g.</w:t>
      </w:r>
    </w:p>
    <w:p>
      <w:pPr>
        <w:pStyle w:val="Lista4"/>
      </w:pPr>
      <w:r>
        <w:rPr>
          <w:rStyle w:val="Code"/>
        </w:rPr>
        <w:t xml:space="preserve">&lt;space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"character"</w:t>
      </w:r>
      <w:r>
        <w:rPr>
          <w:rStyle w:val="Code"/>
        </w:rPr>
        <w:t>/&gt;</w:t>
      </w:r>
    </w:p>
    <w:p>
      <w:pPr>
        <w:pStyle w:val="Lista4"/>
      </w:pPr>
      <w:r>
        <w:rPr>
          <w:rStyle w:val="Code"/>
        </w:rPr>
        <w:t xml:space="preserve">&lt;unclear </w:t>
      </w:r>
      <w:r>
        <w:rPr>
          <w:rStyle w:val="Codeattribute"/>
        </w:rPr>
        <w:t>cert</w:t>
      </w:r>
      <w:r>
        <w:rPr>
          <w:rStyle w:val="Code"/>
        </w:rPr>
        <w:t>=</w:t>
      </w:r>
      <w:r>
        <w:rPr>
          <w:rStyle w:val="Codevalue"/>
        </w:rPr>
        <w:t>"low"</w:t>
      </w:r>
      <w:r>
        <w:rPr>
          <w:rStyle w:val="Code"/>
        </w:rPr>
        <w:t>&gt;</w:t>
      </w:r>
      <w:r>
        <w:rPr>
          <w:rStyle w:val="Codetext"/>
        </w:rPr>
        <w:t>...</w:t>
      </w:r>
      <w:r>
        <w:rPr>
          <w:rStyle w:val="Code"/>
        </w:rPr>
        <w:t>&lt;/unclear&gt;</w:t>
      </w:r>
    </w:p>
    <w:p>
      <w:pPr>
        <w:pStyle w:val="Lista3"/>
      </w:pPr>
      <w:r>
        <w:t>one element may have any number of attributes</w:t>
      </w:r>
    </w:p>
    <w:p>
      <w:pPr>
        <w:pStyle w:val="Lista3"/>
      </w:pPr>
      <w:r>
        <w:t>attributes must be separated by spaces from each other and from the element name</w:t>
      </w:r>
    </w:p>
    <w:p>
      <w:pPr>
        <w:pStyle w:val="Lista3"/>
      </w:pPr>
      <w:r>
        <w:t>attributes may appear in any order within an element</w:t>
      </w:r>
    </w:p>
    <w:p>
      <w:pPr>
        <w:pStyle w:val="Lista4"/>
      </w:pPr>
      <w:r>
        <w:t xml:space="preserve">e.g. </w:t>
      </w:r>
      <w:r>
        <w:rPr>
          <w:rStyle w:val="Code"/>
        </w:rPr>
        <w:t xml:space="preserve">&lt;space </w:t>
      </w:r>
      <w:r>
        <w:rPr>
          <w:rStyle w:val="Codeattribute"/>
        </w:rPr>
        <w:t>unit</w:t>
      </w:r>
      <w:r>
        <w:rPr>
          <w:rStyle w:val="Code"/>
        </w:rPr>
        <w:t>=</w:t>
      </w:r>
      <w:r>
        <w:rPr>
          <w:rStyle w:val="Codevalue"/>
        </w:rPr>
        <w:t>"character"</w:t>
      </w:r>
      <w:r>
        <w:rPr>
          <w:rStyle w:val="Code"/>
        </w:rPr>
        <w:t xml:space="preserve"> </w:t>
      </w:r>
      <w:r>
        <w:rPr>
          <w:rStyle w:val="Codeattribute"/>
        </w:rPr>
        <w:t>quantity</w:t>
      </w:r>
      <w:r>
        <w:rPr>
          <w:rStyle w:val="Code"/>
        </w:rPr>
        <w:t>=</w:t>
      </w:r>
      <w:r>
        <w:rPr>
          <w:rStyle w:val="Codevalue"/>
        </w:rPr>
        <w:t>"3"</w:t>
      </w:r>
      <w:r>
        <w:rPr>
          <w:rStyle w:val="Code"/>
        </w:rPr>
        <w:t>/&gt;</w:t>
      </w:r>
      <w:r>
        <w:t xml:space="preserve"> is entirely identical in meaning to the above example with the same attributes in an inverted order</w:t>
      </w:r>
    </w:p>
    <w:p>
      <w:pPr>
        <w:pStyle w:val="Lista3"/>
      </w:pPr>
      <w:r>
        <w:t>the attribute name is followed by an equals sign and the value in double quote marks</w:t>
      </w:r>
      <w:r>
        <w:rPr>
          <w:rStyle w:val="Lbjegyzet-hivatkozs"/>
        </w:rPr>
        <w:footnoteReference w:id="5"/>
      </w:r>
    </w:p>
    <w:p>
      <w:pPr>
        <w:pStyle w:val="Lista4"/>
      </w:pPr>
      <w:r>
        <w:t xml:space="preserve">note that these must be plain typewriter-style quote marks </w:t>
      </w:r>
      <w:r>
        <w:rPr>
          <w:noProof/>
        </w:rPr>
        <w:t>(</w:t>
      </w:r>
      <w:r>
        <w:t xml:space="preserve">i.e. " "), not printer’s quote marks </w:t>
      </w:r>
      <w:r>
        <w:rPr>
          <w:noProof/>
        </w:rPr>
        <w:t>(</w:t>
      </w:r>
      <w:r>
        <w:t>“ ”)</w:t>
      </w:r>
    </w:p>
    <w:p>
      <w:pPr>
        <w:pStyle w:val="Lista3"/>
      </w:pPr>
      <w:r>
        <w:t>attributes always qualify only the element to which they belong and have no influence on any other elements such as neighbouring ones or elements of the same type elsewhere in the XML structure</w:t>
      </w:r>
    </w:p>
    <w:p>
      <w:pPr>
        <w:pStyle w:val="Lista4"/>
      </w:pPr>
      <w:r>
        <w:t>however, attributes may be inherited by elements further down in the hierarchy, so that if an attribute is used in an element that contains further elements to which that attribute can apply, then the attribute and value encoded in the ancestor element will also pertain to the descendant elements</w:t>
      </w:r>
    </w:p>
    <w:p>
      <w:pPr>
        <w:pStyle w:val="Lista3"/>
      </w:pPr>
      <w:r>
        <w:t xml:space="preserve">when attributes are discussed in human-readable text without being cited as full XML tags, they are conventionally prefixed with an </w:t>
      </w:r>
      <w:r>
        <w:rPr>
          <w:rStyle w:val="Codeattribute"/>
        </w:rPr>
        <w:t>@</w:t>
      </w:r>
      <w:r>
        <w:t xml:space="preserve"> </w:t>
      </w:r>
      <w:r>
        <w:rPr>
          <w:noProof/>
        </w:rPr>
        <w:t>(</w:t>
      </w:r>
      <w:r>
        <w:t>“at”, implying “attribute”) sign; thus, in the above examples</w:t>
      </w:r>
    </w:p>
    <w:p>
      <w:pPr>
        <w:pStyle w:val="Lista4"/>
        <w:rPr>
          <w:rStyle w:val="Codeattribute"/>
          <w:rFonts w:ascii="Gentium" w:hAnsi="Gentium" w:cs="Tiro Devanagari Sanskrit"/>
          <w:noProof w:val="0"/>
          <w:color w:val="auto"/>
          <w:shd w:val="clear" w:color="auto" w:fill="auto"/>
        </w:rPr>
      </w:pPr>
      <w:r>
        <w:t xml:space="preserve">the element </w:t>
      </w:r>
      <w:r>
        <w:rPr>
          <w:rStyle w:val="Code"/>
        </w:rPr>
        <w:t>&lt;space&gt;</w:t>
      </w:r>
      <w:r>
        <w:t xml:space="preserve"> has the attributes </w:t>
      </w:r>
      <w:r>
        <w:rPr>
          <w:rStyle w:val="Codeattribute"/>
        </w:rPr>
        <w:t>@quantity</w:t>
      </w:r>
      <w:r>
        <w:t xml:space="preserve"> and </w:t>
      </w:r>
      <w:r>
        <w:rPr>
          <w:rStyle w:val="Codeattribute"/>
        </w:rPr>
        <w:t>@unit</w:t>
      </w:r>
      <w:r>
        <w:t xml:space="preserve">, while the element </w:t>
      </w:r>
      <w:r>
        <w:rPr>
          <w:rStyle w:val="Code"/>
        </w:rPr>
        <w:t>&lt;unclear&gt;</w:t>
      </w:r>
      <w:r>
        <w:t xml:space="preserve"> has the attribute </w:t>
      </w:r>
      <w:r>
        <w:rPr>
          <w:rStyle w:val="Codeattribute"/>
        </w:rPr>
        <w:t>@cert</w:t>
      </w:r>
    </w:p>
    <w:p>
      <w:pPr>
        <w:pStyle w:val="Lista"/>
      </w:pPr>
      <w:r>
        <w:t>in addition to text and elements proper, XML documents may contain some other items, of which one is relevant to us:</w:t>
      </w:r>
    </w:p>
    <w:p>
      <w:pPr>
        <w:pStyle w:val="Lista2"/>
      </w:pPr>
      <w:r>
        <w:t xml:space="preserve">an </w:t>
      </w:r>
      <w:r>
        <w:rPr>
          <w:b/>
          <w:bCs/>
        </w:rPr>
        <w:t>XML comment</w:t>
      </w:r>
      <w:r>
        <w:t xml:space="preserve"> is anything that is not considered to be part of the document and will be ignored by computers processing an XML file</w:t>
      </w:r>
    </w:p>
    <w:p>
      <w:pPr>
        <w:pStyle w:val="Lista3"/>
      </w:pPr>
      <w:r>
        <w:t xml:space="preserve">an XML comment must begin with the characters </w:t>
      </w:r>
      <w:r>
        <w:rPr>
          <w:rStyle w:val="Codetext"/>
        </w:rPr>
        <w:t>&lt;!--</w:t>
      </w:r>
      <w:r>
        <w:t xml:space="preserve"> and end with the characters </w:t>
      </w:r>
      <w:r>
        <w:rPr>
          <w:rStyle w:val="Codetext"/>
        </w:rPr>
        <w:t>--&gt;</w:t>
      </w:r>
    </w:p>
    <w:p>
      <w:pPr>
        <w:pStyle w:val="Lista3"/>
      </w:pPr>
      <w:r>
        <w:t xml:space="preserve">comments may be added by editors as notes to other team members to explain their choice of code or to discuss problems in the edition, e.g. </w:t>
      </w:r>
      <w:r>
        <w:rPr>
          <w:rStyle w:val="Codecomment"/>
        </w:rPr>
        <w:t>&lt;!--I'm not sure how to mark this up--&gt;</w:t>
      </w:r>
    </w:p>
    <w:p>
      <w:pPr>
        <w:pStyle w:val="Lista3"/>
      </w:pPr>
      <w:r>
        <w:t>comments may also be used to “switch off” parts of an XML document without deleting them: any XML code placed within the comment opening and closing sequence will become invisible to computer processing</w:t>
      </w:r>
      <w:r>
        <w:rPr>
          <w:rStyle w:val="Lbjegyzet-hivatkozs"/>
        </w:rPr>
        <w:footnoteReference w:id="6"/>
      </w:r>
    </w:p>
    <w:p>
      <w:pPr>
        <w:pStyle w:val="Cmsor3"/>
      </w:pPr>
      <w:bookmarkStart w:id="25" w:name="_Toc242976585"/>
      <w:r>
        <w:lastRenderedPageBreak/>
        <w:t>Character entity references</w:t>
      </w:r>
      <w:bookmarkEnd w:id="25"/>
    </w:p>
    <w:p>
      <w:r>
        <w:t xml:space="preserve">In addition to elements and text, XML documents may contain a few other items which need not concern you generally, except for one item type that you should be aware of: XML allows the use of character entity references. These are short code words preceded by an </w:t>
      </w:r>
      <w:r>
        <w:rPr>
          <w:rStyle w:val="Code"/>
        </w:rPr>
        <w:t>&amp;</w:t>
      </w:r>
      <w:r>
        <w:t xml:space="preserve"> </w:t>
      </w:r>
      <w:r>
        <w:rPr>
          <w:noProof/>
        </w:rPr>
        <w:t>(</w:t>
      </w:r>
      <w:r>
        <w:t xml:space="preserve">ampersand) and followed by a </w:t>
      </w:r>
      <w:r>
        <w:rPr>
          <w:rStyle w:val="Code"/>
        </w:rPr>
        <w:t>;</w:t>
      </w:r>
      <w:r>
        <w:t xml:space="preserve"> </w:t>
      </w:r>
      <w:r>
        <w:rPr>
          <w:noProof/>
        </w:rPr>
        <w:t>(</w:t>
      </w:r>
      <w:r>
        <w:t xml:space="preserve">semicolon). The purpose of character entity references is to allow the typing, display and processing of characters which are either not supported on certain platforms </w:t>
      </w:r>
      <w:r>
        <w:rPr>
          <w:noProof/>
        </w:rPr>
        <w:t>(</w:t>
      </w:r>
      <w:r>
        <w:t xml:space="preserve">such as accented characters, but this case need not bother you) or reserved for a special function in XML </w:t>
      </w:r>
      <w:r>
        <w:rPr>
          <w:noProof/>
        </w:rPr>
        <w:t>(</w:t>
      </w:r>
      <w:r>
        <w:t>which is what matters to us). As a consequence,</w:t>
      </w:r>
    </w:p>
    <w:p>
      <w:pPr>
        <w:pStyle w:val="Lista"/>
      </w:pPr>
      <w:r>
        <w:t xml:space="preserve">should you need to use the </w:t>
      </w:r>
      <w:r>
        <w:rPr>
          <w:rStyle w:val="Code"/>
        </w:rPr>
        <w:t>&lt;</w:t>
      </w:r>
      <w:r>
        <w:t xml:space="preserve"> character </w:t>
      </w:r>
      <w:r>
        <w:rPr>
          <w:noProof/>
        </w:rPr>
        <w:t>(</w:t>
      </w:r>
      <w:r>
        <w:t xml:space="preserve">which an XML processing engine would interpret as the beginning of an XML tag), you must instead use the entity reference </w:t>
      </w:r>
      <w:r>
        <w:rPr>
          <w:rStyle w:val="Code"/>
        </w:rPr>
        <w:t>&amp;lt;</w:t>
      </w:r>
      <w:r>
        <w:t xml:space="preserve"> </w:t>
      </w:r>
      <w:r>
        <w:rPr>
          <w:noProof/>
        </w:rPr>
        <w:t>(</w:t>
      </w:r>
      <w:r>
        <w:t xml:space="preserve">where </w:t>
      </w:r>
      <w:r>
        <w:rPr>
          <w:noProof/>
        </w:rPr>
        <w:t>“lt”</w:t>
      </w:r>
      <w:r>
        <w:t xml:space="preserve"> stands for “less than”)</w:t>
      </w:r>
    </w:p>
    <w:p>
      <w:pPr>
        <w:pStyle w:val="Lista"/>
      </w:pPr>
      <w:r>
        <w:t xml:space="preserve">should you need to use the </w:t>
      </w:r>
      <w:r>
        <w:rPr>
          <w:rStyle w:val="Code"/>
        </w:rPr>
        <w:t>&amp;</w:t>
      </w:r>
      <w:r>
        <w:t xml:space="preserve"> character </w:t>
      </w:r>
      <w:r>
        <w:rPr>
          <w:noProof/>
        </w:rPr>
        <w:t>(</w:t>
      </w:r>
      <w:r>
        <w:t xml:space="preserve">which an XML processing engine would interpret as the beginning of an entity reference), you must instead use the entity reference </w:t>
      </w:r>
      <w:r>
        <w:rPr>
          <w:rStyle w:val="Code"/>
        </w:rPr>
        <w:t>&amp;amp;</w:t>
      </w:r>
      <w:r>
        <w:t xml:space="preserve"> </w:t>
      </w:r>
      <w:r>
        <w:rPr>
          <w:noProof/>
        </w:rPr>
        <w:t>(</w:t>
      </w:r>
      <w:r>
        <w:t>where “amp” stands for “ampersand”)</w:t>
      </w:r>
    </w:p>
    <w:p>
      <w:pPr>
        <w:pStyle w:val="Lista"/>
      </w:pPr>
      <w:r>
        <w:t xml:space="preserve">in Oxygen, whenever you enter an </w:t>
      </w:r>
      <w:r>
        <w:rPr>
          <w:rStyle w:val="Code"/>
        </w:rPr>
        <w:t>&amp;</w:t>
      </w:r>
      <w:r>
        <w:t xml:space="preserve">, the software will automatically suggest a list of pre-defined entity references </w:t>
      </w:r>
      <w:r>
        <w:rPr>
          <w:noProof/>
        </w:rPr>
        <w:t>(</w:t>
      </w:r>
      <w:r>
        <w:t xml:space="preserve">starting with </w:t>
      </w:r>
      <w:r>
        <w:rPr>
          <w:rStyle w:val="Code"/>
        </w:rPr>
        <w:t>&amp;amp;</w:t>
      </w:r>
      <w:r>
        <w:t>) so all you need do is select and accept the suggestion for the character you need</w:t>
      </w:r>
    </w:p>
    <w:p>
      <w:pPr>
        <w:pStyle w:val="Lista"/>
      </w:pPr>
      <w:r>
        <w:t xml:space="preserve">if during validation you encounter unexpected errors, consider if you may have used the characters </w:t>
      </w:r>
      <w:r>
        <w:rPr>
          <w:rStyle w:val="Code"/>
        </w:rPr>
        <w:t>&amp;</w:t>
      </w:r>
      <w:r>
        <w:t xml:space="preserve">, </w:t>
      </w:r>
      <w:r>
        <w:rPr>
          <w:rStyle w:val="Code"/>
        </w:rPr>
        <w:t>&lt;</w:t>
      </w:r>
      <w:r>
        <w:t xml:space="preserve"> or </w:t>
      </w:r>
      <w:r>
        <w:rPr>
          <w:rStyle w:val="Code"/>
        </w:rPr>
        <w:t>&gt;</w:t>
      </w:r>
      <w:r>
        <w:t xml:space="preserve"> inadvertently, for example because you have copy-pasted text from a word processor</w:t>
      </w:r>
    </w:p>
    <w:p>
      <w:pPr>
        <w:pStyle w:val="Cmsor3"/>
      </w:pPr>
      <w:bookmarkStart w:id="26" w:name="_Ref224893456"/>
      <w:bookmarkStart w:id="27" w:name="_Toc242976586"/>
      <w:r>
        <w:t>XML hierarchy</w:t>
      </w:r>
      <w:bookmarkEnd w:id="26"/>
      <w:bookmarkEnd w:id="27"/>
    </w:p>
    <w:p>
      <w:pPr>
        <w:pStyle w:val="Lista"/>
      </w:pPr>
      <w:r>
        <w:t xml:space="preserve">the structure of an XML document </w:t>
      </w:r>
      <w:r>
        <w:rPr>
          <w:b/>
          <w:bCs/>
        </w:rPr>
        <w:t>hierarchical</w:t>
      </w:r>
      <w:r>
        <w:t xml:space="preserve">, consisting of “boxes within boxes within boxes” or more accurately an </w:t>
      </w:r>
      <w:r>
        <w:rPr>
          <w:rStyle w:val="Foreign"/>
        </w:rPr>
        <w:t>ordered hierarchy of content objects</w:t>
      </w:r>
    </w:p>
    <w:p>
      <w:pPr>
        <w:pStyle w:val="Lista"/>
        <w:ind w:left="340"/>
      </w:pPr>
      <w:r>
        <w:t xml:space="preserve">every XML document must be wrapped in a </w:t>
      </w:r>
      <w:r>
        <w:rPr>
          <w:b/>
          <w:bCs/>
        </w:rPr>
        <w:t>root element</w:t>
      </w:r>
      <w:r>
        <w:t xml:space="preserve"> which serves as a container for the document as a whole</w:t>
      </w:r>
    </w:p>
    <w:p>
      <w:pPr>
        <w:pStyle w:val="Lista2"/>
        <w:ind w:left="510"/>
      </w:pPr>
      <w:r>
        <w:t xml:space="preserve">all other elements (except for some instructions at the beginning of the document) are </w:t>
      </w:r>
      <w:r>
        <w:rPr>
          <w:b/>
          <w:bCs/>
        </w:rPr>
        <w:t>nested</w:t>
      </w:r>
      <w:r>
        <w:t xml:space="preserve"> either directly within the root element, or at a lower level of the hierarchy</w:t>
      </w:r>
    </w:p>
    <w:p>
      <w:pPr>
        <w:pStyle w:val="Lista"/>
        <w:ind w:left="340"/>
      </w:pPr>
      <w:r>
        <w:t xml:space="preserve">if an element is embedded directly within another element, then the former is referred to as a </w:t>
      </w:r>
      <w:r>
        <w:rPr>
          <w:b/>
          <w:bCs/>
        </w:rPr>
        <w:t>child</w:t>
      </w:r>
      <w:r>
        <w:t xml:space="preserve"> of the latter, and the latter as the </w:t>
      </w:r>
      <w:r>
        <w:rPr>
          <w:b/>
          <w:bCs/>
        </w:rPr>
        <w:t>parent</w:t>
      </w:r>
      <w:r>
        <w:t xml:space="preserve"> of the former</w:t>
      </w:r>
    </w:p>
    <w:p>
      <w:pPr>
        <w:pStyle w:val="Lista"/>
        <w:ind w:left="340"/>
      </w:pPr>
      <w:r>
        <w:t xml:space="preserve">if an element is embedded at any depth within another element, then the former is a </w:t>
      </w:r>
      <w:r>
        <w:rPr>
          <w:b/>
          <w:bCs/>
        </w:rPr>
        <w:t>descendant</w:t>
      </w:r>
      <w:r>
        <w:t xml:space="preserve"> of the latter, and the latter is the </w:t>
      </w:r>
      <w:r>
        <w:rPr>
          <w:b/>
          <w:bCs/>
        </w:rPr>
        <w:t>ancestor</w:t>
      </w:r>
      <w:r>
        <w:t xml:space="preserve"> of the former</w:t>
      </w:r>
    </w:p>
    <w:tbl>
      <w:tblPr>
        <w:tblStyle w:val="CodeSampleTable"/>
        <w:tblpPr w:leftFromText="180" w:rightFromText="180" w:vertAnchor="text" w:tblpXSpec="right" w:tblpY="4"/>
        <w:tblW w:w="0" w:type="auto"/>
        <w:tblLook w:val="04A0" w:firstRow="1" w:lastRow="0" w:firstColumn="1" w:lastColumn="0" w:noHBand="0" w:noVBand="1"/>
      </w:tblPr>
      <w:tblGrid>
        <w:gridCol w:w="1848"/>
      </w:tblGrid>
      <w:tr>
        <w:trPr>
          <w:cnfStyle w:val="100000000000" w:firstRow="1" w:lastRow="0" w:firstColumn="0" w:lastColumn="0" w:oddVBand="0" w:evenVBand="0" w:oddHBand="0" w:evenHBand="0" w:firstRowFirstColumn="0" w:firstRowLastColumn="0" w:lastRowFirstColumn="0" w:lastRowLastColumn="0"/>
        </w:trPr>
        <w:tc>
          <w:tcPr>
            <w:tcW w:w="1848" w:type="dxa"/>
          </w:tcPr>
          <w:p>
            <w:pPr>
              <w:pStyle w:val="Kpalrs"/>
            </w:pPr>
            <w:bookmarkStart w:id="28" w:name="_Ref43993481"/>
            <w:r>
              <w:t xml:space="preserve">Exhibit </w:t>
            </w:r>
            <w:fldSimple w:instr=" STYLEREF 2 \s ">
              <w:r>
                <w:rPr>
                  <w:noProof/>
                </w:rPr>
                <w:t>2.2</w:t>
              </w:r>
            </w:fldSimple>
            <w:r>
              <w:t>.</w:t>
            </w:r>
            <w:fldSimple w:instr=" SEQ Exhibit \* ALPHABETIC \s 2 ">
              <w:r>
                <w:rPr>
                  <w:noProof/>
                </w:rPr>
                <w:t>A</w:t>
              </w:r>
            </w:fldSimple>
            <w:bookmarkEnd w:id="28"/>
            <w:r>
              <w:t xml:space="preserve">: </w:t>
            </w:r>
            <w:r>
              <w:br/>
              <w:t>XML hierarchy</w:t>
            </w:r>
          </w:p>
        </w:tc>
      </w:tr>
      <w:tr>
        <w:tc>
          <w:tcPr>
            <w:tcW w:w="1848" w:type="dxa"/>
          </w:tcPr>
          <w:p>
            <w:pPr>
              <w:pStyle w:val="CodeParagraph"/>
              <w:rPr>
                <w:rStyle w:val="Code"/>
              </w:rPr>
            </w:pPr>
            <w:r>
              <w:rPr>
                <w:rStyle w:val="Code"/>
              </w:rPr>
              <w:t xml:space="preserve">  &lt;A&gt;</w:t>
            </w:r>
          </w:p>
          <w:p>
            <w:pPr>
              <w:pStyle w:val="CodeParagraph"/>
              <w:rPr>
                <w:rStyle w:val="Code"/>
              </w:rPr>
            </w:pPr>
            <w:r>
              <w:rPr>
                <w:rStyle w:val="Code"/>
              </w:rPr>
              <w:t xml:space="preserve">    &lt;B&gt;</w:t>
            </w:r>
          </w:p>
          <w:p>
            <w:pPr>
              <w:pStyle w:val="CodeParagraph"/>
              <w:rPr>
                <w:rStyle w:val="Code"/>
              </w:rPr>
            </w:pPr>
            <w:r>
              <w:rPr>
                <w:rStyle w:val="Code"/>
              </w:rPr>
              <w:t xml:space="preserve">      &lt;C&gt;&lt;/C&gt;</w:t>
            </w:r>
          </w:p>
          <w:p>
            <w:pPr>
              <w:pStyle w:val="CodeParagraph"/>
              <w:rPr>
                <w:rStyle w:val="Code"/>
              </w:rPr>
            </w:pPr>
            <w:r>
              <w:rPr>
                <w:rStyle w:val="Code"/>
              </w:rPr>
              <w:t xml:space="preserve">      &lt;D&gt;&lt;/D&gt;</w:t>
            </w:r>
          </w:p>
          <w:p>
            <w:pPr>
              <w:pStyle w:val="CodeParagraph"/>
              <w:rPr>
                <w:rStyle w:val="Code"/>
              </w:rPr>
            </w:pPr>
            <w:r>
              <w:rPr>
                <w:rStyle w:val="Code"/>
              </w:rPr>
              <w:t xml:space="preserve">    &lt;/B&gt;</w:t>
            </w:r>
          </w:p>
          <w:p>
            <w:pPr>
              <w:pStyle w:val="CodeParagraph"/>
              <w:rPr>
                <w:rStyle w:val="Code"/>
              </w:rPr>
            </w:pPr>
            <w:r>
              <w:rPr>
                <w:rStyle w:val="Code"/>
              </w:rPr>
              <w:t xml:space="preserve">    &lt;E&gt;</w:t>
            </w:r>
          </w:p>
          <w:p>
            <w:pPr>
              <w:pStyle w:val="CodeParagraph"/>
              <w:rPr>
                <w:rStyle w:val="Code"/>
              </w:rPr>
            </w:pPr>
            <w:r>
              <w:rPr>
                <w:rStyle w:val="Code"/>
              </w:rPr>
              <w:t xml:space="preserve">      &lt;F&gt;&lt;/F&gt;</w:t>
            </w:r>
          </w:p>
          <w:p>
            <w:pPr>
              <w:pStyle w:val="CodeParagraph"/>
              <w:rPr>
                <w:rStyle w:val="Code"/>
              </w:rPr>
            </w:pPr>
            <w:r>
              <w:rPr>
                <w:rStyle w:val="Code"/>
              </w:rPr>
              <w:t xml:space="preserve">    &lt;/E&gt;</w:t>
            </w:r>
          </w:p>
          <w:p>
            <w:pPr>
              <w:pStyle w:val="CodeParagraph"/>
            </w:pPr>
            <w:r>
              <w:rPr>
                <w:rStyle w:val="Code"/>
              </w:rPr>
              <w:t xml:space="preserve">  &lt;/A&gt;</w:t>
            </w:r>
          </w:p>
        </w:tc>
      </w:tr>
    </w:tbl>
    <w:p>
      <w:pPr>
        <w:pStyle w:val="Lista2"/>
        <w:ind w:left="510"/>
      </w:pPr>
      <w:r>
        <w:t xml:space="preserve">thus, in </w:t>
      </w:r>
      <w:r>
        <w:fldChar w:fldCharType="begin"/>
      </w:r>
      <w:r>
        <w:instrText xml:space="preserve"> REF _Ref43993481 \h  \* MERGEFORMAT </w:instrText>
      </w:r>
      <w:r>
        <w:fldChar w:fldCharType="separate"/>
      </w:r>
      <w:r>
        <w:t xml:space="preserve">Exhibit </w:t>
      </w:r>
      <w:r>
        <w:rPr>
          <w:noProof/>
        </w:rPr>
        <w:t>2.2.A</w:t>
      </w:r>
      <w:r>
        <w:fldChar w:fldCharType="end"/>
      </w:r>
      <w:r>
        <w:t>,</w:t>
      </w:r>
    </w:p>
    <w:p>
      <w:pPr>
        <w:pStyle w:val="Lista3"/>
        <w:ind w:left="680"/>
      </w:pPr>
      <w:r>
        <w:t xml:space="preserve">B and E are children of A </w:t>
      </w:r>
      <w:r>
        <w:rPr>
          <w:noProof/>
        </w:rPr>
        <w:t>(</w:t>
      </w:r>
      <w:r>
        <w:t>the root element)</w:t>
      </w:r>
    </w:p>
    <w:p>
      <w:pPr>
        <w:pStyle w:val="Lista3"/>
        <w:ind w:left="680"/>
      </w:pPr>
      <w:r>
        <w:t>C and D are children of B</w:t>
      </w:r>
    </w:p>
    <w:p>
      <w:pPr>
        <w:pStyle w:val="Lista3"/>
        <w:ind w:left="680"/>
      </w:pPr>
      <w:r>
        <w:t>F is the child of E</w:t>
      </w:r>
    </w:p>
    <w:p>
      <w:pPr>
        <w:pStyle w:val="Lista3"/>
        <w:ind w:left="680"/>
      </w:pPr>
      <w:r>
        <w:t>B, C, D, E and F are all descendants of A</w:t>
      </w:r>
    </w:p>
    <w:p>
      <w:pPr>
        <w:pStyle w:val="Lista"/>
      </w:pPr>
      <w:r>
        <w:t>such a conceptual model is well suited for representing the structure of texts as works (e.g. text in paragraphs in chapters in books)</w:t>
      </w:r>
    </w:p>
    <w:p>
      <w:pPr>
        <w:pStyle w:val="Lista"/>
      </w:pPr>
      <w:r>
        <w:t>however, it faces a problem when it is desirable to encode additional structures within the same text, such as the extrinsic structure of a text as document (e.g. text in lines on pages in sheaves)</w:t>
      </w:r>
    </w:p>
    <w:p>
      <w:pPr>
        <w:pStyle w:val="Lista2"/>
      </w:pPr>
      <w:r>
        <w:t xml:space="preserve">such situations are referred to as </w:t>
      </w:r>
      <w:r>
        <w:rPr>
          <w:b/>
          <w:bCs/>
        </w:rPr>
        <w:t>overlapping hierarchies</w:t>
      </w:r>
      <w:r>
        <w:t xml:space="preserve">: although both are ordered hierarchies, the structures overlap </w:t>
      </w:r>
      <w:r>
        <w:rPr>
          <w:noProof/>
        </w:rPr>
        <w:t>(</w:t>
      </w:r>
      <w:r>
        <w:t>for instance, a stanza or paragraph may begin in one inscribed line and end in the next)</w:t>
      </w:r>
    </w:p>
    <w:p>
      <w:pPr>
        <w:pStyle w:val="Lista3"/>
      </w:pPr>
      <w:r>
        <w:t>other overlapping hierarchies relevant to textual studies include</w:t>
      </w:r>
    </w:p>
    <w:p>
      <w:pPr>
        <w:pStyle w:val="Lista4"/>
      </w:pPr>
      <w:r>
        <w:t>syntactical structure</w:t>
      </w:r>
    </w:p>
    <w:p>
      <w:pPr>
        <w:pStyle w:val="Lista4"/>
      </w:pPr>
      <w:r>
        <w:t xml:space="preserve">semantically distinguished segments </w:t>
      </w:r>
      <w:r>
        <w:rPr>
          <w:noProof/>
        </w:rPr>
        <w:t>(</w:t>
      </w:r>
      <w:r>
        <w:t>such as names or colophons)</w:t>
      </w:r>
    </w:p>
    <w:p>
      <w:pPr>
        <w:pStyle w:val="Lista4"/>
      </w:pPr>
      <w:r>
        <w:t>the location of spots of damage in a physical support</w:t>
      </w:r>
    </w:p>
    <w:p>
      <w:pPr>
        <w:pStyle w:val="Lista4"/>
      </w:pPr>
      <w:r>
        <w:t>lemmas to which apparatus entries or commentarial notes may need to be anchored</w:t>
      </w:r>
    </w:p>
    <w:p>
      <w:pPr>
        <w:pStyle w:val="Lista"/>
      </w:pPr>
      <w:r>
        <w:t>since XML elements must never overlap, the primary structure of an XML document can represent no more than one hierarchy relevant to the encoded text</w:t>
      </w:r>
    </w:p>
    <w:p>
      <w:pPr>
        <w:pStyle w:val="Lista2"/>
      </w:pPr>
      <w:r>
        <w:lastRenderedPageBreak/>
        <w:t xml:space="preserve">in our EpiDoc editions, the primary hierarchy is that of the text’s intrinsic </w:t>
      </w:r>
      <w:r>
        <w:rPr>
          <w:noProof/>
        </w:rPr>
        <w:t>(</w:t>
      </w:r>
      <w:r>
        <w:t>as opposed to physical) structure</w:t>
      </w:r>
    </w:p>
    <w:p>
      <w:pPr>
        <w:pStyle w:val="Lista"/>
      </w:pPr>
      <w:r>
        <w:t>any alternative hierarchies must be represented in XML using one of two basic methods:</w:t>
      </w:r>
    </w:p>
    <w:p>
      <w:pPr>
        <w:pStyle w:val="Lista2"/>
      </w:pPr>
      <w:r>
        <w:t xml:space="preserve">by using dedicated empty elements </w:t>
      </w:r>
      <w:r>
        <w:rPr>
          <w:noProof/>
        </w:rPr>
        <w:t>(</w:t>
      </w:r>
      <w:r>
        <w:t>called milestones) as pointlike markers of transitions in the alternative hierarchy, instead of non-empty elements as containers for items of the hierarchy</w:t>
      </w:r>
    </w:p>
    <w:p>
      <w:pPr>
        <w:pStyle w:val="Lista3"/>
      </w:pPr>
      <w:r>
        <w:t>thus in our editions, transition points in physical structure are marked with empty elements instead of treating lines and other extrinsic units as elements of the primary hierarchy</w:t>
      </w:r>
    </w:p>
    <w:p>
      <w:pPr>
        <w:pStyle w:val="Lista2"/>
      </w:pPr>
      <w:r>
        <w:t>by deploying linking mechanisms to establish a connection between items located in disparate points of the primary hierarchy</w:t>
      </w:r>
    </w:p>
    <w:p>
      <w:pPr>
        <w:pStyle w:val="Lista3"/>
      </w:pPr>
      <w:r>
        <w:t xml:space="preserve">in our editions this method is most prominently used in the critical apparatus, which is built using </w:t>
      </w:r>
      <w:r>
        <w:rPr>
          <w:b/>
          <w:bCs/>
        </w:rPr>
        <w:t>standoff markup</w:t>
      </w:r>
      <w:r>
        <w:t>, where the apparatus is located in a section of the XML document separate from the text edition</w:t>
      </w:r>
    </w:p>
    <w:p>
      <w:pPr>
        <w:pStyle w:val="Lista2"/>
      </w:pPr>
      <w:r>
        <w:t>alternative hierarchies may also be disregarded in XML editions; thus</w:t>
      </w:r>
    </w:p>
    <w:p>
      <w:pPr>
        <w:pStyle w:val="Lista3"/>
      </w:pPr>
      <w:r>
        <w:t>we do not, at the present stage, use any markup to represent the syntactical structure of a text</w:t>
      </w:r>
    </w:p>
    <w:p>
      <w:pPr>
        <w:pStyle w:val="Lista3"/>
      </w:pPr>
      <w:r>
        <w:t xml:space="preserve">where physical features of the inscription, such as spots of damage which render the text unclear or illegible, overlap with the intrinsic structure, we use separate XML elements to mark up stretches of the same physical feature divided between two separate elements of the primary hierarchy </w:t>
      </w:r>
      <w:r>
        <w:rPr>
          <w:noProof/>
        </w:rPr>
        <w:t>(</w:t>
      </w:r>
      <w:r>
        <w:t>see §</w:t>
      </w:r>
      <w:r>
        <w:fldChar w:fldCharType="begin"/>
      </w:r>
      <w:r>
        <w:instrText xml:space="preserve"> REF _Ref43978660 \r \h  \* MERGEFORMAT </w:instrText>
      </w:r>
      <w:r>
        <w:fldChar w:fldCharType="separate"/>
      </w:r>
      <w:r>
        <w:t>16.2</w:t>
      </w:r>
      <w:r>
        <w:fldChar w:fldCharType="end"/>
      </w:r>
      <w:r>
        <w:t xml:space="preserve">), and do not use any linking to indicate that the two are in fact a single continuous spot of damage </w:t>
      </w:r>
      <w:r>
        <w:rPr>
          <w:noProof/>
        </w:rPr>
        <w:t>(</w:t>
      </w:r>
      <w:r>
        <w:t>though such linking would be possible)</w:t>
      </w:r>
    </w:p>
    <w:p>
      <w:pPr>
        <w:pStyle w:val="Cmsor3"/>
      </w:pPr>
      <w:bookmarkStart w:id="29" w:name="_Toc242976587"/>
      <w:r>
        <w:t>Well-formedness and validity</w:t>
      </w:r>
      <w:bookmarkEnd w:id="29"/>
    </w:p>
    <w:p>
      <w:pPr>
        <w:pStyle w:val="Lista"/>
      </w:pPr>
      <w:r>
        <w:t xml:space="preserve">an XML document is said to be </w:t>
      </w:r>
      <w:r>
        <w:rPr>
          <w:b/>
          <w:bCs/>
        </w:rPr>
        <w:t>well-formed</w:t>
      </w:r>
      <w:r>
        <w:t xml:space="preserve"> if it follows the above structural requirements, i.e.</w:t>
      </w:r>
    </w:p>
    <w:p>
      <w:pPr>
        <w:pStyle w:val="Lista3"/>
      </w:pPr>
      <w:r>
        <w:t>the entire document is enclosed in a root element</w:t>
      </w:r>
    </w:p>
    <w:p>
      <w:pPr>
        <w:pStyle w:val="Lista3"/>
      </w:pPr>
      <w:r>
        <w:t>there is no overlap between any elements</w:t>
      </w:r>
    </w:p>
    <w:p>
      <w:pPr>
        <w:pStyle w:val="Lista3"/>
      </w:pPr>
      <w:r>
        <w:t>the start and end of each element is explicitly marked with a tag</w:t>
      </w:r>
    </w:p>
    <w:p>
      <w:pPr>
        <w:pStyle w:val="Lista"/>
      </w:pPr>
      <w:r>
        <w:t xml:space="preserve">a well-formed XML document may use any arbitrary element names in any particular order and hierarchy: there is no universal and fixed list of possible XML element names and definitions </w:t>
      </w:r>
      <w:r>
        <w:rPr>
          <w:noProof/>
        </w:rPr>
        <w:t>(</w:t>
      </w:r>
      <w:r>
        <w:t xml:space="preserve">which is why this is an </w:t>
      </w:r>
      <w:r>
        <w:rPr>
          <w:noProof/>
        </w:rPr>
        <w:t>eXtensible</w:t>
      </w:r>
      <w:r>
        <w:t xml:space="preserve"> Markup Language)</w:t>
      </w:r>
    </w:p>
    <w:p>
      <w:pPr>
        <w:pStyle w:val="Lista"/>
      </w:pPr>
      <w:r>
        <w:t xml:space="preserve">the set of rules specifying how certain elements must or must not appear in structural relation to other elements is called an XML </w:t>
      </w:r>
      <w:r>
        <w:rPr>
          <w:b/>
          <w:bCs/>
        </w:rPr>
        <w:t>schema</w:t>
      </w:r>
      <w:r>
        <w:t xml:space="preserve"> </w:t>
      </w:r>
      <w:r>
        <w:rPr>
          <w:noProof/>
        </w:rPr>
        <w:t>(</w:t>
      </w:r>
      <w:r>
        <w:t xml:space="preserve">thus, our editions follow the </w:t>
      </w:r>
      <w:r>
        <w:rPr>
          <w:b/>
          <w:bCs/>
        </w:rPr>
        <w:t>EpiDoc schema</w:t>
      </w:r>
      <w:r>
        <w:t>)</w:t>
      </w:r>
    </w:p>
    <w:p>
      <w:pPr>
        <w:pStyle w:val="Lista"/>
      </w:pPr>
      <w:r>
        <w:t xml:space="preserve">an XML document is said to be </w:t>
      </w:r>
      <w:r>
        <w:rPr>
          <w:b/>
          <w:bCs/>
        </w:rPr>
        <w:t>valid</w:t>
      </w:r>
      <w:r>
        <w:t xml:space="preserve"> if, in addition to being well-formed, it is structured in such a way as to meet the requirements of a particular schema</w:t>
      </w:r>
    </w:p>
    <w:p>
      <w:pPr>
        <w:pStyle w:val="Cmsor2"/>
      </w:pPr>
      <w:bookmarkStart w:id="30" w:name="_a0njpk1xs3b7" w:colFirst="0" w:colLast="0"/>
      <w:bookmarkStart w:id="31" w:name="_z3xeqgcx3br1" w:colFirst="0" w:colLast="0"/>
      <w:bookmarkStart w:id="32" w:name="_Ref43990558"/>
      <w:bookmarkEnd w:id="30"/>
      <w:bookmarkEnd w:id="31"/>
      <w:r>
        <w:t>The framework of an EpiDoc edition</w:t>
      </w:r>
      <w:bookmarkEnd w:id="32"/>
    </w:p>
    <w:p>
      <w:r>
        <w:t>This section presents an overview of the constituent parts of a digital edition in EpiDoc. Code illustrations are based on the DHARMA Encoding Template for Inscriptions as released together with this edition of the EGD.</w:t>
      </w:r>
      <w:r>
        <w:rPr>
          <w:rStyle w:val="Lbjegyzet-hivatkozs"/>
        </w:rPr>
        <w:footnoteReference w:id="7"/>
      </w:r>
      <w:r>
        <w:t xml:space="preserve"> Future versions of the template may contain slightly different code without affecting the general explanations provided here. You will not need to learn and produce this or similar code, only to find your way around it and add content without disrupting the code. </w:t>
      </w:r>
    </w:p>
    <w:p>
      <w:pPr>
        <w:pStyle w:val="Cmsor3"/>
      </w:pPr>
      <w:bookmarkStart w:id="33" w:name="_Toc242976588"/>
      <w:r>
        <w:t>Technical specifications</w:t>
      </w:r>
      <w:bookmarkEnd w:id="33"/>
    </w:p>
    <w:p>
      <w:pPr>
        <w:pStyle w:val="Lista"/>
      </w:pPr>
      <w:r>
        <w:t>XML files begin with a declaration identifying the file as a particular kind of XML document</w:t>
      </w:r>
    </w:p>
    <w:p>
      <w:pPr>
        <w:pStyle w:val="Lista"/>
      </w:pPr>
      <w:r>
        <w:t>this is followed by instructions associating the document with schemas for processing it</w:t>
      </w:r>
    </w:p>
    <w:p>
      <w:pPr>
        <w:pStyle w:val="Lista"/>
      </w:pPr>
      <w:r>
        <w:t xml:space="preserve">the root element </w:t>
      </w:r>
      <w:r>
        <w:rPr>
          <w:rStyle w:val="Code"/>
        </w:rPr>
        <w:t>&lt;TEI&gt;</w:t>
      </w:r>
      <w:r>
        <w:t>, identifying the contents as a TEI-compliant document, wraps all of the remaining content of our files</w:t>
      </w:r>
    </w:p>
    <w:p>
      <w:pPr>
        <w:pStyle w:val="Lista"/>
      </w:pPr>
      <w:r>
        <w:t>you should never edit these parts of the file</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r>
              <w:lastRenderedPageBreak/>
              <w:t xml:space="preserve">Exhibit </w:t>
            </w:r>
            <w:fldSimple w:instr=" STYLEREF 2 \s ">
              <w:r>
                <w:rPr>
                  <w:noProof/>
                </w:rPr>
                <w:t>2.3</w:t>
              </w:r>
            </w:fldSimple>
            <w:r>
              <w:t>.</w:t>
            </w:r>
            <w:fldSimple w:instr=" SEQ Exhibit \* ALPHABETIC \s 2 ">
              <w:r>
                <w:rPr>
                  <w:noProof/>
                </w:rPr>
                <w:t>A</w:t>
              </w:r>
            </w:fldSimple>
            <w:r>
              <w:t>: the technical instructions in an EpiDoc edition</w:t>
            </w:r>
          </w:p>
        </w:tc>
      </w:tr>
      <w:tr>
        <w:tc>
          <w:tcPr>
            <w:tcW w:w="5000" w:type="pct"/>
          </w:tcPr>
          <w:p>
            <w:pPr>
              <w:pStyle w:val="CodeParagraph"/>
              <w:rPr>
                <w:rStyle w:val="Codeinstruction"/>
              </w:rPr>
            </w:pPr>
            <w:r>
              <w:rPr>
                <w:rStyle w:val="Codeinstruction"/>
              </w:rPr>
              <w:t>&lt;?xml version="1.0" encoding="UTF-8"?&gt;</w:t>
            </w:r>
          </w:p>
          <w:p>
            <w:pPr>
              <w:pStyle w:val="CodeParagraph"/>
              <w:rPr>
                <w:rStyle w:val="Codeinstruction"/>
              </w:rPr>
            </w:pPr>
            <w:r>
              <w:rPr>
                <w:rStyle w:val="Codeinstruction"/>
              </w:rPr>
              <w:t>&lt;?xml-model href="https://raw.githubusercontent.com/erc-dharma/project-documentation/master/schema/latest/DHARMA_Schema.rng" type="application/xml" schematypens="http://relaxng.org/ns/structure/1.0"?&gt;</w:t>
            </w:r>
          </w:p>
          <w:p>
            <w:pPr>
              <w:pStyle w:val="CodeParagraph"/>
              <w:rPr>
                <w:rStyle w:val="Codeinstruction"/>
              </w:rPr>
            </w:pPr>
            <w:r>
              <w:rPr>
                <w:rStyle w:val="Codeinstruction"/>
              </w:rPr>
              <w:t>&lt;?xml-model href="https://raw.githubusercontent.com/erc-dharma/project-documentation/master/schema/latest/DHARMA_Schema.rng" type="application/xml" schematypens="http://purl.oclc.org/dsdl/schematron"?&gt;</w:t>
            </w:r>
          </w:p>
          <w:p>
            <w:pPr>
              <w:pStyle w:val="CodeParagraph"/>
              <w:rPr>
                <w:rStyle w:val="Codeinstruction"/>
              </w:rPr>
            </w:pPr>
            <w:r>
              <w:rPr>
                <w:rStyle w:val="Codeinstruction"/>
              </w:rPr>
              <w:t>&lt;?xml-model href="https://raw.githubusercontent.com/erc-dharma/project-documentation/master/schema/latest/DHARMA_SQF.sch" type="application/xml" schematypens="http://purl.oclc.org/dsdl/schematron"?&gt;</w:t>
            </w:r>
          </w:p>
          <w:p>
            <w:pPr>
              <w:pStyle w:val="CodeParagraph"/>
              <w:rPr>
                <w:rStyle w:val="Codeinstruction"/>
              </w:rPr>
            </w:pPr>
            <w:r>
              <w:rPr>
                <w:rStyle w:val="Codeinstruction"/>
              </w:rPr>
              <w:t>&lt;?xml-model href="https://epidoc.stoa.org/schema/latest/tei-epidoc.rng" schematypens="http://relaxng.org/ns/structure/1.0"?&gt;</w:t>
            </w:r>
          </w:p>
          <w:p>
            <w:pPr>
              <w:pStyle w:val="CodeParagraph"/>
              <w:rPr>
                <w:rStyle w:val="Code"/>
              </w:rPr>
            </w:pPr>
            <w:r>
              <w:rPr>
                <w:rStyle w:val="Codeinstruction"/>
              </w:rPr>
              <w:t xml:space="preserve">&lt;?xml-model href="https://epidoc.stoa.org/schema/latest/tei-epidoc.rng" schematypens="http://purl.oclc.org/dsdl/schematron"?&gt; </w:t>
            </w:r>
          </w:p>
          <w:p>
            <w:pPr>
              <w:pStyle w:val="CodeParagraph"/>
              <w:rPr>
                <w:rStyle w:val="Code"/>
              </w:rPr>
            </w:pPr>
            <w:r>
              <w:rPr>
                <w:rStyle w:val="Code"/>
              </w:rPr>
              <w:t xml:space="preserve">&lt;TEI </w:t>
            </w:r>
            <w:r>
              <w:rPr>
                <w:rStyle w:val="Codeattribute"/>
              </w:rPr>
              <w:t>xmlns=</w:t>
            </w:r>
            <w:r>
              <w:rPr>
                <w:rStyle w:val="Codevalue"/>
              </w:rPr>
              <w:t>"http://www.tei-c.org/ns/1.0"</w:t>
            </w:r>
            <w:r>
              <w:rPr>
                <w:rStyle w:val="Code"/>
              </w:rPr>
              <w:t xml:space="preserve"> </w:t>
            </w:r>
            <w:r>
              <w:rPr>
                <w:rStyle w:val="Codeattribute"/>
              </w:rPr>
              <w:t>xml:lang=</w:t>
            </w:r>
            <w:r>
              <w:rPr>
                <w:rStyle w:val="Codevalue"/>
              </w:rPr>
              <w:t>"eng"</w:t>
            </w:r>
            <w:r>
              <w:rPr>
                <w:rStyle w:val="Code"/>
              </w:rPr>
              <w:t>&gt;</w:t>
            </w:r>
          </w:p>
          <w:p>
            <w:pPr>
              <w:pStyle w:val="CodeParagraph"/>
              <w:rPr>
                <w:rStyle w:val="Code"/>
              </w:rPr>
            </w:pPr>
            <w:r>
              <w:rPr>
                <w:rStyle w:val="Code"/>
              </w:rPr>
              <w:t>...</w:t>
            </w:r>
          </w:p>
          <w:p>
            <w:pPr>
              <w:pStyle w:val="CodeParagraph"/>
            </w:pPr>
            <w:r>
              <w:rPr>
                <w:rStyle w:val="Code"/>
              </w:rPr>
              <w:t>&lt;/TEI&gt;</w:t>
            </w:r>
          </w:p>
        </w:tc>
      </w:tr>
    </w:tbl>
    <w:p>
      <w:pPr>
        <w:pStyle w:val="Cmsor3"/>
      </w:pPr>
      <w:bookmarkStart w:id="34" w:name="_Ref233892229"/>
      <w:bookmarkStart w:id="35" w:name="_Toc242976589"/>
      <w:r>
        <w:t>The TEI header</w:t>
      </w:r>
      <w:bookmarkEnd w:id="34"/>
      <w:bookmarkEnd w:id="35"/>
    </w:p>
    <w:p>
      <w:pPr>
        <w:pStyle w:val="Lista"/>
      </w:pPr>
      <w:r>
        <w:t>a header section identifying the digital document and containing additional descriptive information about the encoded text is a mandatory component of every TEI document</w:t>
      </w:r>
    </w:p>
    <w:p>
      <w:pPr>
        <w:pStyle w:val="Lista"/>
      </w:pPr>
      <w:r>
        <w:t>the contents of the header are grouped into sections called statements and descriptions</w:t>
      </w:r>
    </w:p>
    <w:p>
      <w:pPr>
        <w:pStyle w:val="Lista"/>
      </w:pPr>
      <w:r>
        <w:t>in several sections of the header, you will need to replace the default content from the template with specific content applicable to your edition</w:t>
      </w:r>
    </w:p>
    <w:p>
      <w:pPr>
        <w:pStyle w:val="Lista2"/>
      </w:pPr>
      <w:r>
        <w:t>in some cases you will also need to add or modify elements in some sections of the header</w:t>
      </w:r>
    </w:p>
    <w:p>
      <w:pPr>
        <w:pStyle w:val="Lista"/>
      </w:pPr>
      <w:r>
        <w:t>instructions for editing the TEI header are in §</w:t>
      </w:r>
      <w:r>
        <w:fldChar w:fldCharType="begin"/>
      </w:r>
      <w:r>
        <w:instrText xml:space="preserve"> REF _Ref43978719 \r \h </w:instrText>
      </w:r>
      <w:r>
        <w:fldChar w:fldCharType="separate"/>
      </w:r>
      <w:r>
        <w:t>15</w:t>
      </w:r>
      <w:r>
        <w:fldChar w:fldCharType="end"/>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r>
              <w:t xml:space="preserve">Exhibit </w:t>
            </w:r>
            <w:fldSimple w:instr=" STYLEREF 2 \s ">
              <w:r>
                <w:rPr>
                  <w:noProof/>
                </w:rPr>
                <w:t>2.3</w:t>
              </w:r>
            </w:fldSimple>
            <w:r>
              <w:t>.</w:t>
            </w:r>
            <w:fldSimple w:instr=" SEQ Exhibit \* ALPHABETIC \s 2 ">
              <w:r>
                <w:rPr>
                  <w:noProof/>
                </w:rPr>
                <w:t>B</w:t>
              </w:r>
            </w:fldSimple>
            <w:r>
              <w:t>: the TEI header</w:t>
            </w:r>
          </w:p>
        </w:tc>
      </w:tr>
      <w:tr>
        <w:tc>
          <w:tcPr>
            <w:tcW w:w="5000" w:type="pct"/>
          </w:tcPr>
          <w:p>
            <w:pPr>
              <w:pStyle w:val="CodeParagraph"/>
              <w:rPr>
                <w:rStyle w:val="Code"/>
              </w:rPr>
            </w:pPr>
            <w:r>
              <w:rPr>
                <w:rStyle w:val="Code"/>
              </w:rPr>
              <w:t>&lt;teiHeader&gt;</w:t>
            </w:r>
          </w:p>
          <w:p>
            <w:pPr>
              <w:pStyle w:val="CodeParagraph"/>
              <w:rPr>
                <w:rStyle w:val="Code"/>
              </w:rPr>
            </w:pPr>
            <w:r>
              <w:rPr>
                <w:rStyle w:val="Code"/>
              </w:rPr>
              <w:t xml:space="preserve">  &lt;fileDesc&gt;</w:t>
            </w:r>
          </w:p>
          <w:p>
            <w:pPr>
              <w:pStyle w:val="CodeParagraph"/>
              <w:rPr>
                <w:rStyle w:val="Code"/>
              </w:rPr>
            </w:pPr>
            <w:r>
              <w:rPr>
                <w:rStyle w:val="Code"/>
              </w:rPr>
              <w:t xml:space="preserve">    &lt;titleStmt&gt;</w:t>
            </w:r>
          </w:p>
          <w:p>
            <w:pPr>
              <w:pStyle w:val="CodeParagraph"/>
              <w:rPr>
                <w:rStyle w:val="Code"/>
              </w:rPr>
            </w:pPr>
            <w:r>
              <w:rPr>
                <w:rStyle w:val="Code"/>
              </w:rPr>
              <w:t xml:space="preserve">      ...</w:t>
            </w:r>
          </w:p>
          <w:p>
            <w:pPr>
              <w:pStyle w:val="CodeParagraph"/>
              <w:rPr>
                <w:rStyle w:val="Code"/>
              </w:rPr>
            </w:pPr>
            <w:r>
              <w:rPr>
                <w:rStyle w:val="Code"/>
              </w:rPr>
              <w:t xml:space="preserve">    &lt;/titleStmt&gt;</w:t>
            </w:r>
          </w:p>
          <w:p>
            <w:pPr>
              <w:pStyle w:val="CodeParagraph"/>
              <w:rPr>
                <w:rStyle w:val="Code"/>
              </w:rPr>
            </w:pPr>
            <w:r>
              <w:rPr>
                <w:rStyle w:val="Code"/>
              </w:rPr>
              <w:t xml:space="preserve">    &lt;publicationStmt&gt;</w:t>
            </w:r>
          </w:p>
          <w:p>
            <w:pPr>
              <w:pStyle w:val="CodeParagraph"/>
              <w:rPr>
                <w:rStyle w:val="Code"/>
              </w:rPr>
            </w:pPr>
            <w:r>
              <w:rPr>
                <w:rStyle w:val="Code"/>
              </w:rPr>
              <w:t xml:space="preserve">      ...</w:t>
            </w:r>
          </w:p>
          <w:p>
            <w:pPr>
              <w:pStyle w:val="CodeParagraph"/>
              <w:rPr>
                <w:rStyle w:val="Code"/>
              </w:rPr>
            </w:pPr>
            <w:r>
              <w:rPr>
                <w:rStyle w:val="Code"/>
              </w:rPr>
              <w:t xml:space="preserve">    &lt;/publicationStmt&gt;</w:t>
            </w:r>
          </w:p>
          <w:p>
            <w:pPr>
              <w:pStyle w:val="CodeParagraph"/>
              <w:rPr>
                <w:rStyle w:val="Code"/>
              </w:rPr>
            </w:pPr>
            <w:r>
              <w:rPr>
                <w:rStyle w:val="Code"/>
              </w:rPr>
              <w:t xml:space="preserve">    &lt;sourceDesc&gt;</w:t>
            </w:r>
          </w:p>
          <w:p>
            <w:pPr>
              <w:pStyle w:val="CodeParagraph"/>
              <w:rPr>
                <w:rStyle w:val="Code"/>
              </w:rPr>
            </w:pPr>
            <w:r>
              <w:rPr>
                <w:rStyle w:val="Code"/>
              </w:rPr>
              <w:t xml:space="preserve">      ...</w:t>
            </w:r>
          </w:p>
          <w:p>
            <w:pPr>
              <w:pStyle w:val="CodeParagraph"/>
              <w:rPr>
                <w:rStyle w:val="Code"/>
              </w:rPr>
            </w:pPr>
            <w:r>
              <w:rPr>
                <w:rStyle w:val="Code"/>
              </w:rPr>
              <w:t xml:space="preserve">    &lt;/sourceDesc&gt;</w:t>
            </w:r>
          </w:p>
          <w:p>
            <w:pPr>
              <w:pStyle w:val="CodeParagraph"/>
              <w:rPr>
                <w:rStyle w:val="Code"/>
              </w:rPr>
            </w:pPr>
            <w:r>
              <w:rPr>
                <w:rStyle w:val="Code"/>
              </w:rPr>
              <w:t xml:space="preserve">  &lt;/fileDesc&gt;</w:t>
            </w:r>
          </w:p>
          <w:p>
            <w:pPr>
              <w:pStyle w:val="CodeParagraph"/>
              <w:rPr>
                <w:rStyle w:val="Code"/>
              </w:rPr>
            </w:pPr>
            <w:r>
              <w:rPr>
                <w:rStyle w:val="Code"/>
              </w:rPr>
              <w:t xml:space="preserve">  &lt;encodingDesc&gt;</w:t>
            </w:r>
          </w:p>
          <w:p>
            <w:pPr>
              <w:pStyle w:val="CodeParagraph"/>
              <w:rPr>
                <w:rStyle w:val="Code"/>
              </w:rPr>
            </w:pPr>
            <w:r>
              <w:rPr>
                <w:rStyle w:val="Code"/>
              </w:rPr>
              <w:t xml:space="preserve">    ...</w:t>
            </w:r>
          </w:p>
          <w:p>
            <w:pPr>
              <w:pStyle w:val="CodeParagraph"/>
              <w:rPr>
                <w:rStyle w:val="Code"/>
              </w:rPr>
            </w:pPr>
            <w:r>
              <w:rPr>
                <w:rStyle w:val="Code"/>
              </w:rPr>
              <w:t xml:space="preserve">  &lt;/encodingDesc&gt;</w:t>
            </w:r>
          </w:p>
          <w:p>
            <w:pPr>
              <w:pStyle w:val="CodeParagraph"/>
              <w:rPr>
                <w:rStyle w:val="Code"/>
              </w:rPr>
            </w:pPr>
            <w:r>
              <w:rPr>
                <w:rStyle w:val="Code"/>
              </w:rPr>
              <w:t xml:space="preserve">  &lt;revisionDesc&gt;</w:t>
            </w:r>
          </w:p>
          <w:p>
            <w:pPr>
              <w:pStyle w:val="CodeParagraph"/>
              <w:rPr>
                <w:rStyle w:val="Code"/>
              </w:rPr>
            </w:pPr>
            <w:r>
              <w:rPr>
                <w:rStyle w:val="Code"/>
              </w:rPr>
              <w:t xml:space="preserve">    ...</w:t>
            </w:r>
          </w:p>
          <w:p>
            <w:pPr>
              <w:pStyle w:val="CodeParagraph"/>
              <w:rPr>
                <w:rStyle w:val="Code"/>
              </w:rPr>
            </w:pPr>
            <w:r>
              <w:rPr>
                <w:rStyle w:val="Code"/>
              </w:rPr>
              <w:t xml:space="preserve">  &lt;/revisionDesc&gt;</w:t>
            </w:r>
          </w:p>
          <w:p>
            <w:pPr>
              <w:pStyle w:val="CodeParagraph"/>
            </w:pPr>
            <w:r>
              <w:rPr>
                <w:rStyle w:val="Code"/>
              </w:rPr>
              <w:t>&lt;/teiHeader&gt;</w:t>
            </w:r>
          </w:p>
        </w:tc>
      </w:tr>
    </w:tbl>
    <w:p>
      <w:pPr>
        <w:pStyle w:val="Cmsor3"/>
      </w:pPr>
      <w:bookmarkStart w:id="36" w:name="_Ref224739111"/>
      <w:bookmarkStart w:id="37" w:name="_Toc242976590"/>
      <w:r>
        <w:t>The body of the document</w:t>
      </w:r>
      <w:bookmarkEnd w:id="36"/>
      <w:bookmarkEnd w:id="37"/>
    </w:p>
    <w:p>
      <w:pPr>
        <w:pStyle w:val="Lista"/>
      </w:pPr>
      <w:r>
        <w:t xml:space="preserve">the part of the XML file which contains a particular text is wrapped in the element </w:t>
      </w:r>
      <w:r>
        <w:rPr>
          <w:rStyle w:val="Code"/>
        </w:rPr>
        <w:t>&lt;text&gt;</w:t>
      </w:r>
    </w:p>
    <w:p>
      <w:pPr>
        <w:pStyle w:val="Lista"/>
      </w:pPr>
      <w:r>
        <w:t xml:space="preserve">in TEI, the text container may include elements other than </w:t>
      </w:r>
      <w:r>
        <w:rPr>
          <w:rStyle w:val="Code"/>
        </w:rPr>
        <w:t>&lt;body&gt;</w:t>
      </w:r>
      <w:r>
        <w:t xml:space="preserve">, but EpiDoc convention does not use any of these elements, so all of the contents of </w:t>
      </w:r>
      <w:r>
        <w:rPr>
          <w:rStyle w:val="Code"/>
        </w:rPr>
        <w:t>&lt;text&gt;</w:t>
      </w:r>
      <w:r>
        <w:t xml:space="preserve"> are also wrapped in </w:t>
      </w:r>
      <w:r>
        <w:rPr>
          <w:rStyle w:val="Code"/>
        </w:rPr>
        <w:t>&lt;body&gt;</w:t>
      </w:r>
    </w:p>
    <w:p>
      <w:pPr>
        <w:pStyle w:val="Lista"/>
      </w:pPr>
      <w:r>
        <w:t xml:space="preserve">the body consists of several divisions represented by </w:t>
      </w:r>
      <w:r>
        <w:rPr>
          <w:rStyle w:val="Code"/>
        </w:rPr>
        <w:t>&lt;div&gt;</w:t>
      </w:r>
      <w:r>
        <w:t xml:space="preserve"> elements, each of which contains various aspects of the text</w:t>
      </w:r>
    </w:p>
    <w:p>
      <w:pPr>
        <w:pStyle w:val="Lista"/>
      </w:pPr>
      <w:r>
        <w:t>the edition division contains the digital edition of the primary text itself</w:t>
      </w:r>
    </w:p>
    <w:p>
      <w:pPr>
        <w:pStyle w:val="Lista2"/>
      </w:pPr>
      <w:r>
        <w:t>instructions for encoding the edition comprise the bulk of this Guide, from §</w:t>
      </w:r>
      <w:r>
        <w:fldChar w:fldCharType="begin"/>
      </w:r>
      <w:r>
        <w:instrText xml:space="preserve"> REF _Ref43978632 \r \h </w:instrText>
      </w:r>
      <w:r>
        <w:fldChar w:fldCharType="separate"/>
      </w:r>
      <w:r>
        <w:t>3</w:t>
      </w:r>
      <w:r>
        <w:fldChar w:fldCharType="end"/>
      </w:r>
      <w:r>
        <w:t xml:space="preserve"> to §</w:t>
      </w:r>
      <w:r>
        <w:fldChar w:fldCharType="begin"/>
      </w:r>
      <w:r>
        <w:instrText xml:space="preserve"> REF _Ref232002354 \r \h </w:instrText>
      </w:r>
      <w:r>
        <w:fldChar w:fldCharType="separate"/>
      </w:r>
      <w:r>
        <w:t>9</w:t>
      </w:r>
      <w:r>
        <w:fldChar w:fldCharType="end"/>
      </w:r>
    </w:p>
    <w:p>
      <w:pPr>
        <w:pStyle w:val="Lista"/>
      </w:pPr>
      <w:r>
        <w:t>the additional divisions are as follows:</w:t>
      </w:r>
    </w:p>
    <w:p>
      <w:pPr>
        <w:pStyle w:val="Lista2"/>
      </w:pPr>
      <w:r>
        <w:t>critical apparatus, discussed in §</w:t>
      </w:r>
      <w:r>
        <w:fldChar w:fldCharType="begin"/>
      </w:r>
      <w:r>
        <w:instrText xml:space="preserve"> REF _Ref43978773 \r \h </w:instrText>
      </w:r>
      <w:r>
        <w:fldChar w:fldCharType="separate"/>
      </w:r>
      <w:r>
        <w:t>10</w:t>
      </w:r>
      <w:r>
        <w:fldChar w:fldCharType="end"/>
      </w:r>
    </w:p>
    <w:p>
      <w:pPr>
        <w:pStyle w:val="Lista2"/>
      </w:pPr>
      <w:r>
        <w:lastRenderedPageBreak/>
        <w:t>one or more translations, discussed in §</w:t>
      </w:r>
      <w:r>
        <w:fldChar w:fldCharType="begin"/>
      </w:r>
      <w:r>
        <w:instrText xml:space="preserve"> REF _Ref43978780 \r \h </w:instrText>
      </w:r>
      <w:r>
        <w:fldChar w:fldCharType="separate"/>
      </w:r>
      <w:r>
        <w:t>11</w:t>
      </w:r>
      <w:r>
        <w:fldChar w:fldCharType="end"/>
      </w:r>
    </w:p>
    <w:p>
      <w:pPr>
        <w:pStyle w:val="Lista2"/>
      </w:pPr>
      <w:r>
        <w:t>scholarly commentary, discussed in §</w:t>
      </w:r>
      <w:r>
        <w:fldChar w:fldCharType="begin"/>
      </w:r>
      <w:r>
        <w:instrText xml:space="preserve"> REF _Ref181352286 \r \h </w:instrText>
      </w:r>
      <w:r>
        <w:fldChar w:fldCharType="separate"/>
      </w:r>
      <w:r>
        <w:t>12</w:t>
      </w:r>
      <w:r>
        <w:fldChar w:fldCharType="end"/>
      </w:r>
    </w:p>
    <w:p>
      <w:pPr>
        <w:pStyle w:val="Lista2"/>
      </w:pPr>
      <w:r>
        <w:t>bibliography, discussed in §</w:t>
      </w:r>
      <w:r>
        <w:fldChar w:fldCharType="begin"/>
      </w:r>
      <w:r>
        <w:instrText xml:space="preserve"> REF _Ref43978796 \r \h </w:instrText>
      </w:r>
      <w:r>
        <w:fldChar w:fldCharType="separate"/>
      </w:r>
      <w:r>
        <w:t>13</w:t>
      </w:r>
      <w:r>
        <w:fldChar w:fldCharType="end"/>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r>
              <w:t xml:space="preserve">Exhibit </w:t>
            </w:r>
            <w:fldSimple w:instr=" STYLEREF 2 \s ">
              <w:r>
                <w:rPr>
                  <w:noProof/>
                </w:rPr>
                <w:t>2.3</w:t>
              </w:r>
            </w:fldSimple>
            <w:r>
              <w:t>.</w:t>
            </w:r>
            <w:fldSimple w:instr=" SEQ Exhibit \* ALPHABETIC \s 2 ">
              <w:r>
                <w:rPr>
                  <w:noProof/>
                </w:rPr>
                <w:t>C</w:t>
              </w:r>
            </w:fldSimple>
            <w:r>
              <w:t>: the body of an EpiDoc edition</w:t>
            </w:r>
          </w:p>
        </w:tc>
      </w:tr>
      <w:tr>
        <w:tc>
          <w:tcPr>
            <w:tcW w:w="5000" w:type="pct"/>
          </w:tcPr>
          <w:p>
            <w:pPr>
              <w:pStyle w:val="CodeParagraph"/>
              <w:rPr>
                <w:rStyle w:val="Code"/>
              </w:rPr>
            </w:pPr>
            <w:r>
              <w:rPr>
                <w:rStyle w:val="Code"/>
              </w:rPr>
              <w:t xml:space="preserve">&lt;text </w:t>
            </w:r>
            <w:r>
              <w:rPr>
                <w:rStyle w:val="Codeattribute"/>
              </w:rPr>
              <w:t>xml:space=</w:t>
            </w:r>
            <w:r>
              <w:rPr>
                <w:rStyle w:val="Codevalue"/>
              </w:rPr>
              <w:t>"preserve"</w:t>
            </w:r>
            <w:r>
              <w:rPr>
                <w:rStyle w:val="Code"/>
              </w:rPr>
              <w:t>&gt;</w:t>
            </w:r>
          </w:p>
          <w:p>
            <w:pPr>
              <w:pStyle w:val="CodeParagraph"/>
              <w:rPr>
                <w:rStyle w:val="Code"/>
              </w:rPr>
            </w:pPr>
            <w:r>
              <w:rPr>
                <w:rStyle w:val="Code"/>
              </w:rPr>
              <w:t xml:space="preserve">  &lt;body&gt;</w:t>
            </w:r>
          </w:p>
          <w:p>
            <w:pPr>
              <w:pStyle w:val="CodeParagraph"/>
              <w:rPr>
                <w:rStyle w:val="Code"/>
              </w:rPr>
            </w:pPr>
            <w:r>
              <w:rPr>
                <w:rStyle w:val="Code"/>
              </w:rPr>
              <w:t xml:space="preserve">    &lt;div </w:t>
            </w:r>
            <w:r>
              <w:rPr>
                <w:rStyle w:val="Codeattribute"/>
              </w:rPr>
              <w:t>type=</w:t>
            </w:r>
            <w:r>
              <w:rPr>
                <w:rStyle w:val="Codevalue"/>
              </w:rPr>
              <w:t>"edition"</w:t>
            </w:r>
            <w:r>
              <w:rPr>
                <w:rStyle w:val="Code"/>
              </w:rPr>
              <w:t>&gt;</w:t>
            </w:r>
          </w:p>
          <w:p>
            <w:pPr>
              <w:pStyle w:val="CodeParagraph"/>
              <w:rPr>
                <w:rStyle w:val="Code"/>
              </w:rPr>
            </w:pPr>
            <w:r>
              <w:rPr>
                <w:rStyle w:val="Code"/>
              </w:rPr>
              <w:t xml:space="preserve">      ...</w:t>
            </w:r>
          </w:p>
          <w:p>
            <w:pPr>
              <w:pStyle w:val="CodeParagraph"/>
              <w:rPr>
                <w:rStyle w:val="Code"/>
              </w:rPr>
            </w:pPr>
            <w:r>
              <w:rPr>
                <w:rStyle w:val="Code"/>
              </w:rPr>
              <w:t xml:space="preserve">    &lt;/div&gt;</w:t>
            </w:r>
          </w:p>
          <w:p>
            <w:pPr>
              <w:pStyle w:val="CodeParagraph"/>
              <w:rPr>
                <w:rStyle w:val="Code"/>
              </w:rPr>
            </w:pPr>
            <w:r>
              <w:rPr>
                <w:rStyle w:val="Code"/>
              </w:rPr>
              <w:t xml:space="preserve">    &lt;div </w:t>
            </w:r>
            <w:r>
              <w:rPr>
                <w:rStyle w:val="Codeattribute"/>
              </w:rPr>
              <w:t>type=</w:t>
            </w:r>
            <w:r>
              <w:rPr>
                <w:rStyle w:val="Codevalue"/>
              </w:rPr>
              <w:t>"apparatus"</w:t>
            </w:r>
            <w:r>
              <w:rPr>
                <w:rStyle w:val="Code"/>
              </w:rPr>
              <w:t>&gt;</w:t>
            </w:r>
          </w:p>
          <w:p>
            <w:pPr>
              <w:pStyle w:val="CodeParagraph"/>
              <w:rPr>
                <w:rStyle w:val="Code"/>
              </w:rPr>
            </w:pPr>
            <w:r>
              <w:rPr>
                <w:rStyle w:val="Code"/>
              </w:rPr>
              <w:t xml:space="preserve">      ...</w:t>
            </w:r>
          </w:p>
          <w:p>
            <w:pPr>
              <w:pStyle w:val="CodeParagraph"/>
              <w:rPr>
                <w:rStyle w:val="Code"/>
              </w:rPr>
            </w:pPr>
            <w:r>
              <w:rPr>
                <w:rStyle w:val="Code"/>
              </w:rPr>
              <w:t xml:space="preserve">    &lt;/div&gt;</w:t>
            </w:r>
          </w:p>
          <w:p>
            <w:pPr>
              <w:pStyle w:val="CodeParagraph"/>
              <w:rPr>
                <w:rStyle w:val="Code"/>
              </w:rPr>
            </w:pPr>
            <w:r>
              <w:rPr>
                <w:rStyle w:val="Code"/>
              </w:rPr>
              <w:t xml:space="preserve">    &lt;div </w:t>
            </w:r>
            <w:r>
              <w:rPr>
                <w:rStyle w:val="Codeattribute"/>
              </w:rPr>
              <w:t>type=</w:t>
            </w:r>
            <w:r>
              <w:rPr>
                <w:rStyle w:val="Codevalue"/>
              </w:rPr>
              <w:t>"translation"</w:t>
            </w:r>
            <w:r>
              <w:rPr>
                <w:rStyle w:val="Code"/>
              </w:rPr>
              <w:t>&gt;</w:t>
            </w:r>
          </w:p>
          <w:p>
            <w:pPr>
              <w:pStyle w:val="CodeParagraph"/>
              <w:rPr>
                <w:rStyle w:val="Code"/>
              </w:rPr>
            </w:pPr>
            <w:r>
              <w:rPr>
                <w:rStyle w:val="Code"/>
              </w:rPr>
              <w:t xml:space="preserve">      ...</w:t>
            </w:r>
          </w:p>
          <w:p>
            <w:pPr>
              <w:pStyle w:val="CodeParagraph"/>
              <w:rPr>
                <w:rStyle w:val="Code"/>
              </w:rPr>
            </w:pPr>
            <w:r>
              <w:rPr>
                <w:rStyle w:val="Code"/>
              </w:rPr>
              <w:t xml:space="preserve">    &lt;/div&gt;</w:t>
            </w:r>
          </w:p>
          <w:p>
            <w:pPr>
              <w:pStyle w:val="CodeParagraph"/>
              <w:rPr>
                <w:rStyle w:val="Code"/>
              </w:rPr>
            </w:pPr>
            <w:r>
              <w:rPr>
                <w:rStyle w:val="Code"/>
              </w:rPr>
              <w:t xml:space="preserve">    &lt;div </w:t>
            </w:r>
            <w:r>
              <w:rPr>
                <w:rStyle w:val="Codeattribute"/>
              </w:rPr>
              <w:t>type=</w:t>
            </w:r>
            <w:r>
              <w:rPr>
                <w:rStyle w:val="Codevalue"/>
              </w:rPr>
              <w:t>"commentary"</w:t>
            </w:r>
            <w:r>
              <w:rPr>
                <w:rStyle w:val="Code"/>
              </w:rPr>
              <w:t>&gt;</w:t>
            </w:r>
          </w:p>
          <w:p>
            <w:pPr>
              <w:pStyle w:val="CodeParagraph"/>
              <w:rPr>
                <w:rStyle w:val="Code"/>
              </w:rPr>
            </w:pPr>
            <w:r>
              <w:rPr>
                <w:rStyle w:val="Code"/>
              </w:rPr>
              <w:t xml:space="preserve">      ...</w:t>
            </w:r>
          </w:p>
          <w:p>
            <w:pPr>
              <w:pStyle w:val="CodeParagraph"/>
              <w:rPr>
                <w:rStyle w:val="Code"/>
              </w:rPr>
            </w:pPr>
            <w:r>
              <w:rPr>
                <w:rStyle w:val="Code"/>
              </w:rPr>
              <w:t xml:space="preserve">    &lt;/div&gt;</w:t>
            </w:r>
          </w:p>
          <w:p>
            <w:pPr>
              <w:pStyle w:val="CodeParagraph"/>
              <w:rPr>
                <w:rStyle w:val="Code"/>
              </w:rPr>
            </w:pPr>
            <w:r>
              <w:rPr>
                <w:rStyle w:val="Code"/>
              </w:rPr>
              <w:t xml:space="preserve">    &lt;div </w:t>
            </w:r>
            <w:r>
              <w:rPr>
                <w:rStyle w:val="Codeattribute"/>
              </w:rPr>
              <w:t>type=</w:t>
            </w:r>
            <w:r>
              <w:rPr>
                <w:rStyle w:val="Codevalue"/>
              </w:rPr>
              <w:t>"bibliography"</w:t>
            </w:r>
            <w:r>
              <w:rPr>
                <w:rStyle w:val="Code"/>
              </w:rPr>
              <w:t>&gt;</w:t>
            </w:r>
          </w:p>
          <w:p>
            <w:pPr>
              <w:pStyle w:val="CodeParagraph"/>
              <w:rPr>
                <w:rStyle w:val="Code"/>
              </w:rPr>
            </w:pPr>
            <w:r>
              <w:rPr>
                <w:rStyle w:val="Code"/>
              </w:rPr>
              <w:t xml:space="preserve">      ...</w:t>
            </w:r>
          </w:p>
          <w:p>
            <w:pPr>
              <w:pStyle w:val="CodeParagraph"/>
              <w:rPr>
                <w:rStyle w:val="Code"/>
              </w:rPr>
            </w:pPr>
            <w:r>
              <w:rPr>
                <w:rStyle w:val="Code"/>
              </w:rPr>
              <w:t xml:space="preserve">    &lt;/div&gt;</w:t>
            </w:r>
          </w:p>
          <w:p>
            <w:pPr>
              <w:pStyle w:val="CodeParagraph"/>
              <w:rPr>
                <w:rStyle w:val="Code"/>
              </w:rPr>
            </w:pPr>
            <w:r>
              <w:rPr>
                <w:rStyle w:val="Code"/>
              </w:rPr>
              <w:t xml:space="preserve">  &lt;/body&gt;</w:t>
            </w:r>
          </w:p>
          <w:p>
            <w:pPr>
              <w:pStyle w:val="CodeParagraph"/>
            </w:pPr>
            <w:r>
              <w:rPr>
                <w:rStyle w:val="Code"/>
              </w:rPr>
              <w:t>&lt;/text&gt;</w:t>
            </w:r>
          </w:p>
        </w:tc>
      </w:tr>
    </w:tbl>
    <w:p/>
    <w:p>
      <w:pPr>
        <w:pStyle w:val="Cmsor1"/>
      </w:pPr>
      <w:bookmarkStart w:id="38" w:name="_a88bdnf7s1v4" w:colFirst="0" w:colLast="0"/>
      <w:bookmarkStart w:id="39" w:name="_Ref43978632"/>
      <w:bookmarkStart w:id="40" w:name="_Ref224890440"/>
      <w:bookmarkStart w:id="41" w:name="_Ref225153941"/>
      <w:bookmarkEnd w:id="38"/>
      <w:r>
        <w:lastRenderedPageBreak/>
        <w:t>Intrinsic structure</w:t>
      </w:r>
      <w:bookmarkEnd w:id="39"/>
      <w:bookmarkEnd w:id="40"/>
      <w:bookmarkEnd w:id="41"/>
    </w:p>
    <w:p>
      <w:pPr>
        <w:pStyle w:val="Cmsor2"/>
      </w:pPr>
      <w:bookmarkStart w:id="42" w:name="_Ref225153755"/>
      <w:bookmarkStart w:id="43" w:name="_Ref43978813"/>
      <w:bookmarkStart w:id="44" w:name="_Ref149918441"/>
      <w:r>
        <w:t>Representing intrinsic structure</w:t>
      </w:r>
      <w:bookmarkEnd w:id="42"/>
    </w:p>
    <w:p>
      <w:r>
        <w:t xml:space="preserve">Of the various parallel, and more or less hierarchical, structures present in a written text, two are particularly relevant to encoding in the DHARMA scheme. By </w:t>
      </w:r>
      <w:r>
        <w:rPr>
          <w:i/>
          <w:iCs/>
        </w:rPr>
        <w:t>intrinsic structure</w:t>
      </w:r>
      <w:r>
        <w:t xml:space="preserve">, we refer to the structure of a text “as work” in the terminology of </w:t>
      </w:r>
      <w:r>
        <w:rPr>
          <w:noProof/>
        </w:rPr>
        <w:t>Tanselle</w:t>
      </w:r>
      <w:r>
        <w:t xml:space="preserve"> (1989), meaning the text as an entity abstracted from its physical medium. We contrast this with </w:t>
      </w:r>
      <w:r>
        <w:rPr>
          <w:i/>
          <w:iCs/>
        </w:rPr>
        <w:t>extrinsic structure</w:t>
      </w:r>
      <w:r>
        <w:t xml:space="preserve"> (§</w:t>
      </w:r>
      <w:r>
        <w:fldChar w:fldCharType="begin"/>
      </w:r>
      <w:r>
        <w:instrText xml:space="preserve"> REF _Ref225261475 \r \h </w:instrText>
      </w:r>
      <w:r>
        <w:fldChar w:fldCharType="separate"/>
      </w:r>
      <w:r>
        <w:t>4</w:t>
      </w:r>
      <w:r>
        <w:fldChar w:fldCharType="end"/>
      </w:r>
      <w:r>
        <w:t>), which is the structure of a text “as document” in a concrete physical manifestation. In a quintessential book, intrinsic structure might comprise several parts, each containing one or more chapters, each containing a number of paragraphs.</w:t>
      </w:r>
    </w:p>
    <w:p>
      <w:pPr>
        <w:pStyle w:val="Normlbehzs"/>
      </w:pPr>
      <w:r>
        <w:t>TEI editions, and therefore also our digital editions, dedicate the primary hierarchy of XML elements (§</w:t>
      </w:r>
      <w:r>
        <w:fldChar w:fldCharType="begin"/>
      </w:r>
      <w:r>
        <w:instrText xml:space="preserve"> REF _Ref224893456 \r \h </w:instrText>
      </w:r>
      <w:r>
        <w:fldChar w:fldCharType="separate"/>
      </w:r>
      <w:r>
        <w:t>2.2.4</w:t>
      </w:r>
      <w:r>
        <w:fldChar w:fldCharType="end"/>
      </w:r>
      <w:r>
        <w:t xml:space="preserve">) to representing a text’s intrinsic structure. DHARMA documentary editions represent intrinsic structure in a simple, schematic hierarchy illustrated in </w:t>
      </w:r>
      <w:r>
        <w:fldChar w:fldCharType="begin"/>
      </w:r>
      <w:r>
        <w:instrText xml:space="preserve"> REF _Ref224805161 \h </w:instrText>
      </w:r>
      <w:r>
        <w:fldChar w:fldCharType="separate"/>
      </w:r>
      <w:r>
        <w:t xml:space="preserve">Exhibit </w:t>
      </w:r>
      <w:r>
        <w:rPr>
          <w:noProof/>
        </w:rPr>
        <w:t>3.1</w:t>
      </w:r>
      <w:r>
        <w:t>.</w:t>
      </w:r>
      <w:r>
        <w:rPr>
          <w:noProof/>
        </w:rPr>
        <w:t>A</w:t>
      </w:r>
      <w:r>
        <w:fldChar w:fldCharType="end"/>
      </w:r>
      <w:r>
        <w:t>. The labels in the Exhibit are shown in angle brackets to indicate that they correspond to XML elements, but the actual XML elements are introduced in the sections discussing their encoding.</w:t>
      </w:r>
    </w:p>
    <w:tbl>
      <w:tblPr>
        <w:tblStyle w:val="FigureTable"/>
        <w:tblW w:w="0" w:type="auto"/>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9628" w:type="dxa"/>
          </w:tcPr>
          <w:p>
            <w:pPr>
              <w:pStyle w:val="Kpalrs"/>
            </w:pPr>
            <w:bookmarkStart w:id="45" w:name="_Ref224805161"/>
            <w:bookmarkStart w:id="46" w:name="_Ref224805068"/>
            <w:r>
              <w:t xml:space="preserve">Exhibit </w:t>
            </w:r>
            <w:fldSimple w:instr=" STYLEREF 2 \s ">
              <w:r>
                <w:rPr>
                  <w:noProof/>
                </w:rPr>
                <w:t>3.1</w:t>
              </w:r>
            </w:fldSimple>
            <w:r>
              <w:t>.</w:t>
            </w:r>
            <w:fldSimple w:instr=" SEQ Exhibit \* ALPHABETIC \s 2 ">
              <w:r>
                <w:rPr>
                  <w:noProof/>
                </w:rPr>
                <w:t>A</w:t>
              </w:r>
            </w:fldSimple>
            <w:bookmarkEnd w:id="45"/>
            <w:r>
              <w:t>. the encoding hierarchy of intrinsic structure</w:t>
            </w:r>
            <w:bookmarkEnd w:id="46"/>
          </w:p>
        </w:tc>
      </w:tr>
      <w:tr>
        <w:tc>
          <w:tcPr>
            <w:tcW w:w="9628" w:type="dxa"/>
          </w:tcPr>
          <w:tbl>
            <w:tblPr>
              <w:tblStyle w:val="TGtableblank"/>
              <w:tblW w:w="0" w:type="auto"/>
              <w:jc w:val="center"/>
              <w:tblLook w:val="04A0" w:firstRow="1" w:lastRow="0" w:firstColumn="1" w:lastColumn="0" w:noHBand="0" w:noVBand="1"/>
            </w:tblPr>
            <w:tblGrid>
              <w:gridCol w:w="284"/>
              <w:gridCol w:w="284"/>
              <w:gridCol w:w="284"/>
              <w:gridCol w:w="2835"/>
              <w:gridCol w:w="1418"/>
              <w:gridCol w:w="284"/>
              <w:gridCol w:w="284"/>
              <w:gridCol w:w="284"/>
              <w:gridCol w:w="284"/>
            </w:tblGrid>
            <w:tr>
              <w:trPr>
                <w:trHeight w:hRule="exact" w:val="397"/>
                <w:jc w:val="center"/>
              </w:trPr>
              <w:tc>
                <w:tcPr>
                  <w:tcW w:w="6241" w:type="dxa"/>
                  <w:gridSpan w:val="9"/>
                  <w:tcBorders>
                    <w:top w:val="double" w:sz="12" w:space="0" w:color="auto"/>
                    <w:left w:val="double" w:sz="12" w:space="0" w:color="auto"/>
                    <w:right w:val="double" w:sz="12" w:space="0" w:color="auto"/>
                  </w:tcBorders>
                  <w:shd w:val="clear" w:color="auto" w:fill="92D050"/>
                </w:tcPr>
                <w:p>
                  <w:pPr>
                    <w:pStyle w:val="Tabletext"/>
                    <w:keepNext/>
                  </w:pPr>
                  <w:r>
                    <w:t>&lt;edition&gt; contains</w:t>
                  </w:r>
                </w:p>
              </w:tc>
            </w:tr>
            <w:tr>
              <w:trPr>
                <w:trHeight w:hRule="exact" w:val="284"/>
                <w:jc w:val="center"/>
              </w:trPr>
              <w:tc>
                <w:tcPr>
                  <w:tcW w:w="284" w:type="dxa"/>
                  <w:tcBorders>
                    <w:left w:val="double" w:sz="12" w:space="0" w:color="auto"/>
                    <w:right w:val="double" w:sz="4" w:space="0" w:color="auto"/>
                  </w:tcBorders>
                  <w:shd w:val="clear" w:color="auto" w:fill="92D050"/>
                </w:tcPr>
                <w:p>
                  <w:pPr>
                    <w:pStyle w:val="Tabletext"/>
                    <w:keepNext/>
                  </w:pPr>
                  <w:r>
                    <w:t xml:space="preserve"> </w:t>
                  </w:r>
                </w:p>
              </w:tc>
              <w:tc>
                <w:tcPr>
                  <w:tcW w:w="5673" w:type="dxa"/>
                  <w:gridSpan w:val="7"/>
                  <w:tcBorders>
                    <w:top w:val="double" w:sz="4" w:space="0" w:color="auto"/>
                    <w:left w:val="double" w:sz="4" w:space="0" w:color="auto"/>
                    <w:right w:val="double" w:sz="4" w:space="0" w:color="auto"/>
                  </w:tcBorders>
                  <w:shd w:val="clear" w:color="auto" w:fill="CCFFCC"/>
                </w:tcPr>
                <w:p>
                  <w:pPr>
                    <w:pStyle w:val="Tabletext"/>
                    <w:keepNext/>
                  </w:pPr>
                  <w:r>
                    <w:t>&lt;textpart A&gt; contains</w:t>
                  </w: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113"/>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3119" w:type="dxa"/>
                  <w:gridSpan w:val="2"/>
                  <w:vMerge w:val="restart"/>
                  <w:tcBorders>
                    <w:top w:val="single" w:sz="4" w:space="0" w:color="auto"/>
                    <w:left w:val="single" w:sz="4" w:space="0" w:color="auto"/>
                  </w:tcBorders>
                  <w:shd w:val="clear" w:color="auto" w:fill="CC99FF"/>
                </w:tcPr>
                <w:p>
                  <w:pPr>
                    <w:pStyle w:val="Tabletext"/>
                    <w:keepNext/>
                  </w:pPr>
                  <w:r>
                    <w:t>&lt;paragraph&gt; contains</w:t>
                  </w:r>
                </w:p>
              </w:tc>
              <w:tc>
                <w:tcPr>
                  <w:tcW w:w="1418" w:type="dxa"/>
                  <w:tcBorders>
                    <w:top w:val="single" w:sz="4" w:space="0" w:color="auto"/>
                  </w:tcBorders>
                  <w:shd w:val="clear" w:color="auto" w:fill="CC99FF"/>
                </w:tcPr>
                <w:p>
                  <w:pPr>
                    <w:pStyle w:val="Tabletext"/>
                    <w:keepNext/>
                    <w:jc w:val="center"/>
                    <w:rPr>
                      <w:i/>
                      <w:iCs/>
                    </w:rPr>
                  </w:pPr>
                </w:p>
              </w:tc>
              <w:tc>
                <w:tcPr>
                  <w:tcW w:w="284" w:type="dxa"/>
                  <w:tcBorders>
                    <w:top w:val="single" w:sz="4" w:space="0" w:color="auto"/>
                  </w:tcBorders>
                  <w:shd w:val="clear" w:color="auto" w:fill="CC99FF"/>
                </w:tcPr>
                <w:p>
                  <w:pPr>
                    <w:pStyle w:val="Tabletext"/>
                    <w:keepNext/>
                    <w:jc w:val="center"/>
                  </w:pPr>
                </w:p>
              </w:tc>
              <w:tc>
                <w:tcPr>
                  <w:tcW w:w="284" w:type="dxa"/>
                  <w:tcBorders>
                    <w:top w:val="single" w:sz="4" w:space="0" w:color="auto"/>
                    <w:right w:val="single" w:sz="4" w:space="0" w:color="auto"/>
                  </w:tcBorders>
                  <w:shd w:val="clear" w:color="auto" w:fill="CC99FF"/>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284"/>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3119" w:type="dxa"/>
                  <w:gridSpan w:val="2"/>
                  <w:vMerge/>
                  <w:tcBorders>
                    <w:left w:val="single" w:sz="4" w:space="0" w:color="auto"/>
                  </w:tcBorders>
                  <w:shd w:val="clear" w:color="auto" w:fill="CC99FF"/>
                </w:tcPr>
                <w:p>
                  <w:pPr>
                    <w:pStyle w:val="Tabletext"/>
                    <w:keepNext/>
                  </w:pPr>
                </w:p>
              </w:tc>
              <w:tc>
                <w:tcPr>
                  <w:tcW w:w="1418" w:type="dxa"/>
                  <w:shd w:val="clear" w:color="auto" w:fill="FFFF00"/>
                </w:tcPr>
                <w:p>
                  <w:pPr>
                    <w:pStyle w:val="Tabletext"/>
                    <w:keepNext/>
                    <w:jc w:val="center"/>
                    <w:rPr>
                      <w:i/>
                      <w:iCs/>
                      <w:noProof/>
                    </w:rPr>
                  </w:pPr>
                  <w:r>
                    <w:rPr>
                      <w:i/>
                      <w:iCs/>
                      <w:noProof/>
                    </w:rPr>
                    <w:t>… text abc…</w:t>
                  </w:r>
                </w:p>
              </w:tc>
              <w:tc>
                <w:tcPr>
                  <w:tcW w:w="284" w:type="dxa"/>
                  <w:shd w:val="clear" w:color="auto" w:fill="CC99FF"/>
                </w:tcPr>
                <w:p>
                  <w:pPr>
                    <w:pStyle w:val="Tabletext"/>
                    <w:keepNext/>
                    <w:jc w:val="center"/>
                  </w:pPr>
                </w:p>
              </w:tc>
              <w:tc>
                <w:tcPr>
                  <w:tcW w:w="284" w:type="dxa"/>
                  <w:tcBorders>
                    <w:right w:val="single" w:sz="4" w:space="0" w:color="auto"/>
                  </w:tcBorders>
                  <w:shd w:val="clear" w:color="auto" w:fill="CC99FF"/>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113"/>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3119" w:type="dxa"/>
                  <w:gridSpan w:val="2"/>
                  <w:tcBorders>
                    <w:left w:val="single" w:sz="4" w:space="0" w:color="auto"/>
                    <w:bottom w:val="single" w:sz="4" w:space="0" w:color="auto"/>
                  </w:tcBorders>
                  <w:shd w:val="clear" w:color="auto" w:fill="CC99FF"/>
                </w:tcPr>
                <w:p>
                  <w:pPr>
                    <w:pStyle w:val="Tabletext"/>
                    <w:keepNext/>
                  </w:pPr>
                </w:p>
              </w:tc>
              <w:tc>
                <w:tcPr>
                  <w:tcW w:w="1418" w:type="dxa"/>
                  <w:tcBorders>
                    <w:bottom w:val="single" w:sz="4" w:space="0" w:color="auto"/>
                  </w:tcBorders>
                  <w:shd w:val="clear" w:color="auto" w:fill="CC99FF"/>
                </w:tcPr>
                <w:p>
                  <w:pPr>
                    <w:pStyle w:val="Tabletext"/>
                    <w:keepNext/>
                    <w:jc w:val="center"/>
                    <w:rPr>
                      <w:i/>
                      <w:iCs/>
                      <w:noProof/>
                    </w:rPr>
                  </w:pPr>
                </w:p>
              </w:tc>
              <w:tc>
                <w:tcPr>
                  <w:tcW w:w="284" w:type="dxa"/>
                  <w:tcBorders>
                    <w:bottom w:val="single" w:sz="4" w:space="0" w:color="auto"/>
                  </w:tcBorders>
                  <w:shd w:val="clear" w:color="auto" w:fill="CC99FF"/>
                </w:tcPr>
                <w:p>
                  <w:pPr>
                    <w:pStyle w:val="Tabletext"/>
                    <w:keepNext/>
                    <w:jc w:val="center"/>
                  </w:pPr>
                </w:p>
              </w:tc>
              <w:tc>
                <w:tcPr>
                  <w:tcW w:w="284" w:type="dxa"/>
                  <w:tcBorders>
                    <w:bottom w:val="single" w:sz="4" w:space="0" w:color="auto"/>
                    <w:right w:val="single" w:sz="4" w:space="0" w:color="auto"/>
                  </w:tcBorders>
                  <w:shd w:val="clear" w:color="auto" w:fill="CC99FF"/>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113"/>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3119" w:type="dxa"/>
                  <w:gridSpan w:val="2"/>
                  <w:vMerge w:val="restart"/>
                  <w:tcBorders>
                    <w:top w:val="single" w:sz="4" w:space="0" w:color="auto"/>
                    <w:left w:val="single" w:sz="4" w:space="0" w:color="auto"/>
                  </w:tcBorders>
                  <w:shd w:val="clear" w:color="auto" w:fill="FF66CC"/>
                </w:tcPr>
                <w:p>
                  <w:pPr>
                    <w:pStyle w:val="Tabletext"/>
                    <w:keepNext/>
                  </w:pPr>
                  <w:r>
                    <w:t>&lt;anonymous block&gt; contains</w:t>
                  </w:r>
                </w:p>
              </w:tc>
              <w:tc>
                <w:tcPr>
                  <w:tcW w:w="1418" w:type="dxa"/>
                  <w:tcBorders>
                    <w:top w:val="single" w:sz="4" w:space="0" w:color="auto"/>
                  </w:tcBorders>
                  <w:shd w:val="clear" w:color="auto" w:fill="FF66CC"/>
                </w:tcPr>
                <w:p>
                  <w:pPr>
                    <w:pStyle w:val="Tabletext"/>
                    <w:keepNext/>
                    <w:jc w:val="center"/>
                    <w:rPr>
                      <w:i/>
                      <w:iCs/>
                      <w:noProof/>
                    </w:rPr>
                  </w:pPr>
                </w:p>
              </w:tc>
              <w:tc>
                <w:tcPr>
                  <w:tcW w:w="284" w:type="dxa"/>
                  <w:tcBorders>
                    <w:top w:val="single" w:sz="4" w:space="0" w:color="auto"/>
                  </w:tcBorders>
                  <w:shd w:val="clear" w:color="auto" w:fill="FF66CC"/>
                </w:tcPr>
                <w:p>
                  <w:pPr>
                    <w:pStyle w:val="Tabletext"/>
                    <w:keepNext/>
                    <w:jc w:val="center"/>
                  </w:pPr>
                </w:p>
              </w:tc>
              <w:tc>
                <w:tcPr>
                  <w:tcW w:w="284" w:type="dxa"/>
                  <w:tcBorders>
                    <w:top w:val="single" w:sz="4" w:space="0" w:color="auto"/>
                    <w:right w:val="single" w:sz="4" w:space="0" w:color="auto"/>
                  </w:tcBorders>
                  <w:shd w:val="clear" w:color="auto" w:fill="FF66CC"/>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284"/>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3119" w:type="dxa"/>
                  <w:gridSpan w:val="2"/>
                  <w:vMerge/>
                  <w:tcBorders>
                    <w:left w:val="single" w:sz="4" w:space="0" w:color="auto"/>
                  </w:tcBorders>
                  <w:shd w:val="clear" w:color="auto" w:fill="FF66CC"/>
                </w:tcPr>
                <w:p>
                  <w:pPr>
                    <w:pStyle w:val="Tabletext"/>
                    <w:keepNext/>
                  </w:pPr>
                </w:p>
              </w:tc>
              <w:tc>
                <w:tcPr>
                  <w:tcW w:w="1418" w:type="dxa"/>
                  <w:shd w:val="clear" w:color="auto" w:fill="FFFF00"/>
                </w:tcPr>
                <w:p>
                  <w:pPr>
                    <w:pStyle w:val="Tabletext"/>
                    <w:keepNext/>
                    <w:jc w:val="center"/>
                    <w:rPr>
                      <w:i/>
                      <w:iCs/>
                      <w:noProof/>
                    </w:rPr>
                  </w:pPr>
                  <w:r>
                    <w:rPr>
                      <w:i/>
                      <w:iCs/>
                      <w:noProof/>
                    </w:rPr>
                    <w:t>… text def…</w:t>
                  </w:r>
                </w:p>
              </w:tc>
              <w:tc>
                <w:tcPr>
                  <w:tcW w:w="284" w:type="dxa"/>
                  <w:shd w:val="clear" w:color="auto" w:fill="FF66CC"/>
                </w:tcPr>
                <w:p>
                  <w:pPr>
                    <w:pStyle w:val="Tabletext"/>
                    <w:keepNext/>
                    <w:jc w:val="center"/>
                  </w:pPr>
                </w:p>
              </w:tc>
              <w:tc>
                <w:tcPr>
                  <w:tcW w:w="284" w:type="dxa"/>
                  <w:tcBorders>
                    <w:right w:val="single" w:sz="4" w:space="0" w:color="auto"/>
                  </w:tcBorders>
                  <w:shd w:val="clear" w:color="auto" w:fill="FF66CC"/>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113"/>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3119" w:type="dxa"/>
                  <w:gridSpan w:val="2"/>
                  <w:tcBorders>
                    <w:left w:val="single" w:sz="4" w:space="0" w:color="auto"/>
                    <w:bottom w:val="single" w:sz="4" w:space="0" w:color="auto"/>
                  </w:tcBorders>
                  <w:shd w:val="clear" w:color="auto" w:fill="FF66CC"/>
                </w:tcPr>
                <w:p>
                  <w:pPr>
                    <w:pStyle w:val="Tabletext"/>
                    <w:keepNext/>
                  </w:pPr>
                </w:p>
              </w:tc>
              <w:tc>
                <w:tcPr>
                  <w:tcW w:w="1418" w:type="dxa"/>
                  <w:tcBorders>
                    <w:bottom w:val="single" w:sz="4" w:space="0" w:color="auto"/>
                  </w:tcBorders>
                  <w:shd w:val="clear" w:color="auto" w:fill="FF66CC"/>
                </w:tcPr>
                <w:p>
                  <w:pPr>
                    <w:pStyle w:val="Tabletext"/>
                    <w:keepNext/>
                    <w:jc w:val="center"/>
                    <w:rPr>
                      <w:i/>
                      <w:iCs/>
                      <w:noProof/>
                    </w:rPr>
                  </w:pPr>
                </w:p>
              </w:tc>
              <w:tc>
                <w:tcPr>
                  <w:tcW w:w="284" w:type="dxa"/>
                  <w:tcBorders>
                    <w:bottom w:val="single" w:sz="4" w:space="0" w:color="auto"/>
                  </w:tcBorders>
                  <w:shd w:val="clear" w:color="auto" w:fill="FF66CC"/>
                </w:tcPr>
                <w:p>
                  <w:pPr>
                    <w:pStyle w:val="Tabletext"/>
                    <w:keepNext/>
                    <w:jc w:val="center"/>
                  </w:pPr>
                </w:p>
              </w:tc>
              <w:tc>
                <w:tcPr>
                  <w:tcW w:w="284" w:type="dxa"/>
                  <w:tcBorders>
                    <w:bottom w:val="single" w:sz="4" w:space="0" w:color="auto"/>
                    <w:right w:val="single" w:sz="4" w:space="0" w:color="auto"/>
                  </w:tcBorders>
                  <w:shd w:val="clear" w:color="auto" w:fill="FF66CC"/>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284"/>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4821" w:type="dxa"/>
                  <w:gridSpan w:val="4"/>
                  <w:tcBorders>
                    <w:top w:val="single" w:sz="4" w:space="0" w:color="auto"/>
                    <w:left w:val="single" w:sz="4" w:space="0" w:color="auto"/>
                  </w:tcBorders>
                  <w:shd w:val="clear" w:color="auto" w:fill="00B0F0"/>
                </w:tcPr>
                <w:p>
                  <w:pPr>
                    <w:pStyle w:val="Tabletext"/>
                    <w:keepNext/>
                    <w:rPr>
                      <w:noProof/>
                    </w:rPr>
                  </w:pPr>
                  <w:r>
                    <w:rPr>
                      <w:noProof/>
                    </w:rPr>
                    <w:t>&lt;stanza 1&gt; contains</w:t>
                  </w:r>
                </w:p>
              </w:tc>
              <w:tc>
                <w:tcPr>
                  <w:tcW w:w="284" w:type="dxa"/>
                  <w:tcBorders>
                    <w:top w:val="single" w:sz="4" w:space="0" w:color="auto"/>
                    <w:right w:val="single" w:sz="4" w:space="0" w:color="auto"/>
                  </w:tcBorders>
                  <w:shd w:val="clear" w:color="auto" w:fill="00B0F0"/>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113"/>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284" w:type="dxa"/>
                  <w:tcBorders>
                    <w:left w:val="single" w:sz="4" w:space="0" w:color="auto"/>
                    <w:right w:val="single" w:sz="4" w:space="0" w:color="auto"/>
                  </w:tcBorders>
                  <w:shd w:val="clear" w:color="auto" w:fill="00B0F0"/>
                </w:tcPr>
                <w:p>
                  <w:pPr>
                    <w:pStyle w:val="Tabletext"/>
                    <w:keepNext/>
                  </w:pPr>
                </w:p>
              </w:tc>
              <w:tc>
                <w:tcPr>
                  <w:tcW w:w="2835" w:type="dxa"/>
                  <w:vMerge w:val="restart"/>
                  <w:tcBorders>
                    <w:top w:val="single" w:sz="4" w:space="0" w:color="auto"/>
                    <w:left w:val="single" w:sz="4" w:space="0" w:color="auto"/>
                  </w:tcBorders>
                  <w:shd w:val="clear" w:color="auto" w:fill="FF6600"/>
                </w:tcPr>
                <w:p>
                  <w:pPr>
                    <w:pStyle w:val="Tabletext"/>
                    <w:keepNext/>
                  </w:pPr>
                  <w:r>
                    <w:t>&lt;line a&gt; contains</w:t>
                  </w:r>
                </w:p>
              </w:tc>
              <w:tc>
                <w:tcPr>
                  <w:tcW w:w="1418" w:type="dxa"/>
                  <w:tcBorders>
                    <w:top w:val="single" w:sz="4" w:space="0" w:color="auto"/>
                  </w:tcBorders>
                  <w:shd w:val="clear" w:color="auto" w:fill="FF6600"/>
                </w:tcPr>
                <w:p>
                  <w:pPr>
                    <w:pStyle w:val="Tabletext"/>
                    <w:keepNext/>
                    <w:jc w:val="center"/>
                    <w:rPr>
                      <w:i/>
                      <w:iCs/>
                      <w:noProof/>
                    </w:rPr>
                  </w:pPr>
                </w:p>
              </w:tc>
              <w:tc>
                <w:tcPr>
                  <w:tcW w:w="284" w:type="dxa"/>
                  <w:tcBorders>
                    <w:top w:val="single" w:sz="4" w:space="0" w:color="auto"/>
                    <w:right w:val="single" w:sz="4" w:space="0" w:color="auto"/>
                  </w:tcBorders>
                  <w:shd w:val="clear" w:color="auto" w:fill="FF6600"/>
                </w:tcPr>
                <w:p>
                  <w:pPr>
                    <w:pStyle w:val="Tabletext"/>
                    <w:keepNext/>
                    <w:jc w:val="center"/>
                  </w:pPr>
                </w:p>
              </w:tc>
              <w:tc>
                <w:tcPr>
                  <w:tcW w:w="284" w:type="dxa"/>
                  <w:tcBorders>
                    <w:left w:val="single" w:sz="4" w:space="0" w:color="auto"/>
                    <w:right w:val="single" w:sz="4" w:space="0" w:color="auto"/>
                  </w:tcBorders>
                  <w:shd w:val="clear" w:color="auto" w:fill="00B0F0"/>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284"/>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284" w:type="dxa"/>
                  <w:tcBorders>
                    <w:left w:val="single" w:sz="4" w:space="0" w:color="auto"/>
                    <w:right w:val="single" w:sz="4" w:space="0" w:color="auto"/>
                  </w:tcBorders>
                  <w:shd w:val="clear" w:color="auto" w:fill="00B0F0"/>
                </w:tcPr>
                <w:p>
                  <w:pPr>
                    <w:pStyle w:val="Tabletext"/>
                    <w:keepNext/>
                  </w:pPr>
                </w:p>
              </w:tc>
              <w:tc>
                <w:tcPr>
                  <w:tcW w:w="2835" w:type="dxa"/>
                  <w:vMerge/>
                  <w:tcBorders>
                    <w:left w:val="single" w:sz="4" w:space="0" w:color="auto"/>
                  </w:tcBorders>
                  <w:shd w:val="clear" w:color="auto" w:fill="FF6600"/>
                </w:tcPr>
                <w:p>
                  <w:pPr>
                    <w:pStyle w:val="Tabletext"/>
                    <w:keepNext/>
                  </w:pPr>
                </w:p>
              </w:tc>
              <w:tc>
                <w:tcPr>
                  <w:tcW w:w="1418" w:type="dxa"/>
                  <w:shd w:val="clear" w:color="auto" w:fill="FFFF00"/>
                </w:tcPr>
                <w:p>
                  <w:pPr>
                    <w:pStyle w:val="Tabletext"/>
                    <w:keepNext/>
                    <w:jc w:val="center"/>
                    <w:rPr>
                      <w:i/>
                      <w:iCs/>
                      <w:noProof/>
                    </w:rPr>
                  </w:pPr>
                  <w:r>
                    <w:rPr>
                      <w:i/>
                      <w:iCs/>
                      <w:noProof/>
                    </w:rPr>
                    <w:t>… text ghi…</w:t>
                  </w:r>
                </w:p>
              </w:tc>
              <w:tc>
                <w:tcPr>
                  <w:tcW w:w="284" w:type="dxa"/>
                  <w:tcBorders>
                    <w:right w:val="single" w:sz="4" w:space="0" w:color="auto"/>
                  </w:tcBorders>
                  <w:shd w:val="clear" w:color="auto" w:fill="FF6600"/>
                </w:tcPr>
                <w:p>
                  <w:pPr>
                    <w:pStyle w:val="Tabletext"/>
                    <w:keepNext/>
                    <w:jc w:val="center"/>
                  </w:pPr>
                </w:p>
              </w:tc>
              <w:tc>
                <w:tcPr>
                  <w:tcW w:w="284" w:type="dxa"/>
                  <w:tcBorders>
                    <w:left w:val="single" w:sz="4" w:space="0" w:color="auto"/>
                    <w:right w:val="single" w:sz="4" w:space="0" w:color="auto"/>
                  </w:tcBorders>
                  <w:shd w:val="clear" w:color="auto" w:fill="00B0F0"/>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113"/>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284" w:type="dxa"/>
                  <w:tcBorders>
                    <w:left w:val="single" w:sz="4" w:space="0" w:color="auto"/>
                    <w:right w:val="single" w:sz="4" w:space="0" w:color="auto"/>
                  </w:tcBorders>
                  <w:shd w:val="clear" w:color="auto" w:fill="00B0F0"/>
                </w:tcPr>
                <w:p>
                  <w:pPr>
                    <w:pStyle w:val="Tabletext"/>
                    <w:keepNext/>
                  </w:pPr>
                </w:p>
              </w:tc>
              <w:tc>
                <w:tcPr>
                  <w:tcW w:w="2835" w:type="dxa"/>
                  <w:tcBorders>
                    <w:left w:val="single" w:sz="4" w:space="0" w:color="auto"/>
                    <w:bottom w:val="dashed" w:sz="4" w:space="0" w:color="auto"/>
                  </w:tcBorders>
                  <w:shd w:val="clear" w:color="auto" w:fill="FF6600"/>
                </w:tcPr>
                <w:p>
                  <w:pPr>
                    <w:pStyle w:val="Tabletext"/>
                    <w:keepNext/>
                  </w:pPr>
                </w:p>
              </w:tc>
              <w:tc>
                <w:tcPr>
                  <w:tcW w:w="1418" w:type="dxa"/>
                  <w:tcBorders>
                    <w:bottom w:val="dashed" w:sz="4" w:space="0" w:color="auto"/>
                  </w:tcBorders>
                  <w:shd w:val="clear" w:color="auto" w:fill="FF6600"/>
                </w:tcPr>
                <w:p>
                  <w:pPr>
                    <w:pStyle w:val="Tabletext"/>
                    <w:keepNext/>
                    <w:jc w:val="center"/>
                    <w:rPr>
                      <w:i/>
                      <w:iCs/>
                      <w:noProof/>
                    </w:rPr>
                  </w:pPr>
                </w:p>
              </w:tc>
              <w:tc>
                <w:tcPr>
                  <w:tcW w:w="284" w:type="dxa"/>
                  <w:tcBorders>
                    <w:bottom w:val="dashed" w:sz="4" w:space="0" w:color="auto"/>
                    <w:right w:val="single" w:sz="4" w:space="0" w:color="auto"/>
                  </w:tcBorders>
                  <w:shd w:val="clear" w:color="auto" w:fill="FF6600"/>
                </w:tcPr>
                <w:p>
                  <w:pPr>
                    <w:pStyle w:val="Tabletext"/>
                    <w:keepNext/>
                    <w:jc w:val="center"/>
                  </w:pPr>
                </w:p>
              </w:tc>
              <w:tc>
                <w:tcPr>
                  <w:tcW w:w="284" w:type="dxa"/>
                  <w:tcBorders>
                    <w:left w:val="single" w:sz="4" w:space="0" w:color="auto"/>
                    <w:right w:val="single" w:sz="4" w:space="0" w:color="auto"/>
                  </w:tcBorders>
                  <w:shd w:val="clear" w:color="auto" w:fill="00B0F0"/>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113"/>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284" w:type="dxa"/>
                  <w:tcBorders>
                    <w:left w:val="single" w:sz="4" w:space="0" w:color="auto"/>
                    <w:right w:val="single" w:sz="4" w:space="0" w:color="auto"/>
                  </w:tcBorders>
                  <w:shd w:val="clear" w:color="auto" w:fill="00B0F0"/>
                </w:tcPr>
                <w:p>
                  <w:pPr>
                    <w:pStyle w:val="Tabletext"/>
                    <w:keepNext/>
                  </w:pPr>
                </w:p>
              </w:tc>
              <w:tc>
                <w:tcPr>
                  <w:tcW w:w="2835" w:type="dxa"/>
                  <w:vMerge w:val="restart"/>
                  <w:tcBorders>
                    <w:top w:val="dashed" w:sz="4" w:space="0" w:color="auto"/>
                    <w:left w:val="single" w:sz="4" w:space="0" w:color="auto"/>
                  </w:tcBorders>
                  <w:shd w:val="clear" w:color="auto" w:fill="FF6600"/>
                </w:tcPr>
                <w:p>
                  <w:pPr>
                    <w:pStyle w:val="Tabletext"/>
                    <w:keepNext/>
                  </w:pPr>
                  <w:r>
                    <w:t>&lt;line b&gt; contains</w:t>
                  </w:r>
                </w:p>
              </w:tc>
              <w:tc>
                <w:tcPr>
                  <w:tcW w:w="1418" w:type="dxa"/>
                  <w:tcBorders>
                    <w:top w:val="dashed" w:sz="4" w:space="0" w:color="auto"/>
                  </w:tcBorders>
                  <w:shd w:val="clear" w:color="auto" w:fill="FF6600"/>
                </w:tcPr>
                <w:p>
                  <w:pPr>
                    <w:pStyle w:val="Tabletext"/>
                    <w:keepNext/>
                    <w:jc w:val="center"/>
                    <w:rPr>
                      <w:i/>
                      <w:iCs/>
                      <w:noProof/>
                    </w:rPr>
                  </w:pPr>
                </w:p>
              </w:tc>
              <w:tc>
                <w:tcPr>
                  <w:tcW w:w="284" w:type="dxa"/>
                  <w:tcBorders>
                    <w:top w:val="dashed" w:sz="4" w:space="0" w:color="auto"/>
                    <w:right w:val="single" w:sz="4" w:space="0" w:color="auto"/>
                  </w:tcBorders>
                  <w:shd w:val="clear" w:color="auto" w:fill="FF6600"/>
                </w:tcPr>
                <w:p>
                  <w:pPr>
                    <w:pStyle w:val="Tabletext"/>
                    <w:keepNext/>
                    <w:jc w:val="center"/>
                  </w:pPr>
                </w:p>
              </w:tc>
              <w:tc>
                <w:tcPr>
                  <w:tcW w:w="284" w:type="dxa"/>
                  <w:tcBorders>
                    <w:left w:val="single" w:sz="4" w:space="0" w:color="auto"/>
                    <w:right w:val="single" w:sz="4" w:space="0" w:color="auto"/>
                  </w:tcBorders>
                  <w:shd w:val="clear" w:color="auto" w:fill="00B0F0"/>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284"/>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284" w:type="dxa"/>
                  <w:tcBorders>
                    <w:left w:val="single" w:sz="4" w:space="0" w:color="auto"/>
                    <w:right w:val="single" w:sz="4" w:space="0" w:color="auto"/>
                  </w:tcBorders>
                  <w:shd w:val="clear" w:color="auto" w:fill="00B0F0"/>
                </w:tcPr>
                <w:p>
                  <w:pPr>
                    <w:pStyle w:val="Tabletext"/>
                    <w:keepNext/>
                  </w:pPr>
                </w:p>
              </w:tc>
              <w:tc>
                <w:tcPr>
                  <w:tcW w:w="2835" w:type="dxa"/>
                  <w:vMerge/>
                  <w:tcBorders>
                    <w:left w:val="single" w:sz="4" w:space="0" w:color="auto"/>
                  </w:tcBorders>
                  <w:shd w:val="clear" w:color="auto" w:fill="FF6600"/>
                </w:tcPr>
                <w:p>
                  <w:pPr>
                    <w:pStyle w:val="Tabletext"/>
                    <w:keepNext/>
                  </w:pPr>
                </w:p>
              </w:tc>
              <w:tc>
                <w:tcPr>
                  <w:tcW w:w="1418" w:type="dxa"/>
                  <w:shd w:val="clear" w:color="auto" w:fill="FFFF00"/>
                </w:tcPr>
                <w:p>
                  <w:pPr>
                    <w:pStyle w:val="Tabletext"/>
                    <w:keepNext/>
                    <w:jc w:val="center"/>
                    <w:rPr>
                      <w:i/>
                      <w:iCs/>
                      <w:noProof/>
                    </w:rPr>
                  </w:pPr>
                  <w:r>
                    <w:rPr>
                      <w:i/>
                      <w:iCs/>
                      <w:noProof/>
                    </w:rPr>
                    <w:t>… text jkl…</w:t>
                  </w:r>
                </w:p>
              </w:tc>
              <w:tc>
                <w:tcPr>
                  <w:tcW w:w="284" w:type="dxa"/>
                  <w:tcBorders>
                    <w:right w:val="single" w:sz="4" w:space="0" w:color="auto"/>
                  </w:tcBorders>
                  <w:shd w:val="clear" w:color="auto" w:fill="FF6600"/>
                </w:tcPr>
                <w:p>
                  <w:pPr>
                    <w:pStyle w:val="Tabletext"/>
                    <w:keepNext/>
                    <w:jc w:val="center"/>
                  </w:pPr>
                </w:p>
              </w:tc>
              <w:tc>
                <w:tcPr>
                  <w:tcW w:w="284" w:type="dxa"/>
                  <w:tcBorders>
                    <w:left w:val="single" w:sz="4" w:space="0" w:color="auto"/>
                    <w:right w:val="single" w:sz="4" w:space="0" w:color="auto"/>
                  </w:tcBorders>
                  <w:shd w:val="clear" w:color="auto" w:fill="00B0F0"/>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113"/>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284" w:type="dxa"/>
                  <w:tcBorders>
                    <w:left w:val="single" w:sz="4" w:space="0" w:color="auto"/>
                    <w:right w:val="single" w:sz="4" w:space="0" w:color="auto"/>
                  </w:tcBorders>
                  <w:shd w:val="clear" w:color="auto" w:fill="00B0F0"/>
                </w:tcPr>
                <w:p>
                  <w:pPr>
                    <w:pStyle w:val="Tabletext"/>
                    <w:keepNext/>
                  </w:pPr>
                </w:p>
              </w:tc>
              <w:tc>
                <w:tcPr>
                  <w:tcW w:w="2835" w:type="dxa"/>
                  <w:tcBorders>
                    <w:left w:val="single" w:sz="4" w:space="0" w:color="auto"/>
                    <w:bottom w:val="dashed" w:sz="4" w:space="0" w:color="auto"/>
                  </w:tcBorders>
                  <w:shd w:val="clear" w:color="auto" w:fill="FF6600"/>
                </w:tcPr>
                <w:p>
                  <w:pPr>
                    <w:pStyle w:val="Tabletext"/>
                    <w:keepNext/>
                  </w:pPr>
                </w:p>
              </w:tc>
              <w:tc>
                <w:tcPr>
                  <w:tcW w:w="1418" w:type="dxa"/>
                  <w:tcBorders>
                    <w:bottom w:val="dashed" w:sz="4" w:space="0" w:color="auto"/>
                  </w:tcBorders>
                  <w:shd w:val="clear" w:color="auto" w:fill="FF6600"/>
                </w:tcPr>
                <w:p>
                  <w:pPr>
                    <w:pStyle w:val="Tabletext"/>
                    <w:keepNext/>
                    <w:jc w:val="center"/>
                    <w:rPr>
                      <w:i/>
                      <w:iCs/>
                      <w:noProof/>
                    </w:rPr>
                  </w:pPr>
                </w:p>
              </w:tc>
              <w:tc>
                <w:tcPr>
                  <w:tcW w:w="284" w:type="dxa"/>
                  <w:tcBorders>
                    <w:bottom w:val="dashed" w:sz="4" w:space="0" w:color="auto"/>
                    <w:right w:val="single" w:sz="4" w:space="0" w:color="auto"/>
                  </w:tcBorders>
                  <w:shd w:val="clear" w:color="auto" w:fill="FF6600"/>
                </w:tcPr>
                <w:p>
                  <w:pPr>
                    <w:pStyle w:val="Tabletext"/>
                    <w:keepNext/>
                    <w:jc w:val="center"/>
                  </w:pPr>
                </w:p>
              </w:tc>
              <w:tc>
                <w:tcPr>
                  <w:tcW w:w="284" w:type="dxa"/>
                  <w:tcBorders>
                    <w:left w:val="single" w:sz="4" w:space="0" w:color="auto"/>
                    <w:right w:val="single" w:sz="4" w:space="0" w:color="auto"/>
                  </w:tcBorders>
                  <w:shd w:val="clear" w:color="auto" w:fill="00B0F0"/>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113"/>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284" w:type="dxa"/>
                  <w:tcBorders>
                    <w:left w:val="single" w:sz="4" w:space="0" w:color="auto"/>
                    <w:right w:val="single" w:sz="4" w:space="0" w:color="auto"/>
                  </w:tcBorders>
                  <w:shd w:val="clear" w:color="auto" w:fill="00B0F0"/>
                </w:tcPr>
                <w:p>
                  <w:pPr>
                    <w:pStyle w:val="Tabletext"/>
                    <w:keepNext/>
                  </w:pPr>
                </w:p>
              </w:tc>
              <w:tc>
                <w:tcPr>
                  <w:tcW w:w="2835" w:type="dxa"/>
                  <w:vMerge w:val="restart"/>
                  <w:tcBorders>
                    <w:top w:val="dashed" w:sz="4" w:space="0" w:color="auto"/>
                    <w:left w:val="single" w:sz="4" w:space="0" w:color="auto"/>
                  </w:tcBorders>
                  <w:shd w:val="clear" w:color="auto" w:fill="FF6600"/>
                </w:tcPr>
                <w:p>
                  <w:pPr>
                    <w:pStyle w:val="Tabletext"/>
                    <w:keepNext/>
                  </w:pPr>
                  <w:r>
                    <w:t>&lt;line c&gt; contains</w:t>
                  </w:r>
                </w:p>
              </w:tc>
              <w:tc>
                <w:tcPr>
                  <w:tcW w:w="1418" w:type="dxa"/>
                  <w:tcBorders>
                    <w:top w:val="dashed" w:sz="4" w:space="0" w:color="auto"/>
                  </w:tcBorders>
                  <w:shd w:val="clear" w:color="auto" w:fill="FF6600"/>
                </w:tcPr>
                <w:p>
                  <w:pPr>
                    <w:pStyle w:val="Tabletext"/>
                    <w:keepNext/>
                    <w:jc w:val="center"/>
                    <w:rPr>
                      <w:i/>
                      <w:iCs/>
                      <w:noProof/>
                    </w:rPr>
                  </w:pPr>
                </w:p>
              </w:tc>
              <w:tc>
                <w:tcPr>
                  <w:tcW w:w="284" w:type="dxa"/>
                  <w:tcBorders>
                    <w:top w:val="dashed" w:sz="4" w:space="0" w:color="auto"/>
                    <w:right w:val="single" w:sz="4" w:space="0" w:color="auto"/>
                  </w:tcBorders>
                  <w:shd w:val="clear" w:color="auto" w:fill="FF6600"/>
                </w:tcPr>
                <w:p>
                  <w:pPr>
                    <w:pStyle w:val="Tabletext"/>
                    <w:keepNext/>
                    <w:jc w:val="center"/>
                  </w:pPr>
                </w:p>
              </w:tc>
              <w:tc>
                <w:tcPr>
                  <w:tcW w:w="284" w:type="dxa"/>
                  <w:tcBorders>
                    <w:left w:val="single" w:sz="4" w:space="0" w:color="auto"/>
                    <w:right w:val="single" w:sz="4" w:space="0" w:color="auto"/>
                  </w:tcBorders>
                  <w:shd w:val="clear" w:color="auto" w:fill="00B0F0"/>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284"/>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284" w:type="dxa"/>
                  <w:tcBorders>
                    <w:left w:val="single" w:sz="4" w:space="0" w:color="auto"/>
                    <w:right w:val="single" w:sz="4" w:space="0" w:color="auto"/>
                  </w:tcBorders>
                  <w:shd w:val="clear" w:color="auto" w:fill="00B0F0"/>
                </w:tcPr>
                <w:p>
                  <w:pPr>
                    <w:pStyle w:val="Tabletext"/>
                    <w:keepNext/>
                  </w:pPr>
                </w:p>
              </w:tc>
              <w:tc>
                <w:tcPr>
                  <w:tcW w:w="2835" w:type="dxa"/>
                  <w:vMerge/>
                  <w:tcBorders>
                    <w:left w:val="single" w:sz="4" w:space="0" w:color="auto"/>
                  </w:tcBorders>
                  <w:shd w:val="clear" w:color="auto" w:fill="FF6600"/>
                </w:tcPr>
                <w:p>
                  <w:pPr>
                    <w:pStyle w:val="Tabletext"/>
                    <w:keepNext/>
                  </w:pPr>
                </w:p>
              </w:tc>
              <w:tc>
                <w:tcPr>
                  <w:tcW w:w="1418" w:type="dxa"/>
                  <w:shd w:val="clear" w:color="auto" w:fill="FFFF00"/>
                </w:tcPr>
                <w:p>
                  <w:pPr>
                    <w:pStyle w:val="Tabletext"/>
                    <w:keepNext/>
                    <w:jc w:val="center"/>
                    <w:rPr>
                      <w:i/>
                      <w:iCs/>
                      <w:noProof/>
                    </w:rPr>
                  </w:pPr>
                  <w:r>
                    <w:rPr>
                      <w:i/>
                      <w:iCs/>
                      <w:noProof/>
                    </w:rPr>
                    <w:t>… text mno…</w:t>
                  </w:r>
                </w:p>
              </w:tc>
              <w:tc>
                <w:tcPr>
                  <w:tcW w:w="284" w:type="dxa"/>
                  <w:tcBorders>
                    <w:right w:val="single" w:sz="4" w:space="0" w:color="auto"/>
                  </w:tcBorders>
                  <w:shd w:val="clear" w:color="auto" w:fill="FF6600"/>
                </w:tcPr>
                <w:p>
                  <w:pPr>
                    <w:pStyle w:val="Tabletext"/>
                    <w:keepNext/>
                    <w:jc w:val="center"/>
                  </w:pPr>
                </w:p>
              </w:tc>
              <w:tc>
                <w:tcPr>
                  <w:tcW w:w="284" w:type="dxa"/>
                  <w:tcBorders>
                    <w:left w:val="single" w:sz="4" w:space="0" w:color="auto"/>
                    <w:right w:val="single" w:sz="4" w:space="0" w:color="auto"/>
                  </w:tcBorders>
                  <w:shd w:val="clear" w:color="auto" w:fill="00B0F0"/>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113"/>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284" w:type="dxa"/>
                  <w:tcBorders>
                    <w:left w:val="single" w:sz="4" w:space="0" w:color="auto"/>
                    <w:right w:val="single" w:sz="4" w:space="0" w:color="auto"/>
                  </w:tcBorders>
                  <w:shd w:val="clear" w:color="auto" w:fill="00B0F0"/>
                </w:tcPr>
                <w:p>
                  <w:pPr>
                    <w:pStyle w:val="Tabletext"/>
                    <w:keepNext/>
                  </w:pPr>
                </w:p>
              </w:tc>
              <w:tc>
                <w:tcPr>
                  <w:tcW w:w="2835" w:type="dxa"/>
                  <w:tcBorders>
                    <w:left w:val="single" w:sz="4" w:space="0" w:color="auto"/>
                    <w:bottom w:val="dashed" w:sz="4" w:space="0" w:color="auto"/>
                  </w:tcBorders>
                  <w:shd w:val="clear" w:color="auto" w:fill="FF6600"/>
                </w:tcPr>
                <w:p>
                  <w:pPr>
                    <w:pStyle w:val="Tabletext"/>
                    <w:keepNext/>
                  </w:pPr>
                </w:p>
              </w:tc>
              <w:tc>
                <w:tcPr>
                  <w:tcW w:w="1418" w:type="dxa"/>
                  <w:tcBorders>
                    <w:bottom w:val="dashed" w:sz="4" w:space="0" w:color="auto"/>
                  </w:tcBorders>
                  <w:shd w:val="clear" w:color="auto" w:fill="FF6600"/>
                </w:tcPr>
                <w:p>
                  <w:pPr>
                    <w:pStyle w:val="Tabletext"/>
                    <w:keepNext/>
                    <w:jc w:val="center"/>
                    <w:rPr>
                      <w:i/>
                      <w:iCs/>
                      <w:noProof/>
                    </w:rPr>
                  </w:pPr>
                </w:p>
              </w:tc>
              <w:tc>
                <w:tcPr>
                  <w:tcW w:w="284" w:type="dxa"/>
                  <w:tcBorders>
                    <w:bottom w:val="dashed" w:sz="4" w:space="0" w:color="auto"/>
                    <w:right w:val="single" w:sz="4" w:space="0" w:color="auto"/>
                  </w:tcBorders>
                  <w:shd w:val="clear" w:color="auto" w:fill="FF6600"/>
                </w:tcPr>
                <w:p>
                  <w:pPr>
                    <w:pStyle w:val="Tabletext"/>
                    <w:keepNext/>
                    <w:jc w:val="center"/>
                  </w:pPr>
                </w:p>
              </w:tc>
              <w:tc>
                <w:tcPr>
                  <w:tcW w:w="284" w:type="dxa"/>
                  <w:tcBorders>
                    <w:left w:val="single" w:sz="4" w:space="0" w:color="auto"/>
                    <w:right w:val="single" w:sz="4" w:space="0" w:color="auto"/>
                  </w:tcBorders>
                  <w:shd w:val="clear" w:color="auto" w:fill="00B0F0"/>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113"/>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284" w:type="dxa"/>
                  <w:tcBorders>
                    <w:left w:val="single" w:sz="4" w:space="0" w:color="auto"/>
                    <w:right w:val="single" w:sz="4" w:space="0" w:color="auto"/>
                  </w:tcBorders>
                  <w:shd w:val="clear" w:color="auto" w:fill="00B0F0"/>
                </w:tcPr>
                <w:p>
                  <w:pPr>
                    <w:pStyle w:val="Tabletext"/>
                    <w:keepNext/>
                  </w:pPr>
                </w:p>
              </w:tc>
              <w:tc>
                <w:tcPr>
                  <w:tcW w:w="2835" w:type="dxa"/>
                  <w:vMerge w:val="restart"/>
                  <w:tcBorders>
                    <w:top w:val="dashed" w:sz="4" w:space="0" w:color="auto"/>
                    <w:left w:val="single" w:sz="4" w:space="0" w:color="auto"/>
                  </w:tcBorders>
                  <w:shd w:val="clear" w:color="auto" w:fill="FF6600"/>
                </w:tcPr>
                <w:p>
                  <w:pPr>
                    <w:pStyle w:val="Tabletext"/>
                    <w:keepNext/>
                  </w:pPr>
                  <w:r>
                    <w:t>&lt;line d&gt; contains</w:t>
                  </w:r>
                </w:p>
              </w:tc>
              <w:tc>
                <w:tcPr>
                  <w:tcW w:w="1418" w:type="dxa"/>
                  <w:tcBorders>
                    <w:top w:val="dashed" w:sz="4" w:space="0" w:color="auto"/>
                  </w:tcBorders>
                  <w:shd w:val="clear" w:color="auto" w:fill="FF6600"/>
                </w:tcPr>
                <w:p>
                  <w:pPr>
                    <w:pStyle w:val="Tabletext"/>
                    <w:keepNext/>
                    <w:jc w:val="center"/>
                    <w:rPr>
                      <w:i/>
                      <w:iCs/>
                      <w:noProof/>
                    </w:rPr>
                  </w:pPr>
                </w:p>
              </w:tc>
              <w:tc>
                <w:tcPr>
                  <w:tcW w:w="284" w:type="dxa"/>
                  <w:tcBorders>
                    <w:top w:val="dashed" w:sz="4" w:space="0" w:color="auto"/>
                    <w:right w:val="single" w:sz="4" w:space="0" w:color="auto"/>
                  </w:tcBorders>
                  <w:shd w:val="clear" w:color="auto" w:fill="FF6600"/>
                </w:tcPr>
                <w:p>
                  <w:pPr>
                    <w:pStyle w:val="Tabletext"/>
                    <w:keepNext/>
                    <w:jc w:val="center"/>
                  </w:pPr>
                </w:p>
              </w:tc>
              <w:tc>
                <w:tcPr>
                  <w:tcW w:w="284" w:type="dxa"/>
                  <w:tcBorders>
                    <w:left w:val="single" w:sz="4" w:space="0" w:color="auto"/>
                    <w:right w:val="single" w:sz="4" w:space="0" w:color="auto"/>
                  </w:tcBorders>
                  <w:shd w:val="clear" w:color="auto" w:fill="00B0F0"/>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284"/>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284" w:type="dxa"/>
                  <w:tcBorders>
                    <w:left w:val="single" w:sz="4" w:space="0" w:color="auto"/>
                    <w:right w:val="single" w:sz="4" w:space="0" w:color="auto"/>
                  </w:tcBorders>
                  <w:shd w:val="clear" w:color="auto" w:fill="00B0F0"/>
                </w:tcPr>
                <w:p>
                  <w:pPr>
                    <w:pStyle w:val="Tabletext"/>
                    <w:keepNext/>
                  </w:pPr>
                </w:p>
              </w:tc>
              <w:tc>
                <w:tcPr>
                  <w:tcW w:w="2835" w:type="dxa"/>
                  <w:vMerge/>
                  <w:tcBorders>
                    <w:left w:val="single" w:sz="4" w:space="0" w:color="auto"/>
                  </w:tcBorders>
                  <w:shd w:val="clear" w:color="auto" w:fill="FF6600"/>
                </w:tcPr>
                <w:p>
                  <w:pPr>
                    <w:pStyle w:val="Tabletext"/>
                    <w:keepNext/>
                  </w:pPr>
                </w:p>
              </w:tc>
              <w:tc>
                <w:tcPr>
                  <w:tcW w:w="1418" w:type="dxa"/>
                  <w:shd w:val="clear" w:color="auto" w:fill="FFFF00"/>
                </w:tcPr>
                <w:p>
                  <w:pPr>
                    <w:pStyle w:val="Tabletext"/>
                    <w:keepNext/>
                    <w:jc w:val="center"/>
                    <w:rPr>
                      <w:i/>
                      <w:iCs/>
                      <w:noProof/>
                    </w:rPr>
                  </w:pPr>
                  <w:r>
                    <w:rPr>
                      <w:i/>
                      <w:iCs/>
                      <w:noProof/>
                    </w:rPr>
                    <w:t>… text pqr…</w:t>
                  </w:r>
                </w:p>
              </w:tc>
              <w:tc>
                <w:tcPr>
                  <w:tcW w:w="284" w:type="dxa"/>
                  <w:tcBorders>
                    <w:right w:val="single" w:sz="4" w:space="0" w:color="auto"/>
                  </w:tcBorders>
                  <w:shd w:val="clear" w:color="auto" w:fill="FF6600"/>
                </w:tcPr>
                <w:p>
                  <w:pPr>
                    <w:pStyle w:val="Tabletext"/>
                    <w:keepNext/>
                    <w:jc w:val="center"/>
                  </w:pPr>
                </w:p>
              </w:tc>
              <w:tc>
                <w:tcPr>
                  <w:tcW w:w="284" w:type="dxa"/>
                  <w:tcBorders>
                    <w:left w:val="single" w:sz="4" w:space="0" w:color="auto"/>
                    <w:right w:val="single" w:sz="4" w:space="0" w:color="auto"/>
                  </w:tcBorders>
                  <w:shd w:val="clear" w:color="auto" w:fill="00B0F0"/>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113"/>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284" w:type="dxa"/>
                  <w:tcBorders>
                    <w:left w:val="single" w:sz="4" w:space="0" w:color="auto"/>
                    <w:right w:val="single" w:sz="4" w:space="0" w:color="auto"/>
                  </w:tcBorders>
                  <w:shd w:val="clear" w:color="auto" w:fill="00B0F0"/>
                </w:tcPr>
                <w:p>
                  <w:pPr>
                    <w:pStyle w:val="Tabletext"/>
                    <w:keepNext/>
                  </w:pPr>
                </w:p>
              </w:tc>
              <w:tc>
                <w:tcPr>
                  <w:tcW w:w="2835" w:type="dxa"/>
                  <w:tcBorders>
                    <w:left w:val="single" w:sz="4" w:space="0" w:color="auto"/>
                    <w:bottom w:val="single" w:sz="4" w:space="0" w:color="auto"/>
                  </w:tcBorders>
                  <w:shd w:val="clear" w:color="auto" w:fill="FF6600"/>
                </w:tcPr>
                <w:p>
                  <w:pPr>
                    <w:pStyle w:val="Tabletext"/>
                    <w:keepNext/>
                  </w:pPr>
                </w:p>
              </w:tc>
              <w:tc>
                <w:tcPr>
                  <w:tcW w:w="1418" w:type="dxa"/>
                  <w:tcBorders>
                    <w:bottom w:val="single" w:sz="4" w:space="0" w:color="auto"/>
                  </w:tcBorders>
                  <w:shd w:val="clear" w:color="auto" w:fill="FF6600"/>
                </w:tcPr>
                <w:p>
                  <w:pPr>
                    <w:pStyle w:val="Tabletext"/>
                    <w:keepNext/>
                    <w:jc w:val="center"/>
                    <w:rPr>
                      <w:i/>
                      <w:iCs/>
                      <w:noProof/>
                    </w:rPr>
                  </w:pPr>
                </w:p>
              </w:tc>
              <w:tc>
                <w:tcPr>
                  <w:tcW w:w="284" w:type="dxa"/>
                  <w:tcBorders>
                    <w:bottom w:val="single" w:sz="4" w:space="0" w:color="auto"/>
                    <w:right w:val="single" w:sz="4" w:space="0" w:color="auto"/>
                  </w:tcBorders>
                  <w:shd w:val="clear" w:color="auto" w:fill="FF6600"/>
                </w:tcPr>
                <w:p>
                  <w:pPr>
                    <w:pStyle w:val="Tabletext"/>
                    <w:keepNext/>
                    <w:jc w:val="center"/>
                  </w:pPr>
                </w:p>
              </w:tc>
              <w:tc>
                <w:tcPr>
                  <w:tcW w:w="284" w:type="dxa"/>
                  <w:tcBorders>
                    <w:left w:val="single" w:sz="4" w:space="0" w:color="auto"/>
                    <w:right w:val="single" w:sz="4" w:space="0" w:color="auto"/>
                  </w:tcBorders>
                  <w:shd w:val="clear" w:color="auto" w:fill="00B0F0"/>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284"/>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284" w:type="dxa"/>
                  <w:tcBorders>
                    <w:left w:val="single" w:sz="4" w:space="0" w:color="auto"/>
                    <w:bottom w:val="single" w:sz="4" w:space="0" w:color="auto"/>
                  </w:tcBorders>
                  <w:shd w:val="clear" w:color="auto" w:fill="00B0F0"/>
                </w:tcPr>
                <w:p>
                  <w:pPr>
                    <w:pStyle w:val="Tabletext"/>
                    <w:keepNext/>
                  </w:pPr>
                </w:p>
              </w:tc>
              <w:tc>
                <w:tcPr>
                  <w:tcW w:w="2835" w:type="dxa"/>
                  <w:tcBorders>
                    <w:top w:val="single" w:sz="4" w:space="0" w:color="auto"/>
                    <w:bottom w:val="single" w:sz="4" w:space="0" w:color="auto"/>
                  </w:tcBorders>
                  <w:shd w:val="clear" w:color="auto" w:fill="00B0F0"/>
                </w:tcPr>
                <w:p>
                  <w:pPr>
                    <w:pStyle w:val="Tabletext"/>
                    <w:keepNext/>
                  </w:pPr>
                </w:p>
              </w:tc>
              <w:tc>
                <w:tcPr>
                  <w:tcW w:w="1418" w:type="dxa"/>
                  <w:tcBorders>
                    <w:top w:val="single" w:sz="4" w:space="0" w:color="auto"/>
                    <w:bottom w:val="single" w:sz="4" w:space="0" w:color="auto"/>
                  </w:tcBorders>
                  <w:shd w:val="clear" w:color="auto" w:fill="00B0F0"/>
                </w:tcPr>
                <w:p>
                  <w:pPr>
                    <w:pStyle w:val="Tabletext"/>
                    <w:keepNext/>
                    <w:jc w:val="center"/>
                    <w:rPr>
                      <w:i/>
                      <w:iCs/>
                      <w:noProof/>
                    </w:rPr>
                  </w:pPr>
                </w:p>
              </w:tc>
              <w:tc>
                <w:tcPr>
                  <w:tcW w:w="284" w:type="dxa"/>
                  <w:tcBorders>
                    <w:top w:val="single" w:sz="4" w:space="0" w:color="auto"/>
                    <w:bottom w:val="single" w:sz="4" w:space="0" w:color="auto"/>
                  </w:tcBorders>
                  <w:shd w:val="clear" w:color="auto" w:fill="00B0F0"/>
                </w:tcPr>
                <w:p>
                  <w:pPr>
                    <w:pStyle w:val="Tabletext"/>
                    <w:keepNext/>
                    <w:jc w:val="center"/>
                  </w:pPr>
                </w:p>
              </w:tc>
              <w:tc>
                <w:tcPr>
                  <w:tcW w:w="284" w:type="dxa"/>
                  <w:tcBorders>
                    <w:bottom w:val="single" w:sz="4" w:space="0" w:color="auto"/>
                    <w:right w:val="single" w:sz="4" w:space="0" w:color="auto"/>
                  </w:tcBorders>
                  <w:shd w:val="clear" w:color="auto" w:fill="00B0F0"/>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284"/>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bottom w:val="double" w:sz="4" w:space="0" w:color="auto"/>
                  </w:tcBorders>
                  <w:shd w:val="clear" w:color="auto" w:fill="CCFFCC"/>
                </w:tcPr>
                <w:p>
                  <w:pPr>
                    <w:pStyle w:val="Tabletext"/>
                    <w:keepNext/>
                  </w:pPr>
                </w:p>
              </w:tc>
              <w:tc>
                <w:tcPr>
                  <w:tcW w:w="284" w:type="dxa"/>
                  <w:tcBorders>
                    <w:top w:val="single" w:sz="4" w:space="0" w:color="auto"/>
                    <w:bottom w:val="double" w:sz="4" w:space="0" w:color="auto"/>
                  </w:tcBorders>
                  <w:shd w:val="clear" w:color="auto" w:fill="CCFFCC"/>
                </w:tcPr>
                <w:p>
                  <w:pPr>
                    <w:pStyle w:val="Tabletext"/>
                    <w:keepNext/>
                  </w:pPr>
                </w:p>
              </w:tc>
              <w:tc>
                <w:tcPr>
                  <w:tcW w:w="2835" w:type="dxa"/>
                  <w:tcBorders>
                    <w:top w:val="single" w:sz="4" w:space="0" w:color="auto"/>
                    <w:bottom w:val="double" w:sz="4" w:space="0" w:color="auto"/>
                  </w:tcBorders>
                  <w:shd w:val="clear" w:color="auto" w:fill="CCFFCC"/>
                </w:tcPr>
                <w:p>
                  <w:pPr>
                    <w:pStyle w:val="Tabletext"/>
                    <w:keepNext/>
                  </w:pPr>
                </w:p>
              </w:tc>
              <w:tc>
                <w:tcPr>
                  <w:tcW w:w="1418" w:type="dxa"/>
                  <w:tcBorders>
                    <w:top w:val="single" w:sz="4" w:space="0" w:color="auto"/>
                    <w:bottom w:val="double" w:sz="4" w:space="0" w:color="auto"/>
                  </w:tcBorders>
                  <w:shd w:val="clear" w:color="auto" w:fill="CCFFCC"/>
                </w:tcPr>
                <w:p>
                  <w:pPr>
                    <w:pStyle w:val="Tabletext"/>
                    <w:keepNext/>
                    <w:jc w:val="center"/>
                    <w:rPr>
                      <w:i/>
                      <w:iCs/>
                      <w:noProof/>
                    </w:rPr>
                  </w:pPr>
                </w:p>
              </w:tc>
              <w:tc>
                <w:tcPr>
                  <w:tcW w:w="284" w:type="dxa"/>
                  <w:tcBorders>
                    <w:top w:val="single" w:sz="4" w:space="0" w:color="auto"/>
                    <w:bottom w:val="double" w:sz="4" w:space="0" w:color="auto"/>
                  </w:tcBorders>
                  <w:shd w:val="clear" w:color="auto" w:fill="CCFFCC"/>
                </w:tcPr>
                <w:p>
                  <w:pPr>
                    <w:pStyle w:val="Tabletext"/>
                    <w:keepNext/>
                    <w:jc w:val="center"/>
                  </w:pPr>
                </w:p>
              </w:tc>
              <w:tc>
                <w:tcPr>
                  <w:tcW w:w="284" w:type="dxa"/>
                  <w:tcBorders>
                    <w:top w:val="single" w:sz="4" w:space="0" w:color="auto"/>
                    <w:bottom w:val="double" w:sz="4" w:space="0" w:color="auto"/>
                  </w:tcBorders>
                  <w:shd w:val="clear" w:color="auto" w:fill="CCFFCC"/>
                </w:tcPr>
                <w:p>
                  <w:pPr>
                    <w:pStyle w:val="Tabletext"/>
                    <w:keepNext/>
                  </w:pPr>
                </w:p>
              </w:tc>
              <w:tc>
                <w:tcPr>
                  <w:tcW w:w="284" w:type="dxa"/>
                  <w:tcBorders>
                    <w:bottom w:val="doub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284"/>
                <w:jc w:val="center"/>
              </w:trPr>
              <w:tc>
                <w:tcPr>
                  <w:tcW w:w="284" w:type="dxa"/>
                  <w:tcBorders>
                    <w:left w:val="double" w:sz="12" w:space="0" w:color="auto"/>
                    <w:right w:val="double" w:sz="4" w:space="0" w:color="auto"/>
                  </w:tcBorders>
                  <w:shd w:val="clear" w:color="auto" w:fill="92D050"/>
                </w:tcPr>
                <w:p>
                  <w:pPr>
                    <w:pStyle w:val="Tabletext"/>
                    <w:keepNext/>
                  </w:pPr>
                </w:p>
              </w:tc>
              <w:tc>
                <w:tcPr>
                  <w:tcW w:w="5673" w:type="dxa"/>
                  <w:gridSpan w:val="7"/>
                  <w:tcBorders>
                    <w:top w:val="double" w:sz="4" w:space="0" w:color="auto"/>
                    <w:left w:val="double" w:sz="4" w:space="0" w:color="auto"/>
                    <w:right w:val="double" w:sz="4" w:space="0" w:color="auto"/>
                  </w:tcBorders>
                  <w:shd w:val="clear" w:color="auto" w:fill="CCFFCC"/>
                </w:tcPr>
                <w:p>
                  <w:pPr>
                    <w:pStyle w:val="Tabletext"/>
                    <w:keepNext/>
                    <w:rPr>
                      <w:noProof/>
                    </w:rPr>
                  </w:pPr>
                  <w:r>
                    <w:rPr>
                      <w:noProof/>
                    </w:rPr>
                    <w:t>&lt;textpart B&gt; contains</w:t>
                  </w: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113"/>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3119" w:type="dxa"/>
                  <w:gridSpan w:val="2"/>
                  <w:vMerge w:val="restart"/>
                  <w:tcBorders>
                    <w:top w:val="single" w:sz="4" w:space="0" w:color="auto"/>
                    <w:left w:val="single" w:sz="4" w:space="0" w:color="auto"/>
                  </w:tcBorders>
                  <w:shd w:val="clear" w:color="auto" w:fill="CC99FF"/>
                </w:tcPr>
                <w:p>
                  <w:pPr>
                    <w:pStyle w:val="Tabletext"/>
                    <w:keepNext/>
                  </w:pPr>
                  <w:r>
                    <w:t>&lt;paragraph&gt; contains</w:t>
                  </w:r>
                </w:p>
              </w:tc>
              <w:tc>
                <w:tcPr>
                  <w:tcW w:w="1418" w:type="dxa"/>
                  <w:tcBorders>
                    <w:top w:val="single" w:sz="4" w:space="0" w:color="auto"/>
                  </w:tcBorders>
                  <w:shd w:val="clear" w:color="auto" w:fill="CC99FF"/>
                </w:tcPr>
                <w:p>
                  <w:pPr>
                    <w:pStyle w:val="Tabletext"/>
                    <w:keepNext/>
                    <w:jc w:val="center"/>
                    <w:rPr>
                      <w:i/>
                      <w:iCs/>
                      <w:noProof/>
                    </w:rPr>
                  </w:pPr>
                </w:p>
              </w:tc>
              <w:tc>
                <w:tcPr>
                  <w:tcW w:w="284" w:type="dxa"/>
                  <w:tcBorders>
                    <w:top w:val="single" w:sz="4" w:space="0" w:color="auto"/>
                  </w:tcBorders>
                  <w:shd w:val="clear" w:color="auto" w:fill="CC99FF"/>
                </w:tcPr>
                <w:p>
                  <w:pPr>
                    <w:pStyle w:val="Tabletext"/>
                    <w:keepNext/>
                    <w:jc w:val="center"/>
                  </w:pPr>
                </w:p>
              </w:tc>
              <w:tc>
                <w:tcPr>
                  <w:tcW w:w="284" w:type="dxa"/>
                  <w:tcBorders>
                    <w:top w:val="single" w:sz="4" w:space="0" w:color="auto"/>
                    <w:right w:val="single" w:sz="4" w:space="0" w:color="auto"/>
                  </w:tcBorders>
                  <w:shd w:val="clear" w:color="auto" w:fill="CC99FF"/>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284"/>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3119" w:type="dxa"/>
                  <w:gridSpan w:val="2"/>
                  <w:vMerge/>
                  <w:tcBorders>
                    <w:left w:val="single" w:sz="4" w:space="0" w:color="auto"/>
                  </w:tcBorders>
                  <w:shd w:val="clear" w:color="auto" w:fill="CC99FF"/>
                </w:tcPr>
                <w:p>
                  <w:pPr>
                    <w:pStyle w:val="Tabletext"/>
                    <w:keepNext/>
                  </w:pPr>
                </w:p>
              </w:tc>
              <w:tc>
                <w:tcPr>
                  <w:tcW w:w="1418" w:type="dxa"/>
                  <w:shd w:val="clear" w:color="auto" w:fill="FFFF00"/>
                </w:tcPr>
                <w:p>
                  <w:pPr>
                    <w:pStyle w:val="Tabletext"/>
                    <w:keepNext/>
                    <w:jc w:val="center"/>
                    <w:rPr>
                      <w:i/>
                      <w:iCs/>
                      <w:noProof/>
                    </w:rPr>
                  </w:pPr>
                  <w:r>
                    <w:rPr>
                      <w:i/>
                      <w:iCs/>
                      <w:noProof/>
                    </w:rPr>
                    <w:t>… text stu…</w:t>
                  </w:r>
                </w:p>
              </w:tc>
              <w:tc>
                <w:tcPr>
                  <w:tcW w:w="284" w:type="dxa"/>
                  <w:shd w:val="clear" w:color="auto" w:fill="CC99FF"/>
                </w:tcPr>
                <w:p>
                  <w:pPr>
                    <w:pStyle w:val="Tabletext"/>
                    <w:keepNext/>
                    <w:jc w:val="center"/>
                  </w:pPr>
                </w:p>
              </w:tc>
              <w:tc>
                <w:tcPr>
                  <w:tcW w:w="284" w:type="dxa"/>
                  <w:tcBorders>
                    <w:right w:val="single" w:sz="4" w:space="0" w:color="auto"/>
                  </w:tcBorders>
                  <w:shd w:val="clear" w:color="auto" w:fill="CC99FF"/>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113"/>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3119" w:type="dxa"/>
                  <w:gridSpan w:val="2"/>
                  <w:tcBorders>
                    <w:left w:val="single" w:sz="4" w:space="0" w:color="auto"/>
                    <w:bottom w:val="single" w:sz="4" w:space="0" w:color="auto"/>
                  </w:tcBorders>
                  <w:shd w:val="clear" w:color="auto" w:fill="CC99FF"/>
                </w:tcPr>
                <w:p>
                  <w:pPr>
                    <w:pStyle w:val="Tabletext"/>
                    <w:keepNext/>
                  </w:pPr>
                </w:p>
              </w:tc>
              <w:tc>
                <w:tcPr>
                  <w:tcW w:w="1418" w:type="dxa"/>
                  <w:tcBorders>
                    <w:bottom w:val="single" w:sz="4" w:space="0" w:color="auto"/>
                  </w:tcBorders>
                  <w:shd w:val="clear" w:color="auto" w:fill="CC99FF"/>
                </w:tcPr>
                <w:p>
                  <w:pPr>
                    <w:pStyle w:val="Tabletext"/>
                    <w:keepNext/>
                    <w:jc w:val="center"/>
                    <w:rPr>
                      <w:i/>
                      <w:iCs/>
                      <w:noProof/>
                    </w:rPr>
                  </w:pPr>
                </w:p>
              </w:tc>
              <w:tc>
                <w:tcPr>
                  <w:tcW w:w="284" w:type="dxa"/>
                  <w:tcBorders>
                    <w:bottom w:val="single" w:sz="4" w:space="0" w:color="auto"/>
                  </w:tcBorders>
                  <w:shd w:val="clear" w:color="auto" w:fill="CC99FF"/>
                </w:tcPr>
                <w:p>
                  <w:pPr>
                    <w:pStyle w:val="Tabletext"/>
                    <w:keepNext/>
                    <w:jc w:val="center"/>
                  </w:pPr>
                </w:p>
              </w:tc>
              <w:tc>
                <w:tcPr>
                  <w:tcW w:w="284" w:type="dxa"/>
                  <w:tcBorders>
                    <w:bottom w:val="single" w:sz="4" w:space="0" w:color="auto"/>
                    <w:right w:val="single" w:sz="4" w:space="0" w:color="auto"/>
                  </w:tcBorders>
                  <w:shd w:val="clear" w:color="auto" w:fill="CC99FF"/>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113"/>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3119" w:type="dxa"/>
                  <w:gridSpan w:val="2"/>
                  <w:vMerge w:val="restart"/>
                  <w:tcBorders>
                    <w:top w:val="single" w:sz="4" w:space="0" w:color="auto"/>
                    <w:left w:val="single" w:sz="4" w:space="0" w:color="auto"/>
                  </w:tcBorders>
                  <w:shd w:val="clear" w:color="auto" w:fill="CC99FF"/>
                </w:tcPr>
                <w:p>
                  <w:pPr>
                    <w:pStyle w:val="Tabletext"/>
                    <w:keepNext/>
                  </w:pPr>
                  <w:r>
                    <w:t>&lt;paragraph&gt; contains</w:t>
                  </w:r>
                </w:p>
              </w:tc>
              <w:tc>
                <w:tcPr>
                  <w:tcW w:w="1418" w:type="dxa"/>
                  <w:tcBorders>
                    <w:top w:val="single" w:sz="4" w:space="0" w:color="auto"/>
                  </w:tcBorders>
                  <w:shd w:val="clear" w:color="auto" w:fill="CC99FF"/>
                </w:tcPr>
                <w:p>
                  <w:pPr>
                    <w:pStyle w:val="Tabletext"/>
                    <w:keepNext/>
                    <w:jc w:val="center"/>
                    <w:rPr>
                      <w:i/>
                      <w:iCs/>
                      <w:noProof/>
                    </w:rPr>
                  </w:pPr>
                </w:p>
              </w:tc>
              <w:tc>
                <w:tcPr>
                  <w:tcW w:w="284" w:type="dxa"/>
                  <w:tcBorders>
                    <w:top w:val="single" w:sz="4" w:space="0" w:color="auto"/>
                  </w:tcBorders>
                  <w:shd w:val="clear" w:color="auto" w:fill="CC99FF"/>
                </w:tcPr>
                <w:p>
                  <w:pPr>
                    <w:pStyle w:val="Tabletext"/>
                    <w:keepNext/>
                    <w:jc w:val="center"/>
                  </w:pPr>
                </w:p>
              </w:tc>
              <w:tc>
                <w:tcPr>
                  <w:tcW w:w="284" w:type="dxa"/>
                  <w:tcBorders>
                    <w:top w:val="single" w:sz="4" w:space="0" w:color="auto"/>
                    <w:right w:val="single" w:sz="4" w:space="0" w:color="auto"/>
                  </w:tcBorders>
                  <w:shd w:val="clear" w:color="auto" w:fill="CC99FF"/>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284"/>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3119" w:type="dxa"/>
                  <w:gridSpan w:val="2"/>
                  <w:vMerge/>
                  <w:tcBorders>
                    <w:left w:val="single" w:sz="4" w:space="0" w:color="auto"/>
                  </w:tcBorders>
                  <w:shd w:val="clear" w:color="auto" w:fill="CC99FF"/>
                </w:tcPr>
                <w:p>
                  <w:pPr>
                    <w:pStyle w:val="Tabletext"/>
                    <w:keepNext/>
                  </w:pPr>
                </w:p>
              </w:tc>
              <w:tc>
                <w:tcPr>
                  <w:tcW w:w="1418" w:type="dxa"/>
                  <w:shd w:val="clear" w:color="auto" w:fill="FFFF00"/>
                </w:tcPr>
                <w:p>
                  <w:pPr>
                    <w:pStyle w:val="Tabletext"/>
                    <w:keepNext/>
                    <w:jc w:val="center"/>
                    <w:rPr>
                      <w:i/>
                      <w:iCs/>
                      <w:noProof/>
                    </w:rPr>
                  </w:pPr>
                  <w:r>
                    <w:rPr>
                      <w:i/>
                      <w:iCs/>
                      <w:noProof/>
                    </w:rPr>
                    <w:t>… text vwx…</w:t>
                  </w:r>
                </w:p>
              </w:tc>
              <w:tc>
                <w:tcPr>
                  <w:tcW w:w="284" w:type="dxa"/>
                  <w:shd w:val="clear" w:color="auto" w:fill="CC99FF"/>
                </w:tcPr>
                <w:p>
                  <w:pPr>
                    <w:pStyle w:val="Tabletext"/>
                    <w:keepNext/>
                    <w:jc w:val="center"/>
                  </w:pPr>
                </w:p>
              </w:tc>
              <w:tc>
                <w:tcPr>
                  <w:tcW w:w="284" w:type="dxa"/>
                  <w:tcBorders>
                    <w:right w:val="single" w:sz="4" w:space="0" w:color="auto"/>
                  </w:tcBorders>
                  <w:shd w:val="clear" w:color="auto" w:fill="CC99FF"/>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113"/>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right w:val="single" w:sz="4" w:space="0" w:color="auto"/>
                  </w:tcBorders>
                  <w:shd w:val="clear" w:color="auto" w:fill="CCFFCC"/>
                </w:tcPr>
                <w:p>
                  <w:pPr>
                    <w:pStyle w:val="Tabletext"/>
                    <w:keepNext/>
                  </w:pPr>
                </w:p>
              </w:tc>
              <w:tc>
                <w:tcPr>
                  <w:tcW w:w="3119" w:type="dxa"/>
                  <w:gridSpan w:val="2"/>
                  <w:tcBorders>
                    <w:left w:val="single" w:sz="4" w:space="0" w:color="auto"/>
                    <w:bottom w:val="single" w:sz="4" w:space="0" w:color="auto"/>
                  </w:tcBorders>
                  <w:shd w:val="clear" w:color="auto" w:fill="CC99FF"/>
                </w:tcPr>
                <w:p>
                  <w:pPr>
                    <w:pStyle w:val="Tabletext"/>
                    <w:keepNext/>
                  </w:pPr>
                </w:p>
              </w:tc>
              <w:tc>
                <w:tcPr>
                  <w:tcW w:w="1418" w:type="dxa"/>
                  <w:tcBorders>
                    <w:bottom w:val="single" w:sz="4" w:space="0" w:color="auto"/>
                  </w:tcBorders>
                  <w:shd w:val="clear" w:color="auto" w:fill="CC99FF"/>
                </w:tcPr>
                <w:p>
                  <w:pPr>
                    <w:pStyle w:val="Tabletext"/>
                    <w:keepNext/>
                    <w:jc w:val="center"/>
                    <w:rPr>
                      <w:i/>
                      <w:iCs/>
                    </w:rPr>
                  </w:pPr>
                </w:p>
              </w:tc>
              <w:tc>
                <w:tcPr>
                  <w:tcW w:w="284" w:type="dxa"/>
                  <w:tcBorders>
                    <w:bottom w:val="single" w:sz="4" w:space="0" w:color="auto"/>
                  </w:tcBorders>
                  <w:shd w:val="clear" w:color="auto" w:fill="CC99FF"/>
                </w:tcPr>
                <w:p>
                  <w:pPr>
                    <w:pStyle w:val="Tabletext"/>
                    <w:keepNext/>
                    <w:jc w:val="center"/>
                  </w:pPr>
                </w:p>
              </w:tc>
              <w:tc>
                <w:tcPr>
                  <w:tcW w:w="284" w:type="dxa"/>
                  <w:tcBorders>
                    <w:bottom w:val="single" w:sz="4" w:space="0" w:color="auto"/>
                    <w:right w:val="single" w:sz="4" w:space="0" w:color="auto"/>
                  </w:tcBorders>
                  <w:shd w:val="clear" w:color="auto" w:fill="CC99FF"/>
                </w:tcPr>
                <w:p>
                  <w:pPr>
                    <w:pStyle w:val="Tabletext"/>
                    <w:keepNext/>
                  </w:pPr>
                </w:p>
              </w:tc>
              <w:tc>
                <w:tcPr>
                  <w:tcW w:w="284" w:type="dxa"/>
                  <w:tcBorders>
                    <w:left w:val="sing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284"/>
                <w:jc w:val="center"/>
              </w:trPr>
              <w:tc>
                <w:tcPr>
                  <w:tcW w:w="284" w:type="dxa"/>
                  <w:tcBorders>
                    <w:left w:val="double" w:sz="12" w:space="0" w:color="auto"/>
                    <w:right w:val="double" w:sz="4" w:space="0" w:color="auto"/>
                  </w:tcBorders>
                  <w:shd w:val="clear" w:color="auto" w:fill="92D050"/>
                </w:tcPr>
                <w:p>
                  <w:pPr>
                    <w:pStyle w:val="Tabletext"/>
                    <w:keepNext/>
                  </w:pPr>
                </w:p>
              </w:tc>
              <w:tc>
                <w:tcPr>
                  <w:tcW w:w="284" w:type="dxa"/>
                  <w:tcBorders>
                    <w:left w:val="double" w:sz="4" w:space="0" w:color="auto"/>
                    <w:bottom w:val="double" w:sz="4" w:space="0" w:color="auto"/>
                  </w:tcBorders>
                  <w:shd w:val="clear" w:color="auto" w:fill="CCFFCC"/>
                </w:tcPr>
                <w:p>
                  <w:pPr>
                    <w:pStyle w:val="Tabletext"/>
                    <w:keepNext/>
                  </w:pPr>
                </w:p>
              </w:tc>
              <w:tc>
                <w:tcPr>
                  <w:tcW w:w="284" w:type="dxa"/>
                  <w:tcBorders>
                    <w:top w:val="single" w:sz="4" w:space="0" w:color="auto"/>
                    <w:bottom w:val="double" w:sz="4" w:space="0" w:color="auto"/>
                  </w:tcBorders>
                  <w:shd w:val="clear" w:color="auto" w:fill="CCFFCC"/>
                </w:tcPr>
                <w:p>
                  <w:pPr>
                    <w:pStyle w:val="Tabletext"/>
                    <w:keepNext/>
                  </w:pPr>
                </w:p>
              </w:tc>
              <w:tc>
                <w:tcPr>
                  <w:tcW w:w="2835" w:type="dxa"/>
                  <w:tcBorders>
                    <w:top w:val="single" w:sz="4" w:space="0" w:color="auto"/>
                    <w:bottom w:val="double" w:sz="4" w:space="0" w:color="auto"/>
                  </w:tcBorders>
                  <w:shd w:val="clear" w:color="auto" w:fill="CCFFCC"/>
                </w:tcPr>
                <w:p>
                  <w:pPr>
                    <w:pStyle w:val="Tabletext"/>
                    <w:keepNext/>
                  </w:pPr>
                </w:p>
              </w:tc>
              <w:tc>
                <w:tcPr>
                  <w:tcW w:w="1418" w:type="dxa"/>
                  <w:tcBorders>
                    <w:top w:val="single" w:sz="4" w:space="0" w:color="auto"/>
                    <w:bottom w:val="double" w:sz="4" w:space="0" w:color="auto"/>
                  </w:tcBorders>
                  <w:shd w:val="clear" w:color="auto" w:fill="CCFFCC"/>
                </w:tcPr>
                <w:p>
                  <w:pPr>
                    <w:pStyle w:val="Tabletext"/>
                    <w:keepNext/>
                    <w:jc w:val="center"/>
                  </w:pPr>
                </w:p>
              </w:tc>
              <w:tc>
                <w:tcPr>
                  <w:tcW w:w="284" w:type="dxa"/>
                  <w:tcBorders>
                    <w:top w:val="single" w:sz="4" w:space="0" w:color="auto"/>
                    <w:bottom w:val="double" w:sz="4" w:space="0" w:color="auto"/>
                  </w:tcBorders>
                  <w:shd w:val="clear" w:color="auto" w:fill="CCFFCC"/>
                </w:tcPr>
                <w:p>
                  <w:pPr>
                    <w:pStyle w:val="Tabletext"/>
                    <w:keepNext/>
                    <w:jc w:val="center"/>
                  </w:pPr>
                </w:p>
              </w:tc>
              <w:tc>
                <w:tcPr>
                  <w:tcW w:w="284" w:type="dxa"/>
                  <w:tcBorders>
                    <w:top w:val="single" w:sz="4" w:space="0" w:color="auto"/>
                    <w:bottom w:val="double" w:sz="4" w:space="0" w:color="auto"/>
                  </w:tcBorders>
                  <w:shd w:val="clear" w:color="auto" w:fill="CCFFCC"/>
                </w:tcPr>
                <w:p>
                  <w:pPr>
                    <w:pStyle w:val="Tabletext"/>
                    <w:keepNext/>
                  </w:pPr>
                </w:p>
              </w:tc>
              <w:tc>
                <w:tcPr>
                  <w:tcW w:w="284" w:type="dxa"/>
                  <w:tcBorders>
                    <w:bottom w:val="double" w:sz="4" w:space="0" w:color="auto"/>
                    <w:right w:val="double" w:sz="4" w:space="0" w:color="auto"/>
                  </w:tcBorders>
                  <w:shd w:val="clear" w:color="auto" w:fill="CCFFCC"/>
                </w:tcPr>
                <w:p>
                  <w:pPr>
                    <w:pStyle w:val="Tabletext"/>
                    <w:keepNext/>
                  </w:pPr>
                </w:p>
              </w:tc>
              <w:tc>
                <w:tcPr>
                  <w:tcW w:w="284" w:type="dxa"/>
                  <w:tcBorders>
                    <w:left w:val="double" w:sz="4" w:space="0" w:color="auto"/>
                    <w:right w:val="double" w:sz="12" w:space="0" w:color="auto"/>
                  </w:tcBorders>
                  <w:shd w:val="clear" w:color="auto" w:fill="92D050"/>
                </w:tcPr>
                <w:p>
                  <w:pPr>
                    <w:pStyle w:val="Tabletext"/>
                    <w:keepNext/>
                  </w:pPr>
                </w:p>
              </w:tc>
            </w:tr>
            <w:tr>
              <w:trPr>
                <w:trHeight w:hRule="exact" w:val="284"/>
                <w:jc w:val="center"/>
              </w:trPr>
              <w:tc>
                <w:tcPr>
                  <w:tcW w:w="284" w:type="dxa"/>
                  <w:tcBorders>
                    <w:left w:val="double" w:sz="12" w:space="0" w:color="auto"/>
                    <w:bottom w:val="double" w:sz="12" w:space="0" w:color="auto"/>
                  </w:tcBorders>
                  <w:shd w:val="clear" w:color="auto" w:fill="92D050"/>
                </w:tcPr>
                <w:p>
                  <w:pPr>
                    <w:pStyle w:val="Tabletext"/>
                  </w:pPr>
                </w:p>
              </w:tc>
              <w:tc>
                <w:tcPr>
                  <w:tcW w:w="284" w:type="dxa"/>
                  <w:tcBorders>
                    <w:top w:val="double" w:sz="4" w:space="0" w:color="auto"/>
                    <w:bottom w:val="double" w:sz="12" w:space="0" w:color="auto"/>
                  </w:tcBorders>
                  <w:shd w:val="clear" w:color="auto" w:fill="92D050"/>
                </w:tcPr>
                <w:p>
                  <w:pPr>
                    <w:pStyle w:val="Tabletext"/>
                  </w:pPr>
                </w:p>
              </w:tc>
              <w:tc>
                <w:tcPr>
                  <w:tcW w:w="284" w:type="dxa"/>
                  <w:tcBorders>
                    <w:top w:val="double" w:sz="4" w:space="0" w:color="auto"/>
                    <w:bottom w:val="double" w:sz="12" w:space="0" w:color="auto"/>
                  </w:tcBorders>
                  <w:shd w:val="clear" w:color="auto" w:fill="92D050"/>
                </w:tcPr>
                <w:p>
                  <w:pPr>
                    <w:pStyle w:val="Tabletext"/>
                  </w:pPr>
                </w:p>
              </w:tc>
              <w:tc>
                <w:tcPr>
                  <w:tcW w:w="2835" w:type="dxa"/>
                  <w:tcBorders>
                    <w:top w:val="double" w:sz="4" w:space="0" w:color="auto"/>
                    <w:bottom w:val="double" w:sz="12" w:space="0" w:color="auto"/>
                  </w:tcBorders>
                  <w:shd w:val="clear" w:color="auto" w:fill="92D050"/>
                </w:tcPr>
                <w:p>
                  <w:pPr>
                    <w:pStyle w:val="Tabletext"/>
                  </w:pPr>
                </w:p>
              </w:tc>
              <w:tc>
                <w:tcPr>
                  <w:tcW w:w="1418" w:type="dxa"/>
                  <w:tcBorders>
                    <w:top w:val="double" w:sz="4" w:space="0" w:color="auto"/>
                    <w:bottom w:val="double" w:sz="12" w:space="0" w:color="auto"/>
                  </w:tcBorders>
                  <w:shd w:val="clear" w:color="auto" w:fill="92D050"/>
                </w:tcPr>
                <w:p>
                  <w:pPr>
                    <w:pStyle w:val="Tabletext"/>
                    <w:jc w:val="center"/>
                  </w:pPr>
                </w:p>
              </w:tc>
              <w:tc>
                <w:tcPr>
                  <w:tcW w:w="284" w:type="dxa"/>
                  <w:tcBorders>
                    <w:top w:val="double" w:sz="4" w:space="0" w:color="auto"/>
                    <w:bottom w:val="double" w:sz="12" w:space="0" w:color="auto"/>
                  </w:tcBorders>
                  <w:shd w:val="clear" w:color="auto" w:fill="92D050"/>
                </w:tcPr>
                <w:p>
                  <w:pPr>
                    <w:pStyle w:val="Tabletext"/>
                    <w:jc w:val="center"/>
                  </w:pPr>
                </w:p>
              </w:tc>
              <w:tc>
                <w:tcPr>
                  <w:tcW w:w="284" w:type="dxa"/>
                  <w:tcBorders>
                    <w:top w:val="double" w:sz="4" w:space="0" w:color="auto"/>
                    <w:bottom w:val="double" w:sz="12" w:space="0" w:color="auto"/>
                  </w:tcBorders>
                  <w:shd w:val="clear" w:color="auto" w:fill="92D050"/>
                </w:tcPr>
                <w:p>
                  <w:pPr>
                    <w:pStyle w:val="Tabletext"/>
                  </w:pPr>
                </w:p>
              </w:tc>
              <w:tc>
                <w:tcPr>
                  <w:tcW w:w="284" w:type="dxa"/>
                  <w:tcBorders>
                    <w:top w:val="double" w:sz="4" w:space="0" w:color="auto"/>
                    <w:bottom w:val="double" w:sz="12" w:space="0" w:color="auto"/>
                  </w:tcBorders>
                  <w:shd w:val="clear" w:color="auto" w:fill="92D050"/>
                </w:tcPr>
                <w:p>
                  <w:pPr>
                    <w:pStyle w:val="Tabletext"/>
                  </w:pPr>
                </w:p>
              </w:tc>
              <w:tc>
                <w:tcPr>
                  <w:tcW w:w="284" w:type="dxa"/>
                  <w:tcBorders>
                    <w:bottom w:val="double" w:sz="12" w:space="0" w:color="auto"/>
                    <w:right w:val="double" w:sz="12" w:space="0" w:color="auto"/>
                  </w:tcBorders>
                  <w:shd w:val="clear" w:color="auto" w:fill="92D050"/>
                </w:tcPr>
                <w:p>
                  <w:pPr>
                    <w:pStyle w:val="Tabletext"/>
                  </w:pPr>
                </w:p>
              </w:tc>
            </w:tr>
          </w:tbl>
          <w:p/>
        </w:tc>
      </w:tr>
    </w:tbl>
    <w:p/>
    <w:p>
      <w:r>
        <w:t>Within a TEI document, the entirety of the source text is contained within the edition division (§</w:t>
      </w:r>
      <w:r>
        <w:fldChar w:fldCharType="begin"/>
      </w:r>
      <w:r>
        <w:instrText xml:space="preserve"> REF _Ref224739111 \r \h </w:instrText>
      </w:r>
      <w:r>
        <w:fldChar w:fldCharType="separate"/>
      </w:r>
      <w:r>
        <w:t>2.3.3</w:t>
      </w:r>
      <w:r>
        <w:fldChar w:fldCharType="end"/>
      </w:r>
      <w:r>
        <w:t>), which thus also contains the entire hierarchy of intrinsic structure. Within the edition division, all of the text in an EpiDoc edition must be wrapped in block-level (§</w:t>
      </w:r>
      <w:r>
        <w:fldChar w:fldCharType="begin"/>
      </w:r>
      <w:r>
        <w:instrText xml:space="preserve"> REF _Ref224893557 \r \h </w:instrText>
      </w:r>
      <w:r>
        <w:fldChar w:fldCharType="separate"/>
      </w:r>
      <w:r>
        <w:t>2.2.2</w:t>
      </w:r>
      <w:r>
        <w:fldChar w:fldCharType="end"/>
      </w:r>
      <w:r>
        <w:t xml:space="preserve">) container elements representing units of intrinsic structure, namely “paragraphs” or “anonymous blocks” in prose </w:t>
      </w:r>
      <w:r>
        <w:rPr>
          <w:noProof/>
        </w:rPr>
        <w:t>(</w:t>
      </w:r>
      <w:r>
        <w:t>§</w:t>
      </w:r>
      <w:r>
        <w:fldChar w:fldCharType="begin"/>
      </w:r>
      <w:r>
        <w:instrText xml:space="preserve"> REF _Ref225321156 \r \h </w:instrText>
      </w:r>
      <w:r>
        <w:fldChar w:fldCharType="separate"/>
      </w:r>
      <w:r>
        <w:t>3.1.1</w:t>
      </w:r>
      <w:r>
        <w:fldChar w:fldCharType="end"/>
      </w:r>
      <w:r>
        <w:t xml:space="preserve">), and “stanzas” in verse </w:t>
      </w:r>
      <w:r>
        <w:rPr>
          <w:noProof/>
        </w:rPr>
        <w:t>(</w:t>
      </w:r>
      <w:r>
        <w:t>§</w:t>
      </w:r>
      <w:r>
        <w:fldChar w:fldCharType="begin"/>
      </w:r>
      <w:r>
        <w:instrText xml:space="preserve"> REF _Ref224740501 \r \h </w:instrText>
      </w:r>
      <w:r>
        <w:fldChar w:fldCharType="separate"/>
      </w:r>
      <w:r>
        <w:t>3.2.2</w:t>
      </w:r>
      <w:r>
        <w:fldChar w:fldCharType="end"/>
      </w:r>
      <w:r>
        <w:t>). In the simplest of cases, an edition can contain just a single block-level element, which in turn contains the entire text. Otherwise, the edition may contain a series of block-level elements, each of which contains part of the text.</w:t>
      </w:r>
    </w:p>
    <w:p>
      <w:pPr>
        <w:pStyle w:val="Normlbehzs"/>
      </w:pPr>
      <w:r>
        <w:t xml:space="preserve">Any number of these basic containers may be used in any sequence as called for by the nature of the text, but to keep the encoding structure simple, in our practice these containers shall never be nested in one </w:t>
      </w:r>
      <w:r>
        <w:lastRenderedPageBreak/>
        <w:t xml:space="preserve">another, only follow one another in a simple linear sequence. That is to say, paragraphs, anonymous blocks and stanzas always occupy the same level of the hierarchy in DHARMA encoding. The containers must </w:t>
      </w:r>
      <w:r>
        <w:rPr>
          <w:rStyle w:val="Foreign"/>
        </w:rPr>
        <w:t>tessellate</w:t>
      </w:r>
      <w:r>
        <w:t>, meaning that they must seamlessly cover the entire edition in the manner of tiles. Thus, there can usually be no text in the edition which is not also contained within a paragraph, anonymous block or stanza.</w:t>
      </w:r>
    </w:p>
    <w:p>
      <w:pPr>
        <w:pStyle w:val="Normlbehzs"/>
      </w:pPr>
      <w:r>
        <w:t>The hierarchy presented above can be extended by one additional step in either direction. In the downward direction, applicable only to verse, the lines of a stanza must be individually wrapped in a lower-level container in addition to the stanza container wrapping all lines as a unit. In the upward direction, higher-level blocks called textpart divisions can be used to subdivide the text into cohesive parts, each of which can contain a number of basic containers. Tessellation is a requirement applicable to all levels of this hierarchy. Thus, if verse is present, then the entire text of each stanza must be contained within one line or another, and never directly within the stanza. Conversely, if textpart divisions are present, then all of the basic containers must be within one division or another, and never directly within the edition division.</w:t>
      </w:r>
    </w:p>
    <w:p>
      <w:pPr>
        <w:pStyle w:val="Normlbehzs"/>
      </w:pPr>
      <w:r>
        <w:t>Because our documentary editions are usually concerned with short to moderate-length texts which, unlike the quintessential book, rarely involve multiple hierarchical tiers, in our practice we restrict the use of textpart divisions to a small number of cases where a major semantic boundary (in the intrinsic structure of the text as work) coincides with a salient physical boundary (in the extrinsic structure of the text as document). Textpart divisions will therefore be introduced under extrinsic structure in §</w:t>
      </w:r>
      <w:r>
        <w:fldChar w:fldCharType="begin"/>
      </w:r>
      <w:r>
        <w:instrText xml:space="preserve"> REF _Ref225778181 \r \h </w:instrText>
      </w:r>
      <w:r>
        <w:fldChar w:fldCharType="separate"/>
      </w:r>
      <w:r>
        <w:t>4.2</w:t>
      </w:r>
      <w:r>
        <w:fldChar w:fldCharType="end"/>
      </w:r>
      <w:r>
        <w:t>, and the specific cases where they are needed will be discussed in §</w:t>
      </w:r>
      <w:r>
        <w:fldChar w:fldCharType="begin"/>
      </w:r>
      <w:r>
        <w:instrText xml:space="preserve"> REF _Ref225759775 \r \h </w:instrText>
      </w:r>
      <w:r>
        <w:fldChar w:fldCharType="separate"/>
      </w:r>
      <w:r>
        <w:t>4.7.3</w:t>
      </w:r>
      <w:r>
        <w:fldChar w:fldCharType="end"/>
      </w:r>
      <w:r>
        <w:t>. Consequently, our documentary editions do not recognise intrinsic units superordinate to prose and verse blocks on a purely semantic basis.</w:t>
      </w:r>
    </w:p>
    <w:p>
      <w:pPr>
        <w:pStyle w:val="Normlbehzs"/>
      </w:pPr>
      <w:r>
        <w:t>In some cases, which occur only rarely in our practice, this simple hierarchy of intrinsic structure can be complicated in either of two additional ways. First, prose paragraphs may occasionally contain lists (§</w:t>
      </w:r>
      <w:r>
        <w:fldChar w:fldCharType="begin"/>
      </w:r>
      <w:r>
        <w:instrText xml:space="preserve"> REF _Ref168563127 \r \h </w:instrText>
      </w:r>
      <w:r>
        <w:fldChar w:fldCharType="separate"/>
      </w:r>
      <w:r>
        <w:t>3.2.1.3</w:t>
      </w:r>
      <w:r>
        <w:fldChar w:fldCharType="end"/>
      </w:r>
      <w:r>
        <w:t>), which in turn contain list items, thus adding two further hierarchical levels below that of the paragraph.</w:t>
      </w:r>
      <w:r>
        <w:rPr>
          <w:rStyle w:val="Lbjegyzet-hivatkozs"/>
        </w:rPr>
        <w:footnoteReference w:id="8"/>
      </w:r>
      <w:r>
        <w:t xml:space="preserve"> Tessellation is required for items within a list, but not for lists themselves. Second, forme work (§</w:t>
      </w:r>
      <w:r>
        <w:fldChar w:fldCharType="begin"/>
      </w:r>
      <w:r>
        <w:instrText xml:space="preserve"> REF _Ref43984607 \r \h </w:instrText>
      </w:r>
      <w:r>
        <w:fldChar w:fldCharType="separate"/>
      </w:r>
      <w:r>
        <w:t>4.7.2</w:t>
      </w:r>
      <w:r>
        <w:fldChar w:fldCharType="end"/>
      </w:r>
      <w:r>
        <w:t>) — basically meaning page or folio numbering in a document — is detached from the text’s intrinsic structure but has to be positioned one way or another in the XML structure of the encoded document. Because of its unusual nature, the XML element representing forme work may, in exceptional cases, appear outside the basic block-level containers (as a direct child of a division); otherwise, it is placed within a container and thus adds another hierarchical level to the XML structure.</w:t>
      </w:r>
    </w:p>
    <w:p>
      <w:pPr>
        <w:pStyle w:val="Cmsor3"/>
      </w:pPr>
      <w:bookmarkStart w:id="47" w:name="_Ref225331879"/>
      <w:bookmarkStart w:id="48" w:name="_Ref224740240"/>
      <w:bookmarkStart w:id="49" w:name="_Ref225244409"/>
      <w:bookmarkStart w:id="50" w:name="_Ref225153899"/>
      <w:bookmarkStart w:id="51" w:name="_Ref225321156"/>
      <w:bookmarkStart w:id="52" w:name="_Toc242976591"/>
      <w:r>
        <w:t>Numeration for reference</w:t>
      </w:r>
      <w:bookmarkEnd w:id="47"/>
      <w:bookmarkEnd w:id="52"/>
    </w:p>
    <w:p>
      <w:r>
        <w:rPr>
          <w:lang w:eastAsia="en-US" w:bidi="ar-SA"/>
        </w:rPr>
        <w:t xml:space="preserve">All TEI elements can be provided with arbitrary numeration using the attribute </w:t>
      </w:r>
      <w:r>
        <w:rPr>
          <w:rStyle w:val="Codeattribute"/>
        </w:rPr>
        <w:t>@n</w:t>
      </w:r>
      <w:r>
        <w:rPr>
          <w:lang w:eastAsia="en-US" w:bidi="ar-SA"/>
        </w:rPr>
        <w:t xml:space="preserve">, primarily to be used as reference by human end users. Another </w:t>
      </w:r>
      <w:r>
        <w:t xml:space="preserve">attribute, </w:t>
      </w:r>
      <w:r>
        <w:rPr>
          <w:rStyle w:val="Codeattribute"/>
        </w:rPr>
        <w:t>@xml:id</w:t>
      </w:r>
      <w:r>
        <w:t xml:space="preserve"> </w:t>
      </w:r>
      <w:r>
        <w:rPr>
          <w:noProof/>
        </w:rPr>
        <w:t>(</w:t>
      </w:r>
      <w:r>
        <w:t>§</w:t>
      </w:r>
      <w:r>
        <w:fldChar w:fldCharType="begin"/>
      </w:r>
      <w:r>
        <w:instrText xml:space="preserve"> REF _Ref43988993 \w \h  \* MERGEFORMAT </w:instrText>
      </w:r>
      <w:r>
        <w:fldChar w:fldCharType="separate"/>
      </w:r>
      <w:r>
        <w:t>14.6.6</w:t>
      </w:r>
      <w:r>
        <w:fldChar w:fldCharType="end"/>
      </w:r>
      <w:r>
        <w:t xml:space="preserve">), is employed for the rigorous, machine-readable referencing of elements. For the purpose of referring to units of intrinsic structure, </w:t>
      </w:r>
      <w:r>
        <w:rPr>
          <w:lang w:eastAsia="en-US" w:bidi="ar-SA"/>
        </w:rPr>
        <w:t xml:space="preserve">DHARMA editions only use numeration </w:t>
      </w:r>
      <w:r>
        <w:t xml:space="preserve">involving </w:t>
      </w:r>
      <w:r>
        <w:rPr>
          <w:rStyle w:val="Codeattribute"/>
        </w:rPr>
        <w:t>@n</w:t>
      </w:r>
      <w:r>
        <w:t xml:space="preserve"> </w:t>
      </w:r>
      <w:r>
        <w:rPr>
          <w:lang w:eastAsia="en-US" w:bidi="ar-SA"/>
        </w:rPr>
        <w:t xml:space="preserve">on the containers for stanzas and verse lines (as well as for textpart divisions). </w:t>
      </w:r>
      <w:r>
        <w:t>The projectwide conventions introduced under §</w:t>
      </w:r>
      <w:r>
        <w:fldChar w:fldCharType="begin"/>
      </w:r>
      <w:r>
        <w:instrText xml:space="preserve"> REF _Ref224740501 \r \h </w:instrText>
      </w:r>
      <w:r>
        <w:fldChar w:fldCharType="separate"/>
      </w:r>
      <w:r>
        <w:t>3.2.2</w:t>
      </w:r>
      <w:r>
        <w:fldChar w:fldCharType="end"/>
      </w:r>
      <w:r>
        <w:t xml:space="preserve"> for numbering elements with </w:t>
      </w:r>
      <w:r>
        <w:rPr>
          <w:rStyle w:val="Codeattribute"/>
        </w:rPr>
        <w:t>@n</w:t>
      </w:r>
      <w:r>
        <w:t xml:space="preserve"> not only ensure consistency in our editions, but also facilitate conventional human-readable reference. For referring to text in prose, we see no advantage in numbering semantic units (as they vary greatly in size) and instead rely on the numeration of the units of extrinsic structure (§</w:t>
      </w:r>
      <w:r>
        <w:fldChar w:fldCharType="begin"/>
      </w:r>
      <w:r>
        <w:instrText xml:space="preserve"> REF _Ref225331491 \r \h </w:instrText>
      </w:r>
      <w:r>
        <w:fldChar w:fldCharType="separate"/>
      </w:r>
      <w:r>
        <w:t>4.1.1</w:t>
      </w:r>
      <w:r>
        <w:fldChar w:fldCharType="end"/>
      </w:r>
      <w:r>
        <w:t>).</w:t>
      </w:r>
    </w:p>
    <w:p>
      <w:pPr>
        <w:pStyle w:val="Cmsor2"/>
      </w:pPr>
      <w:bookmarkStart w:id="53" w:name="_Ref225500627"/>
      <w:r>
        <w:t>Encoding with block-level containers</w:t>
      </w:r>
      <w:bookmarkEnd w:id="53"/>
    </w:p>
    <w:p>
      <w:pPr>
        <w:pStyle w:val="Cmsor3"/>
      </w:pPr>
      <w:bookmarkStart w:id="54" w:name="_Ref229058843"/>
      <w:bookmarkStart w:id="55" w:name="_Toc242976592"/>
      <w:bookmarkEnd w:id="48"/>
      <w:bookmarkEnd w:id="49"/>
      <w:bookmarkEnd w:id="50"/>
      <w:r>
        <w:t>Prose containers</w:t>
      </w:r>
      <w:bookmarkEnd w:id="43"/>
      <w:bookmarkEnd w:id="44"/>
      <w:bookmarkEnd w:id="51"/>
      <w:bookmarkEnd w:id="54"/>
      <w:bookmarkEnd w:id="55"/>
    </w:p>
    <w:p>
      <w:pPr>
        <w:pStyle w:val="Cmsor4"/>
      </w:pPr>
      <w:bookmarkStart w:id="56" w:name="_xcjk45g56cuw" w:colFirst="0" w:colLast="0"/>
      <w:bookmarkStart w:id="57" w:name="_Ref43991413"/>
      <w:bookmarkEnd w:id="56"/>
      <w:r>
        <w:t>Paragraphs</w:t>
      </w:r>
      <w:bookmarkEnd w:id="57"/>
    </w:p>
    <w:p>
      <w:r>
        <w:t xml:space="preserve">The default container element for prose text is the paragraph, </w:t>
      </w:r>
      <w:r>
        <w:rPr>
          <w:rStyle w:val="Code"/>
        </w:rPr>
        <w:t>&lt;p&gt;</w:t>
      </w:r>
      <w:r>
        <w:t xml:space="preserve">. Short prose inscriptions consisting of at least one complete sentence shall be wrapped in a single </w:t>
      </w:r>
      <w:r>
        <w:rPr>
          <w:rStyle w:val="Code"/>
        </w:rPr>
        <w:t>&lt;p&gt;</w:t>
      </w:r>
      <w:r>
        <w:t xml:space="preserve"> element, while longer prose passages shall be broken up into semantic paragraphs on the basis of their content. When representing original documents in TEI, the element </w:t>
      </w:r>
      <w:r>
        <w:rPr>
          <w:rStyle w:val="Code"/>
        </w:rPr>
        <w:t>&lt;p&gt;</w:t>
      </w:r>
      <w:r>
        <w:t xml:space="preserve"> is normally used for paragraphs visually demarcated as such in the original physical </w:t>
      </w:r>
      <w:r>
        <w:lastRenderedPageBreak/>
        <w:t xml:space="preserve">manifestation of a text </w:t>
      </w:r>
      <w:r>
        <w:rPr>
          <w:noProof/>
        </w:rPr>
        <w:t>(</w:t>
      </w:r>
      <w:r>
        <w:t xml:space="preserve">i.e. units that start in a new line and may begin with an indent). Our inscriptions seldom employ such visual paragraphs, yet often contain longer sections of prose that would, in a modern document, be segmented into paragraphs. In DHARMA, we therefore refer to cohesive passages within longer prose sections as semantic paragraphs and encode them with separate </w:t>
      </w:r>
      <w:r>
        <w:rPr>
          <w:rStyle w:val="Code"/>
        </w:rPr>
        <w:t>&lt;p&gt;</w:t>
      </w:r>
      <w:r>
        <w:t xml:space="preserve"> elements. This editorial segmentation is analogous to segmenting </w:t>
      </w:r>
      <w:r>
        <w:rPr>
          <w:rStyle w:val="Foreign"/>
        </w:rPr>
        <w:t>scriptio continua</w:t>
      </w:r>
      <w:r>
        <w:t xml:space="preserve"> with editorial spaces and will be likewise helpful in display and interpretation. Therefore, in our editions a new </w:t>
      </w:r>
      <w:r>
        <w:rPr>
          <w:rStyle w:val="Code"/>
        </w:rPr>
        <w:t>&lt;p&gt;</w:t>
      </w:r>
      <w:r>
        <w:t xml:space="preserve"> element shall be started at any point where you feel the topic changes sufficiently to comprise a new semantic unit. Splitting a continuously inscribed text into semantic paragraphs is arbitrary and somewhat subjective; when exercising your own judgement, it may help to imagine translating the text and to put paragraph breaks where you would start a new paragraph in your translation. </w:t>
      </w:r>
    </w:p>
    <w:p>
      <w:pPr>
        <w:pStyle w:val="Lista"/>
      </w:pPr>
      <w:r>
        <w:rPr>
          <w:rStyle w:val="Code"/>
        </w:rPr>
        <w:t>&lt;p&gt;</w:t>
      </w:r>
      <w:r>
        <w:t xml:space="preserve"> elements usually carry no attributes in our editions</w:t>
      </w:r>
    </w:p>
    <w:p>
      <w:pPr>
        <w:pStyle w:val="Lista2"/>
      </w:pPr>
      <w:r>
        <w:t xml:space="preserve">the attribute </w:t>
      </w:r>
      <w:r>
        <w:rPr>
          <w:rStyle w:val="Codeattribute"/>
        </w:rPr>
        <w:t>@part</w:t>
      </w:r>
      <w:r>
        <w:t xml:space="preserve"> is added to incomplete paragraphs as per §</w:t>
      </w:r>
      <w:r>
        <w:fldChar w:fldCharType="begin"/>
      </w:r>
      <w:r>
        <w:instrText xml:space="preserve"> REF _Ref228980509 \r \h </w:instrText>
      </w:r>
      <w:r>
        <w:fldChar w:fldCharType="separate"/>
      </w:r>
      <w:r>
        <w:t>3.2.3.1</w:t>
      </w:r>
      <w:r>
        <w:fldChar w:fldCharType="end"/>
      </w:r>
      <w:r>
        <w:t xml:space="preserve"> </w:t>
      </w:r>
    </w:p>
    <w:p>
      <w:pPr>
        <w:pStyle w:val="Cmsor4"/>
      </w:pPr>
      <w:bookmarkStart w:id="58" w:name="_28fdtwg1bdas" w:colFirst="0" w:colLast="0"/>
      <w:bookmarkStart w:id="59" w:name="_Ref43981028"/>
      <w:bookmarkEnd w:id="58"/>
      <w:r>
        <w:t>Anonymous blocks</w:t>
      </w:r>
      <w:bookmarkEnd w:id="59"/>
    </w:p>
    <w:p>
      <w:r>
        <w:t xml:space="preserve">In general EpiDoc usage, the entire text of an inscription is wrapped in a single </w:t>
      </w:r>
      <w:r>
        <w:rPr>
          <w:rStyle w:val="Code"/>
        </w:rPr>
        <w:t>&lt;ab&gt;</w:t>
      </w:r>
      <w:r>
        <w:t xml:space="preserve"> element (for “anonymous block” or “arbitrary block”). In DHARMA practice, we prefer segmentation into semantic paragraphs as per §</w:t>
      </w:r>
      <w:r>
        <w:fldChar w:fldCharType="begin"/>
      </w:r>
      <w:r>
        <w:instrText xml:space="preserve"> REF _Ref43991413 \r \h </w:instrText>
      </w:r>
      <w:r>
        <w:fldChar w:fldCharType="separate"/>
      </w:r>
      <w:r>
        <w:t>3.2.1.1</w:t>
      </w:r>
      <w:r>
        <w:fldChar w:fldCharType="end"/>
      </w:r>
      <w:r>
        <w:t xml:space="preserve"> and do not employ a single container for the entirety of a text. However, we do optionally use </w:t>
      </w:r>
      <w:r>
        <w:rPr>
          <w:rStyle w:val="Code"/>
        </w:rPr>
        <w:t>&lt;ab&gt;</w:t>
      </w:r>
      <w:r>
        <w:t xml:space="preserve"> instead of </w:t>
      </w:r>
      <w:r>
        <w:rPr>
          <w:rStyle w:val="Code"/>
        </w:rPr>
        <w:t>&lt;p&gt;</w:t>
      </w:r>
      <w:r>
        <w:t xml:space="preserve"> for isolated chunks of text for which the designation “paragraph” seems semantically inappropriate, as in the following cases:</w:t>
      </w:r>
    </w:p>
    <w:p>
      <w:pPr>
        <w:pStyle w:val="Lista"/>
      </w:pPr>
      <w:r>
        <w:t>if the entirety of your inscription constitutes less than a complete sentence due to its shortness or lack of syntax, e.g.</w:t>
      </w:r>
    </w:p>
    <w:p>
      <w:pPr>
        <w:pStyle w:val="Lista2"/>
      </w:pPr>
      <w:r>
        <w:t>a sealing with just a name</w:t>
      </w:r>
    </w:p>
    <w:p>
      <w:pPr>
        <w:pStyle w:val="Lista2"/>
      </w:pPr>
      <w:r>
        <w:t>a label inscription on an image</w:t>
      </w:r>
    </w:p>
    <w:p>
      <w:pPr>
        <w:pStyle w:val="Lista2"/>
      </w:pPr>
      <w:r>
        <w:t>a graffito on a monument</w:t>
      </w:r>
    </w:p>
    <w:p>
      <w:pPr>
        <w:pStyle w:val="Lista"/>
      </w:pPr>
      <w:r>
        <w:t>if the entirety of a textpart (§</w:t>
      </w:r>
      <w:r>
        <w:fldChar w:fldCharType="begin"/>
      </w:r>
      <w:r>
        <w:instrText xml:space="preserve"> REF _Ref225778181 \r \h </w:instrText>
      </w:r>
      <w:r>
        <w:fldChar w:fldCharType="separate"/>
      </w:r>
      <w:r>
        <w:t>4.2</w:t>
      </w:r>
      <w:r>
        <w:fldChar w:fldCharType="end"/>
      </w:r>
      <w:r>
        <w:t>) constitutes less than a complete sentence, e.g.</w:t>
      </w:r>
    </w:p>
    <w:p>
      <w:pPr>
        <w:pStyle w:val="Lista2"/>
      </w:pPr>
      <w:r>
        <w:t xml:space="preserve">a copperplate seal with just a name </w:t>
      </w:r>
      <w:r>
        <w:rPr>
          <w:noProof/>
        </w:rPr>
        <w:t>(</w:t>
      </w:r>
      <w:r>
        <w:t>in the genitive, nominative, or without a case ending)</w:t>
      </w:r>
    </w:p>
    <w:p>
      <w:pPr>
        <w:pStyle w:val="Lista2"/>
      </w:pPr>
      <w:r>
        <w:t>an auspicious word or symbol in a field set off from the rest of the inscription</w:t>
      </w:r>
    </w:p>
    <w:p>
      <w:pPr>
        <w:pStyle w:val="Lista"/>
      </w:pPr>
      <w:r>
        <w:t xml:space="preserve">if a segment of the text is physically contiguous with other text, but semantically or prosodically distinct from adjacent containers </w:t>
      </w:r>
      <w:r>
        <w:rPr>
          <w:noProof/>
        </w:rPr>
        <w:t>(</w:t>
      </w:r>
      <w:r>
        <w:rPr>
          <w:rStyle w:val="Code"/>
        </w:rPr>
        <w:t>&lt;p&gt;</w:t>
      </w:r>
      <w:r>
        <w:t xml:space="preserve"> or </w:t>
      </w:r>
      <w:r>
        <w:rPr>
          <w:rStyle w:val="Code"/>
        </w:rPr>
        <w:t>&lt;lg&gt;</w:t>
      </w:r>
      <w:r>
        <w:t>), and constitutes less than a complete sentence, e.g.</w:t>
      </w:r>
    </w:p>
    <w:p>
      <w:pPr>
        <w:pStyle w:val="Lista2"/>
      </w:pPr>
      <w:r>
        <w:t xml:space="preserve">an opening invocation consisting only of the word </w:t>
      </w:r>
      <w:r>
        <w:rPr>
          <w:rStyle w:val="Foreign"/>
        </w:rPr>
        <w:t>siddham</w:t>
      </w:r>
      <w:r>
        <w:t xml:space="preserve"> or an auspicious symbol</w:t>
      </w:r>
    </w:p>
    <w:p>
      <w:pPr>
        <w:pStyle w:val="Lista2"/>
      </w:pPr>
      <w:r>
        <w:t>a colophon not comprised of complete sentences</w:t>
      </w:r>
    </w:p>
    <w:p>
      <w:pPr>
        <w:pStyle w:val="Lista2"/>
      </w:pPr>
      <w:r>
        <w:t xml:space="preserve">a connective particle or phrase </w:t>
      </w:r>
      <w:r>
        <w:rPr>
          <w:noProof/>
        </w:rPr>
        <w:t>(</w:t>
      </w:r>
      <w:r>
        <w:t xml:space="preserve">e.g. </w:t>
      </w:r>
      <w:r>
        <w:rPr>
          <w:rStyle w:val="Foreign"/>
        </w:rPr>
        <w:t>iti</w:t>
      </w:r>
      <w:r>
        <w:t xml:space="preserve">, </w:t>
      </w:r>
      <w:r>
        <w:rPr>
          <w:rStyle w:val="Foreign"/>
        </w:rPr>
        <w:t>api ca</w:t>
      </w:r>
      <w:r>
        <w:t>) used to introduce, connect or conclude stanzas and not functioning as an integral part of the unit adjacent to the stanza</w:t>
      </w:r>
    </w:p>
    <w:p>
      <w:pPr>
        <w:pStyle w:val="Lista"/>
      </w:pPr>
      <w:r>
        <w:t>if a section of text is so heavily damaged that you cannot determine whether it is in prose or verse</w:t>
      </w:r>
    </w:p>
    <w:p>
      <w:pPr>
        <w:pStyle w:val="Lista"/>
      </w:pPr>
      <w:r>
        <w:rPr>
          <w:rStyle w:val="Code"/>
        </w:rPr>
        <w:t>&lt;ab&gt;</w:t>
      </w:r>
      <w:r>
        <w:t xml:space="preserve"> elements usually carry no attributes in our editions</w:t>
      </w:r>
    </w:p>
    <w:p>
      <w:pPr>
        <w:pStyle w:val="Lista2"/>
      </w:pPr>
      <w:r>
        <w:t xml:space="preserve">the attribute </w:t>
      </w:r>
      <w:r>
        <w:rPr>
          <w:rStyle w:val="Codeattribute"/>
        </w:rPr>
        <w:t>@part</w:t>
      </w:r>
      <w:r>
        <w:t xml:space="preserve"> is added to incomplete blocks as per §</w:t>
      </w:r>
      <w:r>
        <w:fldChar w:fldCharType="begin"/>
      </w:r>
      <w:r>
        <w:instrText xml:space="preserve"> REF _Ref228980509 \r \h </w:instrText>
      </w:r>
      <w:r>
        <w:fldChar w:fldCharType="separate"/>
      </w:r>
      <w:r>
        <w:t>3.2.3.1</w:t>
      </w:r>
      <w:r>
        <w:fldChar w:fldCharType="end"/>
      </w:r>
      <w:r>
        <w:t xml:space="preserve"> </w:t>
      </w:r>
    </w:p>
    <w:p>
      <w:pPr>
        <w:pStyle w:val="Cmsor4"/>
      </w:pPr>
      <w:bookmarkStart w:id="60" w:name="_twhqkur5z3w2" w:colFirst="0" w:colLast="0"/>
      <w:bookmarkStart w:id="61" w:name="_Ref168563127"/>
      <w:bookmarkStart w:id="62" w:name="_Ref43978871"/>
      <w:bookmarkEnd w:id="60"/>
      <w:r>
        <w:t>Lists in the edition</w:t>
      </w:r>
      <w:bookmarkEnd w:id="61"/>
    </w:p>
    <w:p>
      <w:r>
        <w:t>The encoding of lists is primarily applicable to sections in a modern language, such as the translation and the commentary, as discussed in §</w:t>
      </w:r>
      <w:r>
        <w:fldChar w:fldCharType="begin"/>
      </w:r>
      <w:r>
        <w:instrText xml:space="preserve"> REF _Ref233279232 \r \h </w:instrText>
      </w:r>
      <w:r>
        <w:fldChar w:fldCharType="separate"/>
      </w:r>
      <w:r>
        <w:t>14.3.3</w:t>
      </w:r>
      <w:r>
        <w:fldChar w:fldCharType="end"/>
      </w:r>
      <w:r>
        <w:t>. Structured lists may, at the encoder’s option, also be used in the edition, in the following manner.</w:t>
      </w:r>
    </w:p>
    <w:p>
      <w:pPr>
        <w:pStyle w:val="Lista"/>
      </w:pPr>
      <w:r>
        <w:t xml:space="preserve">to encode a list, create a </w:t>
      </w:r>
      <w:r>
        <w:rPr>
          <w:rStyle w:val="Code"/>
        </w:rPr>
        <w:t>&lt;list&gt;</w:t>
      </w:r>
      <w:r>
        <w:t xml:space="preserve"> element within an already existing </w:t>
      </w:r>
      <w:r>
        <w:rPr>
          <w:rStyle w:val="Code"/>
        </w:rPr>
        <w:t>&lt;p&gt;</w:t>
      </w:r>
      <w:r>
        <w:t xml:space="preserve"> element</w:t>
      </w:r>
    </w:p>
    <w:p>
      <w:pPr>
        <w:pStyle w:val="Lista2"/>
      </w:pPr>
      <w:r>
        <w:rPr>
          <w:rStyle w:val="Code"/>
        </w:rPr>
        <w:t>&lt;list&gt;</w:t>
      </w:r>
      <w:r>
        <w:t xml:space="preserve"> elements are not required to tessellate, so a </w:t>
      </w:r>
      <w:r>
        <w:rPr>
          <w:rStyle w:val="Code"/>
        </w:rPr>
        <w:t>&lt;p&gt;</w:t>
      </w:r>
      <w:r>
        <w:t xml:space="preserve"> element may contain text alongside (i.e. before and/or after) a list</w:t>
      </w:r>
    </w:p>
    <w:p>
      <w:pPr>
        <w:pStyle w:val="Lista"/>
      </w:pPr>
      <w:r>
        <w:t xml:space="preserve">within </w:t>
      </w:r>
      <w:r>
        <w:rPr>
          <w:rStyle w:val="Code"/>
        </w:rPr>
        <w:t>&lt;list&gt;</w:t>
      </w:r>
      <w:r>
        <w:t xml:space="preserve">, create an </w:t>
      </w:r>
      <w:r>
        <w:rPr>
          <w:rStyle w:val="Code"/>
        </w:rPr>
        <w:t>&lt;item&gt;</w:t>
      </w:r>
      <w:r>
        <w:t xml:space="preserve"> element as a container for each list item</w:t>
      </w:r>
    </w:p>
    <w:p>
      <w:pPr>
        <w:pStyle w:val="Lista2"/>
      </w:pPr>
      <w:r>
        <w:rPr>
          <w:rStyle w:val="Code"/>
        </w:rPr>
        <w:t>&lt;item&gt;</w:t>
      </w:r>
      <w:r>
        <w:t xml:space="preserve"> elements are required to tessellate, so a </w:t>
      </w:r>
      <w:r>
        <w:rPr>
          <w:rStyle w:val="Code"/>
        </w:rPr>
        <w:t>&lt;list&gt;</w:t>
      </w:r>
      <w:r>
        <w:t xml:space="preserve"> cannot contain anything outside an </w:t>
      </w:r>
      <w:r>
        <w:rPr>
          <w:rStyle w:val="Code"/>
        </w:rPr>
        <w:t>&lt;item&gt;</w:t>
      </w:r>
    </w:p>
    <w:p>
      <w:pPr>
        <w:pStyle w:val="Lista"/>
      </w:pPr>
      <w:r>
        <w:t>the additional variations of list encoding introduced in §</w:t>
      </w:r>
      <w:r>
        <w:fldChar w:fldCharType="begin"/>
      </w:r>
      <w:r>
        <w:instrText xml:space="preserve"> REF _Ref233279232 \r \h </w:instrText>
      </w:r>
      <w:r>
        <w:fldChar w:fldCharType="separate"/>
      </w:r>
      <w:r>
        <w:t>14.3.3</w:t>
      </w:r>
      <w:r>
        <w:fldChar w:fldCharType="end"/>
      </w:r>
      <w:r>
        <w:t xml:space="preserve"> are not permitted in the edition</w:t>
      </w:r>
    </w:p>
    <w:p>
      <w:pPr>
        <w:pStyle w:val="Cmsor3"/>
      </w:pPr>
      <w:bookmarkStart w:id="63" w:name="_Ref224740501"/>
      <w:bookmarkStart w:id="64" w:name="_Toc242976593"/>
      <w:r>
        <w:t>Verse containers</w:t>
      </w:r>
      <w:bookmarkEnd w:id="62"/>
      <w:bookmarkEnd w:id="63"/>
      <w:bookmarkEnd w:id="64"/>
    </w:p>
    <w:p>
      <w:r>
        <w:t xml:space="preserve">Verse must always be marked up as distinct from prose. Although we segment prose into paragraphs on a semantic basis, verse will only be segmented on a metrical basis. It follows from this that we employ no </w:t>
      </w:r>
      <w:r>
        <w:lastRenderedPageBreak/>
        <w:t xml:space="preserve">special markup for stanzas comprising a semantic unit with preceding or following prose paragraphs or other stanzas. A general illustration of verse encoding is shown in </w:t>
      </w:r>
      <w:r>
        <w:fldChar w:fldCharType="begin"/>
      </w:r>
      <w:r>
        <w:instrText xml:space="preserve"> REF _Ref181625172 \h </w:instrText>
      </w:r>
      <w:r>
        <w:fldChar w:fldCharType="separate"/>
      </w:r>
      <w:r>
        <w:t xml:space="preserve">Exhibit </w:t>
      </w:r>
      <w:r>
        <w:rPr>
          <w:noProof/>
        </w:rPr>
        <w:t>3.2</w:t>
      </w:r>
      <w:r>
        <w:t>.</w:t>
      </w:r>
      <w:r>
        <w:rPr>
          <w:noProof/>
        </w:rPr>
        <w:t>A</w:t>
      </w:r>
      <w:r>
        <w:fldChar w:fldCharType="end"/>
      </w:r>
      <w:r>
        <w:t>, while other exhibits throughout this section illustrate the encoding of various features.</w:t>
      </w:r>
    </w:p>
    <w:p>
      <w:pPr>
        <w:pStyle w:val="Normlbehzs"/>
        <w:rPr>
          <w:lang w:eastAsia="en-US" w:bidi="ar-SA"/>
        </w:rPr>
      </w:pPr>
      <w:r>
        <w:t xml:space="preserve">This section has been written primarily with Sanskrit syllabo-quantitative verse </w:t>
      </w:r>
      <w:r>
        <w:rPr>
          <w:noProof/>
        </w:rPr>
        <w:t>(</w:t>
      </w:r>
      <w:r>
        <w:rPr>
          <w:rStyle w:val="Foreign"/>
        </w:rPr>
        <w:t>varṇavr̥tta</w:t>
      </w:r>
      <w:r>
        <w:t>) in view, but it applies to all verse forms in all languages relevant to our project.</w:t>
      </w:r>
      <w:bookmarkStart w:id="65" w:name="_ddoyoa12vnxb" w:colFirst="0" w:colLast="0"/>
      <w:bookmarkStart w:id="66" w:name="_kb9xljnic52a" w:colFirst="0" w:colLast="0"/>
      <w:bookmarkEnd w:id="65"/>
      <w:bookmarkEnd w:id="66"/>
    </w:p>
    <w:tbl>
      <w:tblPr>
        <w:tblStyle w:val="CodeSampleTable"/>
        <w:tblpPr w:leftFromText="181" w:rightFromText="181" w:vertAnchor="text" w:horzAnchor="margin" w:tblpXSpec="right" w:tblpY="1"/>
        <w:tblOverlap w:val="never"/>
        <w:tblW w:w="4253" w:type="dxa"/>
        <w:tblLook w:val="04A0" w:firstRow="1" w:lastRow="0" w:firstColumn="1" w:lastColumn="0" w:noHBand="0" w:noVBand="1"/>
      </w:tblPr>
      <w:tblGrid>
        <w:gridCol w:w="4253"/>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67" w:name="_Ref181625172"/>
            <w:bookmarkStart w:id="68" w:name="_Ref224721717"/>
            <w:r>
              <w:t xml:space="preserve">Exhibit </w:t>
            </w:r>
            <w:fldSimple w:instr=" STYLEREF 2 \s ">
              <w:r>
                <w:rPr>
                  <w:noProof/>
                </w:rPr>
                <w:t>3.2</w:t>
              </w:r>
            </w:fldSimple>
            <w:r>
              <w:t>.</w:t>
            </w:r>
            <w:fldSimple w:instr=" SEQ Exhibit \* ALPHABETIC \s 2 ">
              <w:r>
                <w:rPr>
                  <w:noProof/>
                </w:rPr>
                <w:t>A</w:t>
              </w:r>
            </w:fldSimple>
            <w:bookmarkEnd w:id="67"/>
            <w:r>
              <w:t>: basic markup for verse structure</w:t>
            </w:r>
            <w:bookmarkEnd w:id="68"/>
          </w:p>
        </w:tc>
      </w:tr>
      <w:tr>
        <w:tc>
          <w:tcPr>
            <w:tcW w:w="5000" w:type="pct"/>
          </w:tcPr>
          <w:p>
            <w:pPr>
              <w:pStyle w:val="CodeParagraph"/>
            </w:pPr>
            <w:r>
              <w:rPr>
                <w:rStyle w:val="Code"/>
              </w:rPr>
              <w:t xml:space="preserve">&lt;lg </w:t>
            </w:r>
            <w:r>
              <w:rPr>
                <w:rStyle w:val="Codeattribute"/>
              </w:rPr>
              <w:t>n</w:t>
            </w:r>
            <w:r>
              <w:rPr>
                <w:rStyle w:val="Code"/>
              </w:rPr>
              <w:t>=</w:t>
            </w:r>
            <w:r>
              <w:rPr>
                <w:rStyle w:val="Codevalue"/>
              </w:rPr>
              <w:t>"3"</w:t>
            </w:r>
            <w:r>
              <w:rPr>
                <w:rStyle w:val="Code"/>
              </w:rPr>
              <w:t xml:space="preserve"> </w:t>
            </w:r>
            <w:r>
              <w:rPr>
                <w:rStyle w:val="Codeattribute"/>
              </w:rPr>
              <w:t>met</w:t>
            </w:r>
            <w:r>
              <w:rPr>
                <w:rStyle w:val="Code"/>
              </w:rPr>
              <w:t>=</w:t>
            </w:r>
            <w:r>
              <w:rPr>
                <w:rStyle w:val="Codevalue"/>
              </w:rPr>
              <w:t>"anuṣṭubh"</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w:t>
            </w:r>
            <w:r>
              <w:rPr>
                <w:rStyle w:val="Code"/>
              </w:rPr>
              <w:t>&gt;</w:t>
            </w:r>
            <w:r>
              <w:rPr>
                <w:rStyle w:val="Codetext"/>
              </w:rPr>
              <w:t>sva-dattāṁ para-dattāṁ vā</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"b"</w:t>
            </w:r>
            <w:r>
              <w:rPr>
                <w:rStyle w:val="Code"/>
              </w:rPr>
              <w:t>&gt;</w:t>
            </w:r>
            <w:r>
              <w:rPr>
                <w:rStyle w:val="Codetext"/>
              </w:rPr>
              <w:t>yo hareta vasundharāM</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&gt;</w:t>
            </w:r>
            <w:r>
              <w:rPr>
                <w:rStyle w:val="Codetext"/>
              </w:rPr>
              <w:t>ṣaṣṭiṁ varṣa-sahasrāṇi</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&gt;</w:t>
            </w:r>
            <w:r>
              <w:rPr>
                <w:rStyle w:val="Codetext"/>
              </w:rPr>
              <w:t>svargge modati bhūmi-daḥ</w:t>
            </w:r>
            <w:r>
              <w:rPr>
                <w:rStyle w:val="Code"/>
              </w:rPr>
              <w:t>&lt;/l&gt;</w:t>
            </w:r>
            <w:r>
              <w:rPr>
                <w:rStyle w:val="Codetext"/>
              </w:rPr>
              <w:br/>
            </w:r>
            <w:r>
              <w:rPr>
                <w:rStyle w:val="Code"/>
              </w:rPr>
              <w:t>&lt;/lg&gt;</w:t>
            </w:r>
          </w:p>
        </w:tc>
      </w:tr>
    </w:tbl>
    <w:p>
      <w:pPr>
        <w:pStyle w:val="Lista"/>
      </w:pPr>
      <w:r>
        <w:t xml:space="preserve">stanzas as a whole must be wrapped in the element </w:t>
      </w:r>
      <w:r>
        <w:rPr>
          <w:rStyle w:val="Code"/>
        </w:rPr>
        <w:t>&lt;lg&gt;</w:t>
      </w:r>
      <w:r>
        <w:t xml:space="preserve"> </w:t>
      </w:r>
      <w:r>
        <w:rPr>
          <w:noProof/>
        </w:rPr>
        <w:t>(</w:t>
      </w:r>
      <w:r>
        <w:t>for “line group”), with the following attributes</w:t>
      </w:r>
    </w:p>
    <w:p>
      <w:pPr>
        <w:pStyle w:val="Lista2"/>
      </w:pPr>
      <w:r>
        <w:t xml:space="preserve">mandatorily, </w:t>
      </w:r>
      <w:r>
        <w:rPr>
          <w:rStyle w:val="Codeattribute"/>
        </w:rPr>
        <w:t>@n</w:t>
      </w:r>
      <w:r>
        <w:t xml:space="preserve"> to assign a number to the stanza </w:t>
      </w:r>
      <w:r>
        <w:rPr>
          <w:noProof/>
        </w:rPr>
        <w:t>as per</w:t>
      </w:r>
      <w:r>
        <w:t xml:space="preserve"> §</w:t>
      </w:r>
      <w:r>
        <w:fldChar w:fldCharType="begin"/>
      </w:r>
      <w:r>
        <w:instrText xml:space="preserve"> REF _Ref181609101 \r \h </w:instrText>
      </w:r>
      <w:r>
        <w:fldChar w:fldCharType="separate"/>
      </w:r>
      <w:r>
        <w:t>3.2.2.1</w:t>
      </w:r>
      <w:r>
        <w:fldChar w:fldCharType="end"/>
      </w:r>
    </w:p>
    <w:p>
      <w:pPr>
        <w:pStyle w:val="Lista2"/>
      </w:pPr>
      <w:r>
        <w:t xml:space="preserve">mandatorily, </w:t>
      </w:r>
      <w:r>
        <w:rPr>
          <w:rStyle w:val="Codeattribute"/>
        </w:rPr>
        <w:t>@met</w:t>
      </w:r>
      <w:r>
        <w:t xml:space="preserve"> to identify the metre of the stanza by a conventional name </w:t>
      </w:r>
      <w:r>
        <w:rPr>
          <w:noProof/>
        </w:rPr>
        <w:t xml:space="preserve">as per </w:t>
      </w:r>
      <w:r>
        <w:t>§</w:t>
      </w:r>
      <w:r>
        <w:fldChar w:fldCharType="begin"/>
      </w:r>
      <w:r>
        <w:instrText xml:space="preserve"> REF _Ref225323884 \r \h </w:instrText>
      </w:r>
      <w:r>
        <w:fldChar w:fldCharType="separate"/>
      </w:r>
      <w:r>
        <w:t>3.3.1</w:t>
      </w:r>
      <w:r>
        <w:fldChar w:fldCharType="end"/>
      </w:r>
    </w:p>
    <w:p>
      <w:pPr>
        <w:pStyle w:val="Lista2"/>
      </w:pPr>
      <w:r>
        <w:t xml:space="preserve">as applicable, </w:t>
      </w:r>
      <w:r>
        <w:rPr>
          <w:rStyle w:val="Codeattribute"/>
        </w:rPr>
        <w:t>@part</w:t>
      </w:r>
      <w:r>
        <w:t xml:space="preserve"> for incomplete stanzas as per §</w:t>
      </w:r>
      <w:r>
        <w:fldChar w:fldCharType="begin"/>
      </w:r>
      <w:r>
        <w:instrText xml:space="preserve"> REF _Ref228980509 \r \h </w:instrText>
      </w:r>
      <w:r>
        <w:fldChar w:fldCharType="separate"/>
      </w:r>
      <w:r>
        <w:t>3.2.3.1</w:t>
      </w:r>
      <w:r>
        <w:fldChar w:fldCharType="end"/>
      </w:r>
      <w:r>
        <w:t xml:space="preserve"> </w:t>
      </w:r>
    </w:p>
    <w:p>
      <w:pPr>
        <w:pStyle w:val="Lista"/>
      </w:pPr>
      <w:r>
        <w:t xml:space="preserve">within a stanza, each individual line must be wrapped in </w:t>
      </w:r>
      <w:r>
        <w:rPr>
          <w:rStyle w:val="Code"/>
        </w:rPr>
        <w:t>&lt;l&gt;</w:t>
      </w:r>
      <w:r>
        <w:t xml:space="preserve"> </w:t>
      </w:r>
      <w:r>
        <w:rPr>
          <w:noProof/>
        </w:rPr>
        <w:t>(</w:t>
      </w:r>
      <w:r>
        <w:t>for “line”), with the following attributes</w:t>
      </w:r>
    </w:p>
    <w:p>
      <w:pPr>
        <w:pStyle w:val="Lista2"/>
      </w:pPr>
      <w:r>
        <w:t xml:space="preserve">mandatorily, </w:t>
      </w:r>
      <w:r>
        <w:rPr>
          <w:rStyle w:val="Codeattribute"/>
        </w:rPr>
        <w:t>@n</w:t>
      </w:r>
      <w:r>
        <w:t xml:space="preserve"> to assign a number to the line as per §</w:t>
      </w:r>
      <w:r>
        <w:fldChar w:fldCharType="begin"/>
      </w:r>
      <w:r>
        <w:instrText xml:space="preserve"> REF _Ref181706499 \r \h </w:instrText>
      </w:r>
      <w:r>
        <w:fldChar w:fldCharType="separate"/>
      </w:r>
      <w:r>
        <w:t>3.2.2.2</w:t>
      </w:r>
      <w:r>
        <w:fldChar w:fldCharType="end"/>
      </w:r>
    </w:p>
    <w:p>
      <w:pPr>
        <w:pStyle w:val="Lista2"/>
      </w:pPr>
      <w:r>
        <w:t xml:space="preserve">as applicable, </w:t>
      </w:r>
      <w:r>
        <w:rPr>
          <w:rStyle w:val="Codeattribute"/>
        </w:rPr>
        <w:t>@met</w:t>
      </w:r>
      <w:r>
        <w:t xml:space="preserve"> (§</w:t>
      </w:r>
      <w:r>
        <w:fldChar w:fldCharType="begin"/>
      </w:r>
      <w:r>
        <w:instrText xml:space="preserve"> REF _Ref225323861 \r \h </w:instrText>
      </w:r>
      <w:r>
        <w:fldChar w:fldCharType="separate"/>
      </w:r>
      <w:r>
        <w:t>3.3.1</w:t>
      </w:r>
      <w:r>
        <w:fldChar w:fldCharType="end"/>
      </w:r>
      <w:r>
        <w:t xml:space="preserve">) and/or </w:t>
      </w:r>
      <w:r>
        <w:rPr>
          <w:rStyle w:val="Codeattribute"/>
        </w:rPr>
        <w:t>@real</w:t>
      </w:r>
      <w:r>
        <w:t xml:space="preserve"> (§</w:t>
      </w:r>
      <w:r>
        <w:fldChar w:fldCharType="begin"/>
      </w:r>
      <w:r>
        <w:instrText xml:space="preserve"> REF _Ref181701741 \r \h </w:instrText>
      </w:r>
      <w:r>
        <w:fldChar w:fldCharType="separate"/>
      </w:r>
      <w:r>
        <w:t>3.3.2</w:t>
      </w:r>
      <w:r>
        <w:fldChar w:fldCharType="end"/>
      </w:r>
      <w:r>
        <w:t>) for lines that do not conform to the metrical template of the parent stanza, as called for in the subsections of §</w:t>
      </w:r>
      <w:r>
        <w:fldChar w:fldCharType="begin"/>
      </w:r>
      <w:r>
        <w:instrText xml:space="preserve"> REF _Ref225324441 \r \h </w:instrText>
      </w:r>
      <w:r>
        <w:fldChar w:fldCharType="separate"/>
      </w:r>
      <w:r>
        <w:t>3.3.3.1</w:t>
      </w:r>
      <w:r>
        <w:fldChar w:fldCharType="end"/>
      </w:r>
      <w:r>
        <w:t xml:space="preserve"> </w:t>
      </w:r>
    </w:p>
    <w:p>
      <w:pPr>
        <w:pStyle w:val="Lista2"/>
      </w:pPr>
      <w:r>
        <w:t xml:space="preserve">as applicable, </w:t>
      </w:r>
      <w:r>
        <w:rPr>
          <w:rStyle w:val="Codeattribute"/>
        </w:rPr>
        <w:t>@enjamb</w:t>
      </w:r>
      <w:r>
        <w:t xml:space="preserve"> (§</w:t>
      </w:r>
      <w:r>
        <w:fldChar w:fldCharType="begin"/>
      </w:r>
      <w:r>
        <w:instrText xml:space="preserve"> REF _Ref224901083 \r \h </w:instrText>
      </w:r>
      <w:r>
        <w:fldChar w:fldCharType="separate"/>
      </w:r>
      <w:r>
        <w:t>3.2.4.1</w:t>
      </w:r>
      <w:r>
        <w:fldChar w:fldCharType="end"/>
      </w:r>
      <w:r>
        <w:t xml:space="preserve">) with the value </w:t>
      </w:r>
      <w:r>
        <w:rPr>
          <w:rStyle w:val="Codevalue"/>
        </w:rPr>
        <w:t>"yes"</w:t>
      </w:r>
      <w:r>
        <w:t xml:space="preserve"> for lines which do not end at a word boundary</w:t>
      </w:r>
    </w:p>
    <w:p>
      <w:pPr>
        <w:pStyle w:val="Lista2"/>
      </w:pPr>
      <w:r>
        <w:t xml:space="preserve">as applicable, </w:t>
      </w:r>
      <w:r>
        <w:rPr>
          <w:rStyle w:val="Codeattribute"/>
        </w:rPr>
        <w:t>@part</w:t>
      </w:r>
      <w:r>
        <w:t xml:space="preserve"> for incomplete lines as per §</w:t>
      </w:r>
      <w:r>
        <w:fldChar w:fldCharType="begin"/>
      </w:r>
      <w:r>
        <w:instrText xml:space="preserve"> REF _Ref228980509 \r \h </w:instrText>
      </w:r>
      <w:r>
        <w:fldChar w:fldCharType="separate"/>
      </w:r>
      <w:r>
        <w:t>3.2.3.1</w:t>
      </w:r>
      <w:r>
        <w:fldChar w:fldCharType="end"/>
      </w:r>
      <w:r>
        <w:t xml:space="preserve"> </w:t>
      </w:r>
    </w:p>
    <w:p>
      <w:pPr>
        <w:pStyle w:val="Lista"/>
      </w:pPr>
      <w:r>
        <w:t>editorial punctuation must never be supplied for the ends of hemistichs and stanzas</w:t>
      </w:r>
    </w:p>
    <w:p>
      <w:pPr>
        <w:pStyle w:val="Lista"/>
      </w:pPr>
      <w:r>
        <w:t>any original punctuation must be retained at its actual locus, following the usual method for encoding peripheral graphemes (§</w:t>
      </w:r>
      <w:r>
        <w:fldChar w:fldCharType="begin"/>
      </w:r>
      <w:r>
        <w:instrText xml:space="preserve"> REF _Ref226033363 \r \h </w:instrText>
      </w:r>
      <w:r>
        <w:fldChar w:fldCharType="separate"/>
      </w:r>
      <w:r>
        <w:t>5.3</w:t>
      </w:r>
      <w:r>
        <w:fldChar w:fldCharType="end"/>
      </w:r>
      <w:r>
        <w:t>)</w:t>
      </w:r>
    </w:p>
    <w:p>
      <w:pPr>
        <w:pStyle w:val="Cmsor4"/>
      </w:pPr>
      <w:bookmarkStart w:id="69" w:name="_ean8zao6bcdz" w:colFirst="0" w:colLast="0"/>
      <w:bookmarkStart w:id="70" w:name="_Ref181609101"/>
      <w:bookmarkStart w:id="71" w:name="_Ref181699020"/>
      <w:bookmarkStart w:id="72" w:name="_Ref224900137"/>
      <w:bookmarkStart w:id="73" w:name="_Ref134018245"/>
      <w:bookmarkEnd w:id="69"/>
      <w:r>
        <w:t>Numbering</w:t>
      </w:r>
      <w:bookmarkEnd w:id="70"/>
      <w:r>
        <w:t xml:space="preserve"> stanzas</w:t>
      </w:r>
    </w:p>
    <w:p>
      <w:pPr>
        <w:pStyle w:val="Lista"/>
      </w:pPr>
      <w:r>
        <w:rPr>
          <w:b/>
          <w:bCs/>
        </w:rPr>
        <w:t>editorial numeration</w:t>
      </w:r>
      <w:r>
        <w:t xml:space="preserve"> must never be supplied in the text of stanzas</w:t>
      </w:r>
    </w:p>
    <w:p>
      <w:pPr>
        <w:pStyle w:val="Lista"/>
      </w:pPr>
      <w:r>
        <w:t xml:space="preserve">instead, every stanza in your edition must have a number encoded in the </w:t>
      </w:r>
      <w:r>
        <w:rPr>
          <w:rStyle w:val="Codeattribute"/>
        </w:rPr>
        <w:t>@n</w:t>
      </w:r>
      <w:r>
        <w:t xml:space="preserve"> attribute of the corresponding </w:t>
      </w:r>
      <w:r>
        <w:rPr>
          <w:rStyle w:val="Code"/>
        </w:rPr>
        <w:t>&lt;lg&gt;</w:t>
      </w:r>
      <w:r>
        <w:t xml:space="preserve"> element</w:t>
      </w:r>
    </w:p>
    <w:p>
      <w:pPr>
        <w:pStyle w:val="Lista"/>
      </w:pPr>
      <w:r>
        <w:t xml:space="preserve">the value of </w:t>
      </w:r>
      <w:r>
        <w:rPr>
          <w:rStyle w:val="Codeattribute"/>
        </w:rPr>
        <w:t>@n</w:t>
      </w:r>
      <w:r>
        <w:t xml:space="preserve"> must always be an Arabic numeral, as a rule starting from 1</w:t>
      </w:r>
    </w:p>
    <w:p>
      <w:pPr>
        <w:pStyle w:val="Lista2"/>
      </w:pPr>
      <w:r>
        <w:t>never start stanza numbers from 0</w:t>
      </w:r>
    </w:p>
    <w:p>
      <w:pPr>
        <w:pStyle w:val="Lista2"/>
      </w:pPr>
      <w:r>
        <w:t>the first stanza of a text may be numbered other than 1 if so dictated by circumstances (e.g. in a text whose beginning is lost, but the number of stanzas preceding the first extant one can be estimated)</w:t>
      </w:r>
    </w:p>
    <w:p>
      <w:pPr>
        <w:pStyle w:val="Lista"/>
      </w:pPr>
      <w:r>
        <w:t xml:space="preserve">by default, stanzas shall be numbered consecutively throughout an inscription, except when an inscription includes boxlike partitions </w:t>
      </w:r>
      <w:r>
        <w:rPr>
          <w:noProof/>
        </w:rPr>
        <w:t>(</w:t>
      </w:r>
      <w:r>
        <w:t>§</w:t>
      </w:r>
      <w:r>
        <w:fldChar w:fldCharType="begin"/>
      </w:r>
      <w:r>
        <w:instrText xml:space="preserve"> REF _Ref225778181 \r \h </w:instrText>
      </w:r>
      <w:r>
        <w:fldChar w:fldCharType="separate"/>
      </w:r>
      <w:r>
        <w:t>4.2</w:t>
      </w:r>
      <w:r>
        <w:fldChar w:fldCharType="end"/>
      </w:r>
      <w:r>
        <w:t>), in which case stanza numbering is normally restarted in each textpart division (§</w:t>
      </w:r>
      <w:r>
        <w:fldChar w:fldCharType="begin"/>
      </w:r>
      <w:r>
        <w:instrText xml:space="preserve"> REF _Ref225324541 \r \h </w:instrText>
      </w:r>
      <w:r>
        <w:fldChar w:fldCharType="separate"/>
      </w:r>
      <w:r>
        <w:t>4.2.1.4</w:t>
      </w:r>
      <w:r>
        <w:fldChar w:fldCharType="end"/>
      </w:r>
      <w:r>
        <w:t>)</w:t>
      </w:r>
    </w:p>
    <w:p>
      <w:pPr>
        <w:pStyle w:val="Lista2"/>
      </w:pPr>
      <w:r>
        <w:t xml:space="preserve">however, stanza numbering must never be reset after pagelike partitions </w:t>
      </w:r>
      <w:r>
        <w:rPr>
          <w:noProof/>
        </w:rPr>
        <w:t>(</w:t>
      </w:r>
      <w:r>
        <w:t>§</w:t>
      </w:r>
      <w:r>
        <w:fldChar w:fldCharType="begin"/>
      </w:r>
      <w:r>
        <w:instrText xml:space="preserve"> REF _Ref43986994 \r \h </w:instrText>
      </w:r>
      <w:r>
        <w:fldChar w:fldCharType="separate"/>
      </w:r>
      <w:r>
        <w:t>4.4.4</w:t>
      </w:r>
      <w:r>
        <w:fldChar w:fldCharType="end"/>
      </w:r>
      <w:r>
        <w:t>)</w:t>
      </w:r>
    </w:p>
    <w:p>
      <w:pPr>
        <w:pStyle w:val="Lista"/>
      </w:pPr>
      <w:bookmarkStart w:id="74" w:name="_6q9v7bx41h3i" w:colFirst="0" w:colLast="0"/>
      <w:bookmarkStart w:id="75" w:name="_Ref43980265"/>
      <w:bookmarkEnd w:id="74"/>
      <w:r>
        <w:rPr>
          <w:b/>
          <w:bCs/>
        </w:rPr>
        <w:t>original stanza numbers</w:t>
      </w:r>
      <w:r>
        <w:t>, if present, must be treated as part of the text, i.e.</w:t>
      </w:r>
    </w:p>
    <w:p>
      <w:pPr>
        <w:pStyle w:val="Lista2"/>
      </w:pPr>
      <w:r>
        <w:t xml:space="preserve">placed at their actual locus within the </w:t>
      </w:r>
      <w:r>
        <w:rPr>
          <w:rStyle w:val="Code"/>
        </w:rPr>
        <w:t>&lt;l&gt;</w:t>
      </w:r>
      <w:r>
        <w:t xml:space="preserve"> element for the line in which they appear</w:t>
      </w:r>
    </w:p>
    <w:p>
      <w:pPr>
        <w:pStyle w:val="Lista2"/>
      </w:pPr>
      <w:r>
        <w:t xml:space="preserve">tagged as any other number in the text </w:t>
      </w:r>
      <w:r>
        <w:rPr>
          <w:noProof/>
        </w:rPr>
        <w:t>(</w:t>
      </w:r>
      <w:r>
        <w:t>see §</w:t>
      </w:r>
      <w:r>
        <w:fldChar w:fldCharType="begin"/>
      </w:r>
      <w:r>
        <w:instrText xml:space="preserve"> REF _Ref43980607 \r \h  \* MERGEFORMAT </w:instrText>
      </w:r>
      <w:r>
        <w:fldChar w:fldCharType="separate"/>
      </w:r>
      <w:r>
        <w:t>9.1</w:t>
      </w:r>
      <w:r>
        <w:fldChar w:fldCharType="end"/>
      </w:r>
      <w:r>
        <w:t xml:space="preserve"> about encoding the value of numerals, and §</w:t>
      </w:r>
      <w:r>
        <w:fldChar w:fldCharType="begin"/>
      </w:r>
      <w:r>
        <w:instrText xml:space="preserve"> REF _Ref182551676 \r \h </w:instrText>
      </w:r>
      <w:r>
        <w:fldChar w:fldCharType="separate"/>
      </w:r>
      <w:r>
        <w:t>5.3.5</w:t>
      </w:r>
      <w:r>
        <w:fldChar w:fldCharType="end"/>
      </w:r>
      <w:r>
        <w:t xml:space="preserve"> about numeric characters other than decimal digits)</w:t>
      </w:r>
    </w:p>
    <w:p>
      <w:pPr>
        <w:pStyle w:val="Lista"/>
      </w:pPr>
      <w:r>
        <w:t>if a text includes original stanza numeration, editorial stanza numbering must still follow the rules stated above, even if this results in a discrepancy with the original numbering</w:t>
      </w:r>
    </w:p>
    <w:p>
      <w:pPr>
        <w:pStyle w:val="Cmsor4"/>
      </w:pPr>
      <w:bookmarkStart w:id="76" w:name="_Ref181706499"/>
      <w:bookmarkEnd w:id="75"/>
      <w:r>
        <w:t>Numbering</w:t>
      </w:r>
      <w:bookmarkEnd w:id="76"/>
      <w:r>
        <w:t xml:space="preserve"> verse lines</w:t>
      </w:r>
    </w:p>
    <w:p>
      <w:pPr>
        <w:pStyle w:val="Lista"/>
      </w:pPr>
      <w:r>
        <w:t xml:space="preserve">every verse line encoded as </w:t>
      </w:r>
      <w:r>
        <w:rPr>
          <w:rStyle w:val="Code"/>
        </w:rPr>
        <w:t>&lt;l&gt;</w:t>
      </w:r>
      <w:r>
        <w:t xml:space="preserve"> must be editorially numbered with </w:t>
      </w:r>
      <w:r>
        <w:rPr>
          <w:rStyle w:val="Codeattribute"/>
        </w:rPr>
        <w:t>@n</w:t>
      </w:r>
      <w:r>
        <w:t xml:space="preserve"> elements</w:t>
      </w:r>
    </w:p>
    <w:p>
      <w:pPr>
        <w:pStyle w:val="Lista"/>
      </w:pPr>
      <w:r>
        <w:t xml:space="preserve">the value of </w:t>
      </w:r>
      <w:r>
        <w:rPr>
          <w:rStyle w:val="Codeattribute"/>
        </w:rPr>
        <w:t>@n</w:t>
      </w:r>
      <w:r>
        <w:t xml:space="preserve"> shall be as follows</w:t>
      </w:r>
    </w:p>
    <w:p>
      <w:pPr>
        <w:pStyle w:val="Lista2"/>
      </w:pPr>
      <w:r>
        <w:t xml:space="preserve">use lowercase Latin letters </w:t>
      </w:r>
      <w:r>
        <w:rPr>
          <w:noProof/>
        </w:rPr>
        <w:t>(</w:t>
      </w:r>
      <w:r>
        <w:t xml:space="preserve">a, b, c, d; continued if necessary in exceptional cases) in general and by default, as in </w:t>
      </w:r>
      <w:r>
        <w:fldChar w:fldCharType="begin"/>
      </w:r>
      <w:r>
        <w:instrText xml:space="preserve"> REF _Ref181625172 \h </w:instrText>
      </w:r>
      <w:r>
        <w:fldChar w:fldCharType="separate"/>
      </w:r>
      <w:r>
        <w:t xml:space="preserve">Exhibit </w:t>
      </w:r>
      <w:r>
        <w:rPr>
          <w:noProof/>
        </w:rPr>
        <w:t>3.2</w:t>
      </w:r>
      <w:r>
        <w:t>.</w:t>
      </w:r>
      <w:r>
        <w:rPr>
          <w:noProof/>
        </w:rPr>
        <w:t>A</w:t>
      </w:r>
      <w:r>
        <w:fldChar w:fldCharType="end"/>
      </w:r>
    </w:p>
    <w:p>
      <w:pPr>
        <w:pStyle w:val="Lista2"/>
      </w:pPr>
      <w:r>
        <w:t xml:space="preserve">use pairs of lowercase Latin letters </w:t>
      </w:r>
      <w:r>
        <w:rPr>
          <w:noProof/>
        </w:rPr>
        <w:t>(</w:t>
      </w:r>
      <w:r>
        <w:t xml:space="preserve">ab, cd; continued if necessary in exceptional cases) in Sanskritic moraic verse, where </w:t>
      </w:r>
      <w:r>
        <w:rPr>
          <w:rStyle w:val="Code"/>
        </w:rPr>
        <w:t>&lt;l&gt;</w:t>
      </w:r>
      <w:r>
        <w:t xml:space="preserve"> elements correspond to hemistichs by our convention, as in </w:t>
      </w:r>
      <w:r>
        <w:fldChar w:fldCharType="begin"/>
      </w:r>
      <w:r>
        <w:instrText xml:space="preserve"> REF _Ref181625483 \h </w:instrText>
      </w:r>
      <w:r>
        <w:fldChar w:fldCharType="separate"/>
      </w:r>
      <w:r>
        <w:t xml:space="preserve">Exhibit </w:t>
      </w:r>
      <w:r>
        <w:rPr>
          <w:noProof/>
        </w:rPr>
        <w:t>3.2</w:t>
      </w:r>
      <w:r>
        <w:t>.</w:t>
      </w:r>
      <w:r>
        <w:rPr>
          <w:noProof/>
        </w:rPr>
        <w:t>B</w:t>
      </w:r>
      <w:r>
        <w:fldChar w:fldCharType="end"/>
      </w:r>
    </w:p>
    <w:p>
      <w:pPr>
        <w:pStyle w:val="Lista2"/>
      </w:pPr>
      <w:r>
        <w:t xml:space="preserve">use Arabic numerals </w:t>
      </w:r>
      <w:r>
        <w:rPr>
          <w:noProof/>
        </w:rPr>
        <w:t>(</w:t>
      </w:r>
      <w:r>
        <w:t>1, 2, 3, etc.) in verse where stanzas do not have a conventionally set number of lines, including</w:t>
      </w:r>
    </w:p>
    <w:p>
      <w:pPr>
        <w:pStyle w:val="Lista3"/>
      </w:pPr>
      <w:r>
        <w:lastRenderedPageBreak/>
        <w:t xml:space="preserve">Tamil verse, as in </w:t>
      </w:r>
      <w:r>
        <w:fldChar w:fldCharType="begin"/>
      </w:r>
      <w:r>
        <w:instrText xml:space="preserve"> REF _Ref181698022 \h </w:instrText>
      </w:r>
      <w:r>
        <w:fldChar w:fldCharType="separate"/>
      </w:r>
      <w:r>
        <w:t xml:space="preserve">Exhibit </w:t>
      </w:r>
      <w:r>
        <w:rPr>
          <w:noProof/>
        </w:rPr>
        <w:t>3.2</w:t>
      </w:r>
      <w:r>
        <w:t>.</w:t>
      </w:r>
      <w:r>
        <w:rPr>
          <w:noProof/>
        </w:rPr>
        <w:t>C</w:t>
      </w:r>
      <w:r>
        <w:fldChar w:fldCharType="end"/>
      </w:r>
    </w:p>
    <w:p>
      <w:pPr>
        <w:pStyle w:val="Lista3"/>
      </w:pPr>
      <w:r>
        <w:t>free octosyllabic versification found in some Old Sundanese and Old Javanese works</w:t>
      </w:r>
    </w:p>
    <w:p>
      <w:pPr>
        <w:pStyle w:val="Lista3"/>
      </w:pPr>
      <w:r>
        <w:t>free verse (§</w:t>
      </w:r>
      <w:r>
        <w:fldChar w:fldCharType="begin"/>
      </w:r>
      <w:r>
        <w:instrText xml:space="preserve"> REF _Ref224727363 \r \h </w:instrText>
      </w:r>
      <w:r>
        <w:fldChar w:fldCharType="separate"/>
      </w:r>
      <w:r>
        <w:t>3.3.3.4</w:t>
      </w:r>
      <w:r>
        <w:fldChar w:fldCharType="end"/>
      </w:r>
      <w:r>
        <w:t>)</w:t>
      </w:r>
    </w:p>
    <w:p>
      <w:pPr>
        <w:pStyle w:val="Lista"/>
      </w:pPr>
      <w:bookmarkStart w:id="77" w:name="_7tlyzfn6s88r" w:colFirst="0" w:colLast="0"/>
      <w:bookmarkEnd w:id="77"/>
      <w:r>
        <w:t xml:space="preserve">for stanzas anomalously consisting of more or fewer than the expected number of lines, simply encode the actual number of lines, numbering them in sequence </w:t>
      </w:r>
      <w:r>
        <w:rPr>
          <w:noProof/>
        </w:rPr>
        <w:t xml:space="preserve">and </w:t>
      </w:r>
      <w:r>
        <w:t>extending the applicable numbering scheme as needed</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78" w:name="_Ref181625483"/>
            <w:r>
              <w:t xml:space="preserve">Exhibit </w:t>
            </w:r>
            <w:fldSimple w:instr=" STYLEREF 2 \s ">
              <w:r>
                <w:rPr>
                  <w:noProof/>
                </w:rPr>
                <w:t>3.2</w:t>
              </w:r>
            </w:fldSimple>
            <w:r>
              <w:t>.</w:t>
            </w:r>
            <w:fldSimple w:instr=" SEQ Exhibit \* ALPHABETIC \s 2 ">
              <w:r>
                <w:rPr>
                  <w:noProof/>
                </w:rPr>
                <w:t>B</w:t>
              </w:r>
            </w:fldSimple>
            <w:bookmarkEnd w:id="78"/>
            <w:r>
              <w:t xml:space="preserve">: line numbering in </w:t>
            </w:r>
            <w:r>
              <w:rPr>
                <w:rStyle w:val="Foreign"/>
              </w:rPr>
              <w:t>moraic</w:t>
            </w:r>
            <w:r>
              <w:t xml:space="preserve"> verse</w:t>
            </w:r>
          </w:p>
        </w:tc>
      </w:tr>
      <w:tr>
        <w:tc>
          <w:tcPr>
            <w:tcW w:w="5000" w:type="pct"/>
          </w:tcPr>
          <w:p>
            <w:pPr>
              <w:pStyle w:val="CodeParagraph"/>
              <w:keepNext/>
            </w:pPr>
            <w:r>
              <w:rPr>
                <w:rStyle w:val="Code"/>
              </w:rPr>
              <w:t xml:space="preserve">&lt;lg </w:t>
            </w:r>
            <w:r>
              <w:rPr>
                <w:rStyle w:val="Codeattribute"/>
              </w:rPr>
              <w:t>n</w:t>
            </w:r>
            <w:r>
              <w:rPr>
                <w:rStyle w:val="Code"/>
              </w:rPr>
              <w:t>=</w:t>
            </w:r>
            <w:r>
              <w:rPr>
                <w:rStyle w:val="Codevalue"/>
              </w:rPr>
              <w:t>"42"</w:t>
            </w:r>
            <w:r>
              <w:rPr>
                <w:rStyle w:val="Code"/>
              </w:rPr>
              <w:t xml:space="preserve"> </w:t>
            </w:r>
            <w:r>
              <w:rPr>
                <w:rStyle w:val="Codeattribute"/>
              </w:rPr>
              <w:t>met</w:t>
            </w:r>
            <w:r>
              <w:rPr>
                <w:rStyle w:val="Code"/>
              </w:rPr>
              <w:t>=</w:t>
            </w:r>
            <w:r>
              <w:rPr>
                <w:rStyle w:val="Codevalue"/>
              </w:rPr>
              <w:t>"āryā"</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"ab"</w:t>
            </w:r>
            <w:r>
              <w:rPr>
                <w:rStyle w:val="Code"/>
              </w:rPr>
              <w:t>&gt;</w:t>
            </w:r>
            <w:r>
              <w:rPr>
                <w:rStyle w:val="Codetext"/>
              </w:rPr>
              <w:t>śaśineva nabho vimalaṁ kaustubha-maṇineva śārṅgiṇo vakṣaḥ|</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"cd"</w:t>
            </w:r>
            <w:r>
              <w:rPr>
                <w:rStyle w:val="Code"/>
              </w:rPr>
              <w:t>&gt;</w:t>
            </w:r>
            <w:r>
              <w:rPr>
                <w:rStyle w:val="Codetext"/>
              </w:rPr>
              <w:t>bhavana-vareṇa tathedaṁ puram akhilam alaṁkr̥tam udāraṁ||</w:t>
            </w:r>
            <w:r>
              <w:rPr>
                <w:rStyle w:val="Code"/>
              </w:rPr>
              <w:t>&lt;/l&gt;</w:t>
            </w:r>
            <w:r>
              <w:rPr>
                <w:rStyle w:val="Codetext"/>
              </w:rPr>
              <w:br/>
            </w:r>
            <w:r>
              <w:rPr>
                <w:rStyle w:val="Code"/>
              </w:rPr>
              <w:t>&lt;/lg&gt;</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79" w:name="_Ref181698022"/>
            <w:r>
              <w:t xml:space="preserve">Exhibit </w:t>
            </w:r>
            <w:fldSimple w:instr=" STYLEREF 2 \s ">
              <w:r>
                <w:rPr>
                  <w:noProof/>
                </w:rPr>
                <w:t>3.2</w:t>
              </w:r>
            </w:fldSimple>
            <w:r>
              <w:t>.</w:t>
            </w:r>
            <w:fldSimple w:instr=" SEQ Exhibit \* ALPHABETIC \s 2 ">
              <w:r>
                <w:rPr>
                  <w:noProof/>
                </w:rPr>
                <w:t>C</w:t>
              </w:r>
            </w:fldSimple>
            <w:bookmarkEnd w:id="79"/>
            <w:r>
              <w:t>: line numbering in Tamil verse</w:t>
            </w:r>
          </w:p>
        </w:tc>
      </w:tr>
      <w:tr>
        <w:tc>
          <w:tcPr>
            <w:tcW w:w="5000" w:type="pct"/>
          </w:tcPr>
          <w:p>
            <w:pPr>
              <w:pStyle w:val="CodeParagraph"/>
              <w:rPr>
                <w:rStyle w:val="Code"/>
              </w:rPr>
            </w:pP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"āciriyappā"</w:t>
            </w:r>
            <w:r>
              <w:rPr>
                <w:rStyle w:val="Code"/>
              </w:rPr>
              <w:t>&gt;</w:t>
            </w:r>
            <w:r>
              <w:rPr>
                <w:rStyle w:val="Codetext"/>
              </w:rPr>
              <w:br/>
            </w:r>
            <w:r>
              <w:rPr>
                <w:rStyle w:val="Code"/>
              </w:rPr>
              <w:t xml:space="preserve">  &lt;l </w:t>
            </w:r>
            <w:r>
              <w:rPr>
                <w:rStyle w:val="Codeattribute"/>
              </w:rPr>
              <w:t>n=</w:t>
            </w:r>
            <w:r>
              <w:rPr>
                <w:rStyle w:val="Codevalue"/>
              </w:rPr>
              <w:t>"1"</w:t>
            </w:r>
            <w:r>
              <w:rPr>
                <w:rStyle w:val="Code"/>
              </w:rPr>
              <w:t>&gt;</w:t>
            </w:r>
            <w:r>
              <w:rPr>
                <w:rStyle w:val="Codetext"/>
              </w:rPr>
              <w:t>tiṅkaḷēr taru taṉ toṅkal veṇ-kuṭai-k kīḻ</w:t>
            </w:r>
            <w:r>
              <w:rPr>
                <w:rStyle w:val="Code"/>
              </w:rPr>
              <w:t>&lt;/l&gt;</w:t>
            </w:r>
          </w:p>
          <w:p>
            <w:pPr>
              <w:pStyle w:val="CodeParagraph"/>
              <w:rPr>
                <w:rStyle w:val="Code"/>
              </w:rPr>
            </w:pPr>
            <w:r>
              <w:rPr>
                <w:rStyle w:val="Code"/>
              </w:rPr>
              <w:t xml:space="preserve">  &lt;l </w:t>
            </w:r>
            <w:r>
              <w:rPr>
                <w:rStyle w:val="Codeattribute"/>
              </w:rPr>
              <w:t>n=</w:t>
            </w:r>
            <w:r>
              <w:rPr>
                <w:rStyle w:val="Codevalue"/>
              </w:rPr>
              <w:t>"2"</w:t>
            </w:r>
            <w:r>
              <w:rPr>
                <w:rStyle w:val="Code"/>
              </w:rPr>
              <w:t>&gt;</w:t>
            </w:r>
            <w:r>
              <w:rPr>
                <w:rStyle w:val="Codetext"/>
              </w:rPr>
              <w:t>nila-makaḷ nilava malar-makaṭ-p puṇara</w:t>
            </w:r>
            <w:r>
              <w:rPr>
                <w:rStyle w:val="Code"/>
              </w:rPr>
              <w:t>&lt;/l&gt;</w:t>
            </w:r>
          </w:p>
          <w:p>
            <w:pPr>
              <w:pStyle w:val="CodeParagraph"/>
              <w:rPr>
                <w:rStyle w:val="Code"/>
              </w:rPr>
            </w:pPr>
            <w:r>
              <w:rPr>
                <w:rStyle w:val="Code"/>
              </w:rPr>
              <w:t xml:space="preserve">  &lt;l </w:t>
            </w:r>
            <w:r>
              <w:rPr>
                <w:rStyle w:val="Codeattribute"/>
              </w:rPr>
              <w:t>n=</w:t>
            </w:r>
            <w:r>
              <w:rPr>
                <w:rStyle w:val="Codevalue"/>
              </w:rPr>
              <w:t>"3"</w:t>
            </w:r>
            <w:r>
              <w:rPr>
                <w:rStyle w:val="Code"/>
              </w:rPr>
              <w:t>&gt;</w:t>
            </w:r>
            <w:r>
              <w:rPr>
                <w:rStyle w:val="Codetext"/>
              </w:rPr>
              <w:t>ceṅkol ōcci-k karuṅ kali kaṭintuṭaṉ</w:t>
            </w:r>
            <w:r>
              <w:rPr>
                <w:rStyle w:val="Code"/>
              </w:rPr>
              <w:t>&lt;/l&gt;</w:t>
            </w:r>
          </w:p>
          <w:p>
            <w:pPr>
              <w:pStyle w:val="CodeParagraph"/>
            </w:pPr>
            <w:r>
              <w:rPr>
                <w:rStyle w:val="Codetext"/>
              </w:rPr>
              <w:t xml:space="preserve">  ...</w:t>
            </w:r>
            <w:r>
              <w:rPr>
                <w:rStyle w:val="Codetext"/>
              </w:rPr>
              <w:br/>
            </w:r>
            <w:r>
              <w:rPr>
                <w:rStyle w:val="Code"/>
              </w:rPr>
              <w:t>&lt;/lg&gt;</w:t>
            </w:r>
          </w:p>
        </w:tc>
      </w:tr>
    </w:tbl>
    <w:p>
      <w:pPr>
        <w:pStyle w:val="Cmsor3"/>
      </w:pPr>
      <w:bookmarkStart w:id="80" w:name="_Ref224901082"/>
      <w:bookmarkStart w:id="81" w:name="_Toc242976594"/>
      <w:r>
        <w:t>Interrupted container boundaries</w:t>
      </w:r>
      <w:bookmarkEnd w:id="81"/>
    </w:p>
    <w:p>
      <w:pPr>
        <w:pStyle w:val="Cmsor4"/>
      </w:pPr>
      <w:bookmarkStart w:id="82" w:name="_Ref228980509"/>
      <w:r>
        <w:t>Block-level containers split into parts</w:t>
      </w:r>
      <w:bookmarkEnd w:id="82"/>
    </w:p>
    <w:p>
      <w:r>
        <w:t>Paragraphs and stanzas (sometimes along with verse lines) may be split into non-contiguous parts in a text, typically in one of three scenarios. First, when an inscription is fragmented, part of a unit may be lost or be located on a separate and unconnected fragment encoded as a textpart division. Second, the composer may deliberately break up a unit, as in drama or in a base text with commentary. Third, a unit may have been accidentally left incomplete, and then later completed at a physically different part of the document. TEI provides methods for linking container elements to indicate that they together represent an integral whole. DHARMA encoding practice does not employ linking in order to keep the complexity of the code down, but we do add a small amount of extra code to mark up split containers.</w:t>
      </w:r>
    </w:p>
    <w:p>
      <w:pPr>
        <w:pStyle w:val="Normlbehzs"/>
      </w:pPr>
      <w:r>
        <w:t>This applies only to cases where the complete unit was (at least presumably) written. If a unit was never complete, for example because the composer deliberately included only a partial stanza, or because the engraver left an inscription unfinished, then simply encode the container with the available text normally.</w:t>
      </w:r>
    </w:p>
    <w:p>
      <w:pPr>
        <w:pStyle w:val="Lista"/>
      </w:pPr>
      <w:r>
        <w:t xml:space="preserve">if a block-level container element contains only part of a semantic paragraph, part of a stanza, or part of a verse line, while the rest of that textual unit is written elsewhere or altogether lost, add the attribute </w:t>
      </w:r>
      <w:r>
        <w:rPr>
          <w:rStyle w:val="Codeattribute"/>
        </w:rPr>
        <w:t>@part</w:t>
      </w:r>
      <w:r>
        <w:t xml:space="preserve"> to each incomplete container with values as follows:</w:t>
      </w:r>
    </w:p>
    <w:p>
      <w:pPr>
        <w:pStyle w:val="Lista2"/>
      </w:pPr>
      <w:r>
        <w:rPr>
          <w:rStyle w:val="Codevalue"/>
        </w:rPr>
        <w:t>"I"</w:t>
      </w:r>
      <w:r>
        <w:t xml:space="preserve"> for the initial part of a container (the end of which is lost or elsewhere)</w:t>
      </w:r>
    </w:p>
    <w:p>
      <w:pPr>
        <w:pStyle w:val="Lista2"/>
      </w:pPr>
      <w:r>
        <w:rPr>
          <w:rStyle w:val="Codevalue"/>
        </w:rPr>
        <w:t>"F"</w:t>
      </w:r>
      <w:r>
        <w:t xml:space="preserve"> for the final part of a container (the beginning of which lost or elsewhere)</w:t>
      </w:r>
    </w:p>
    <w:p>
      <w:pPr>
        <w:pStyle w:val="Lista2"/>
      </w:pPr>
      <w:r>
        <w:rPr>
          <w:rStyle w:val="Codevalue"/>
        </w:rPr>
        <w:t>"M"</w:t>
      </w:r>
      <w:r>
        <w:t xml:space="preserve"> for a medial part of a container (both the beginning and end of which are lost or elsewhere)</w:t>
      </w:r>
    </w:p>
    <w:p>
      <w:pPr>
        <w:pStyle w:val="Lista"/>
      </w:pPr>
      <w:r>
        <w:t>if a substantial portion of an inscription is lost, see §</w:t>
      </w:r>
      <w:r>
        <w:fldChar w:fldCharType="begin"/>
      </w:r>
      <w:r>
        <w:instrText xml:space="preserve"> REF _Ref43981711 \r \h </w:instrText>
      </w:r>
      <w:r>
        <w:fldChar w:fldCharType="separate"/>
      </w:r>
      <w:r>
        <w:t>6.5.4</w:t>
      </w:r>
      <w:r>
        <w:fldChar w:fldCharType="end"/>
      </w:r>
      <w:r>
        <w:t xml:space="preserve"> for further instructions and examples</w:t>
      </w:r>
    </w:p>
    <w:p>
      <w:pPr>
        <w:pStyle w:val="Lista2"/>
      </w:pPr>
      <w:r>
        <w:t>however, smaller lacunae should instead be treated as per §</w:t>
      </w:r>
      <w:r>
        <w:fldChar w:fldCharType="begin"/>
      </w:r>
      <w:r>
        <w:instrText xml:space="preserve"> REF _Ref43988016 \r \h </w:instrText>
      </w:r>
      <w:r>
        <w:fldChar w:fldCharType="separate"/>
      </w:r>
      <w:r>
        <w:t>6.5.2</w:t>
      </w:r>
      <w:r>
        <w:fldChar w:fldCharType="end"/>
      </w:r>
    </w:p>
    <w:p>
      <w:pPr>
        <w:pStyle w:val="Lista"/>
      </w:pPr>
      <w:r>
        <w:t>if partial containers are found on two or more fragments, see also §</w:t>
      </w:r>
      <w:r>
        <w:fldChar w:fldCharType="begin"/>
      </w:r>
      <w:r>
        <w:instrText xml:space="preserve"> REF _Ref225346692 \r \h </w:instrText>
      </w:r>
      <w:r>
        <w:fldChar w:fldCharType="separate"/>
      </w:r>
      <w:r>
        <w:t>4.7.3.2</w:t>
      </w:r>
      <w:r>
        <w:fldChar w:fldCharType="end"/>
      </w:r>
      <w:r>
        <w:t xml:space="preserve"> about encoding fragments as textpart divisions</w:t>
      </w:r>
    </w:p>
    <w:p>
      <w:pPr>
        <w:pStyle w:val="Lista"/>
      </w:pPr>
      <w:r>
        <w:t>for a base text interspersed with glosses in another language, see §</w:t>
      </w:r>
      <w:r>
        <w:fldChar w:fldCharType="begin"/>
      </w:r>
      <w:r>
        <w:instrText xml:space="preserve"> REF _Ref232063409 \r \h </w:instrText>
      </w:r>
      <w:r>
        <w:fldChar w:fldCharType="separate"/>
      </w:r>
      <w:r>
        <w:t>8.1.2.4</w:t>
      </w:r>
      <w:r>
        <w:fldChar w:fldCharType="end"/>
      </w:r>
    </w:p>
    <w:p>
      <w:pPr>
        <w:pStyle w:val="Cmsor4"/>
      </w:pPr>
      <w:r>
        <w:t>Split containers or scribal addition?</w:t>
      </w:r>
    </w:p>
    <w:p>
      <w:r>
        <w:t>When split units are fully present in a document, but their parts are out of sequence and this is not deemed to be a deliberate compositional decision (as in drama or commented text), the following choice must be made at your discretion.</w:t>
      </w:r>
    </w:p>
    <w:p>
      <w:pPr>
        <w:pStyle w:val="Lista"/>
      </w:pPr>
      <w:r>
        <w:t xml:space="preserve">either encode the items in their </w:t>
      </w:r>
      <w:r>
        <w:rPr>
          <w:b/>
          <w:bCs/>
        </w:rPr>
        <w:t>logical sequence, as scribal correction</w:t>
      </w:r>
      <w:r>
        <w:t xml:space="preserve"> by addition</w:t>
      </w:r>
    </w:p>
    <w:p>
      <w:pPr>
        <w:pStyle w:val="Lista2"/>
      </w:pPr>
      <w:r>
        <w:t>this interpretation is preferable when the intended logical sequence of parts is clear, especially</w:t>
      </w:r>
    </w:p>
    <w:p>
      <w:pPr>
        <w:pStyle w:val="Lista3"/>
      </w:pPr>
      <w:r>
        <w:lastRenderedPageBreak/>
        <w:t>if the part missing at its proper spot is inscribed outside the basic sequence of the text, e.g. between lines or in the margins</w:t>
      </w:r>
    </w:p>
    <w:p>
      <w:pPr>
        <w:pStyle w:val="Lista3"/>
      </w:pPr>
      <w:r>
        <w:t>if scribal marks are present to indicate where the missing and separately supplied part must be read</w:t>
      </w:r>
    </w:p>
    <w:p>
      <w:pPr>
        <w:pStyle w:val="Lista2"/>
      </w:pPr>
      <w:r>
        <w:t xml:space="preserve">in such a case, proceed as in </w:t>
      </w:r>
      <w:r>
        <w:fldChar w:fldCharType="begin"/>
      </w:r>
      <w:r>
        <w:instrText xml:space="preserve"> REF _Ref54603376 \h </w:instrText>
      </w:r>
      <w:r>
        <w:fldChar w:fldCharType="separate"/>
      </w:r>
      <w:r>
        <w:t xml:space="preserve">Exhibit </w:t>
      </w:r>
      <w:r>
        <w:rPr>
          <w:noProof/>
        </w:rPr>
        <w:t>3.2</w:t>
      </w:r>
      <w:r>
        <w:t>.</w:t>
      </w:r>
      <w:r>
        <w:rPr>
          <w:noProof/>
        </w:rPr>
        <w:t>D</w:t>
      </w:r>
      <w:r>
        <w:fldChar w:fldCharType="end"/>
      </w:r>
      <w:r>
        <w:t>, namely:</w:t>
      </w:r>
    </w:p>
    <w:p>
      <w:pPr>
        <w:pStyle w:val="Lista3"/>
      </w:pPr>
      <w:r>
        <w:t xml:space="preserve">include the out-of-sequence text at its </w:t>
      </w:r>
      <w:r>
        <w:rPr>
          <w:i/>
          <w:iCs/>
        </w:rPr>
        <w:t>logical</w:t>
      </w:r>
      <w:r>
        <w:t xml:space="preserve"> rather than its </w:t>
      </w:r>
      <w:r>
        <w:rPr>
          <w:i/>
          <w:iCs/>
        </w:rPr>
        <w:t>physical</w:t>
      </w:r>
      <w:r>
        <w:t xml:space="preserve"> place</w:t>
      </w:r>
    </w:p>
    <w:p>
      <w:pPr>
        <w:pStyle w:val="Lista3"/>
      </w:pPr>
      <w:r>
        <w:t>mark it up as an addition (§</w:t>
      </w:r>
      <w:r>
        <w:fldChar w:fldCharType="begin"/>
      </w:r>
      <w:r>
        <w:instrText xml:space="preserve"> REF _Ref43978471 \r \h </w:instrText>
      </w:r>
      <w:r>
        <w:fldChar w:fldCharType="separate"/>
      </w:r>
      <w:r>
        <w:t>5.5.2</w:t>
      </w:r>
      <w:r>
        <w:fldChar w:fldCharType="end"/>
      </w:r>
      <w:r>
        <w:t xml:space="preserve">) with a value of </w:t>
      </w:r>
      <w:r>
        <w:rPr>
          <w:rStyle w:val="Codeattribute"/>
        </w:rPr>
        <w:t>@place</w:t>
      </w:r>
      <w:r>
        <w:t xml:space="preserve"> that best approximates its physical location</w:t>
      </w:r>
    </w:p>
    <w:p>
      <w:pPr>
        <w:pStyle w:val="Lista4"/>
      </w:pPr>
      <w:r>
        <w:t>if such an addition takes up one or more entire physical lines, encode line beginnings (§</w:t>
      </w:r>
      <w:r>
        <w:fldChar w:fldCharType="begin"/>
      </w:r>
      <w:r>
        <w:instrText xml:space="preserve"> REF _Ref43980100 \r \h </w:instrText>
      </w:r>
      <w:r>
        <w:fldChar w:fldCharType="separate"/>
      </w:r>
      <w:r>
        <w:t>4.5.1</w:t>
      </w:r>
      <w:r>
        <w:fldChar w:fldCharType="end"/>
      </w:r>
      <w:r>
        <w:t xml:space="preserve">) within the </w:t>
      </w:r>
      <w:r>
        <w:rPr>
          <w:rStyle w:val="Code"/>
        </w:rPr>
        <w:t>&lt;add&gt;</w:t>
      </w:r>
      <w:r>
        <w:t xml:space="preserve"> tags as permitted under §</w:t>
      </w:r>
      <w:r>
        <w:fldChar w:fldCharType="begin"/>
      </w:r>
      <w:r>
        <w:instrText xml:space="preserve"> REF _Ref43978471 \r \h </w:instrText>
      </w:r>
      <w:r>
        <w:fldChar w:fldCharType="separate"/>
      </w:r>
      <w:r>
        <w:t>5.5.2</w:t>
      </w:r>
      <w:r>
        <w:fldChar w:fldCharType="end"/>
      </w:r>
    </w:p>
    <w:p>
      <w:pPr>
        <w:pStyle w:val="Lista3"/>
      </w:pPr>
      <w:r>
        <w:t>the fact that the addition interrupts a different part of the text at such and such a point can be indicated in your annotation</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83" w:name="_Ref54603376"/>
            <w:r>
              <w:t xml:space="preserve">Exhibit </w:t>
            </w:r>
            <w:fldSimple w:instr=" STYLEREF 2 \s ">
              <w:r>
                <w:rPr>
                  <w:noProof/>
                </w:rPr>
                <w:t>3.2</w:t>
              </w:r>
            </w:fldSimple>
            <w:r>
              <w:t>.</w:t>
            </w:r>
            <w:fldSimple w:instr=" SEQ Exhibit \* ALPHABETIC \s 2 ">
              <w:r>
                <w:rPr>
                  <w:noProof/>
                </w:rPr>
                <w:t>D</w:t>
              </w:r>
            </w:fldSimple>
            <w:bookmarkEnd w:id="83"/>
            <w:r>
              <w:t>: part of a stanza inscribed below the rest of the text</w:t>
            </w:r>
          </w:p>
        </w:tc>
      </w:tr>
      <w:tr>
        <w:tc>
          <w:tcPr>
            <w:tcW w:w="5000" w:type="pct"/>
          </w:tcPr>
          <w:p>
            <w:pPr>
              <w:pStyle w:val="CodeParagraph"/>
              <w:keepNext/>
              <w:rPr>
                <w:rStyle w:val="Code"/>
              </w:rPr>
            </w:pPr>
            <w:r>
              <w:rPr>
                <w:rStyle w:val="Code"/>
              </w:rPr>
              <w:t xml:space="preserve">&lt;lg </w:t>
            </w:r>
            <w:r>
              <w:rPr>
                <w:rStyle w:val="Codeattribute"/>
              </w:rPr>
              <w:t>n</w:t>
            </w:r>
            <w:r>
              <w:rPr>
                <w:rStyle w:val="Codetext"/>
              </w:rPr>
              <w:t>=</w:t>
            </w:r>
            <w:r>
              <w:rPr>
                <w:rStyle w:val="Codevalue"/>
              </w:rPr>
              <w:t>"4"</w:t>
            </w:r>
            <w:r>
              <w:rPr>
                <w:rStyle w:val="Code"/>
              </w:rPr>
              <w:t xml:space="preserve"> </w:t>
            </w:r>
            <w:r>
              <w:rPr>
                <w:rStyle w:val="Codeattribute"/>
              </w:rPr>
              <w:t>met</w:t>
            </w:r>
            <w:r>
              <w:rPr>
                <w:rStyle w:val="Codetext"/>
              </w:rPr>
              <w:t>=</w:t>
            </w:r>
            <w:r>
              <w:rPr>
                <w:rStyle w:val="Codevalue"/>
              </w:rPr>
              <w:t>"anuṣṭubh"</w:t>
            </w:r>
            <w:r>
              <w:rPr>
                <w:rStyle w:val="Code"/>
              </w:rPr>
              <w:t>&gt;</w:t>
            </w:r>
          </w:p>
          <w:p>
            <w:pPr>
              <w:pStyle w:val="CodeParagraph"/>
              <w:keepNext/>
              <w:rPr>
                <w:rStyle w:val="Code"/>
              </w:rPr>
            </w:pPr>
            <w:r>
              <w:rPr>
                <w:rStyle w:val="Code"/>
              </w:rPr>
              <w:t xml:space="preserve">  &lt;l </w:t>
            </w:r>
            <w:r>
              <w:rPr>
                <w:rStyle w:val="Codeattribute"/>
              </w:rPr>
              <w:t>n</w:t>
            </w:r>
            <w:r>
              <w:rPr>
                <w:rStyle w:val="Codetext"/>
              </w:rPr>
              <w:t>=</w:t>
            </w:r>
            <w:r>
              <w:rPr>
                <w:rStyle w:val="Codevalue"/>
              </w:rPr>
              <w:t>"a"</w:t>
            </w:r>
            <w:r>
              <w:rPr>
                <w:rStyle w:val="Code"/>
              </w:rPr>
              <w:t xml:space="preserve">&gt;&lt;lb </w:t>
            </w:r>
            <w:r>
              <w:rPr>
                <w:rStyle w:val="Codeattribute"/>
              </w:rPr>
              <w:t>n</w:t>
            </w:r>
            <w:r>
              <w:rPr>
                <w:rStyle w:val="Codetext"/>
              </w:rPr>
              <w:t>=</w:t>
            </w:r>
            <w:r>
              <w:rPr>
                <w:rStyle w:val="Codevalue"/>
              </w:rPr>
              <w:t>"7"</w:t>
            </w:r>
            <w:r>
              <w:rPr>
                <w:rStyle w:val="Code"/>
              </w:rPr>
              <w:t>/&gt;</w:t>
            </w:r>
            <w:r>
              <w:rPr>
                <w:rStyle w:val="Codetext"/>
              </w:rPr>
              <w:t>samanta-putras sthaviraḥ</w:t>
            </w:r>
            <w:r>
              <w:rPr>
                <w:rStyle w:val="Code"/>
              </w:rPr>
              <w:t>&lt;/l&gt;</w:t>
            </w:r>
          </w:p>
          <w:p>
            <w:pPr>
              <w:pStyle w:val="CodeParagraph"/>
              <w:keepNext/>
              <w:rPr>
                <w:rStyle w:val="Code"/>
              </w:rPr>
            </w:pPr>
            <w:r>
              <w:rPr>
                <w:rStyle w:val="Code"/>
              </w:rPr>
              <w:t xml:space="preserve">  &lt;l </w:t>
            </w:r>
            <w:r>
              <w:rPr>
                <w:rStyle w:val="Codeattribute"/>
              </w:rPr>
              <w:t>n</w:t>
            </w:r>
            <w:r>
              <w:rPr>
                <w:rStyle w:val="Codetext"/>
              </w:rPr>
              <w:t>=</w:t>
            </w:r>
            <w:r>
              <w:rPr>
                <w:rStyle w:val="Codevalue"/>
              </w:rPr>
              <w:t>"b"</w:t>
            </w:r>
            <w:r>
              <w:rPr>
                <w:rStyle w:val="Code"/>
              </w:rPr>
              <w:t>&gt;</w:t>
            </w:r>
            <w:r>
              <w:rPr>
                <w:rStyle w:val="Codetext"/>
              </w:rPr>
              <w:t>buddhanirvvāṇa-saṁjñakaḥ</w:t>
            </w:r>
            <w:r>
              <w:rPr>
                <w:rStyle w:val="Code"/>
              </w:rPr>
              <w:t>&lt;/l&gt;</w:t>
            </w:r>
          </w:p>
          <w:p>
            <w:pPr>
              <w:pStyle w:val="CodeParagraph"/>
              <w:keepNext/>
              <w:rPr>
                <w:rStyle w:val="Code"/>
              </w:rPr>
            </w:pPr>
            <w:r>
              <w:rPr>
                <w:rStyle w:val="Code"/>
              </w:rPr>
              <w:t xml:space="preserve">  &lt;l </w:t>
            </w:r>
            <w:r>
              <w:rPr>
                <w:rStyle w:val="Codeattribute"/>
              </w:rPr>
              <w:t>n</w:t>
            </w:r>
            <w:r>
              <w:rPr>
                <w:rStyle w:val="Codetext"/>
              </w:rPr>
              <w:t>=</w:t>
            </w:r>
            <w:r>
              <w:rPr>
                <w:rStyle w:val="Codevalue"/>
              </w:rPr>
              <w:t>"c"</w:t>
            </w:r>
            <w:r>
              <w:rPr>
                <w:rStyle w:val="Code"/>
              </w:rPr>
              <w:t xml:space="preserve">&gt;&lt;add </w:t>
            </w:r>
            <w:r>
              <w:rPr>
                <w:rStyle w:val="Codeattribute"/>
              </w:rPr>
              <w:t>place</w:t>
            </w:r>
            <w:r>
              <w:rPr>
                <w:rStyle w:val="Codetext"/>
              </w:rPr>
              <w:t>=</w:t>
            </w:r>
            <w:r>
              <w:rPr>
                <w:rStyle w:val="Codevalue"/>
              </w:rPr>
              <w:t>"bottom"</w:t>
            </w:r>
            <w:r>
              <w:rPr>
                <w:rStyle w:val="Code"/>
              </w:rPr>
              <w:t xml:space="preserve"> </w:t>
            </w:r>
            <w:r>
              <w:rPr>
                <w:rStyle w:val="Codeattribute"/>
              </w:rPr>
              <w:t>rend</w:t>
            </w:r>
            <w:r>
              <w:rPr>
                <w:rStyle w:val="Codetext"/>
              </w:rPr>
              <w:t>=</w:t>
            </w:r>
            <w:r>
              <w:rPr>
                <w:rStyle w:val="Codevalue"/>
              </w:rPr>
              <w:t>"mark"</w:t>
            </w:r>
            <w:r>
              <w:rPr>
                <w:rStyle w:val="Code"/>
              </w:rPr>
              <w:t xml:space="preserve">&gt;&lt;lb </w:t>
            </w:r>
            <w:r>
              <w:rPr>
                <w:rStyle w:val="Codeattribute"/>
              </w:rPr>
              <w:t>n</w:t>
            </w:r>
            <w:r>
              <w:rPr>
                <w:rStyle w:val="Codetext"/>
              </w:rPr>
              <w:t>=</w:t>
            </w:r>
            <w:r>
              <w:rPr>
                <w:rStyle w:val="Codevalue"/>
              </w:rPr>
              <w:t>"15"</w:t>
            </w:r>
            <w:r>
              <w:rPr>
                <w:rStyle w:val="Code"/>
              </w:rPr>
              <w:t>/&gt;</w:t>
            </w:r>
            <w:r>
              <w:rPr>
                <w:rStyle w:val="Codetext"/>
              </w:rPr>
              <w:t>kāvyasya karaṇañ cakre</w:t>
            </w:r>
            <w:r>
              <w:rPr>
                <w:rStyle w:val="Code"/>
              </w:rPr>
              <w:t>&lt;/add&gt;&lt;/l&gt;</w:t>
            </w:r>
          </w:p>
          <w:p>
            <w:pPr>
              <w:pStyle w:val="CodeParagraph"/>
              <w:keepNext/>
              <w:rPr>
                <w:rStyle w:val="Code"/>
              </w:rPr>
            </w:pPr>
            <w:r>
              <w:rPr>
                <w:rStyle w:val="Code"/>
              </w:rPr>
              <w:t xml:space="preserve">  &lt;l </w:t>
            </w:r>
            <w:r>
              <w:rPr>
                <w:rStyle w:val="Codeattribute"/>
              </w:rPr>
              <w:t>n</w:t>
            </w:r>
            <w:r>
              <w:rPr>
                <w:rStyle w:val="Codetext"/>
              </w:rPr>
              <w:t>=</w:t>
            </w:r>
            <w:r>
              <w:rPr>
                <w:rStyle w:val="Codevalue"/>
              </w:rPr>
              <w:t>"d"</w:t>
            </w:r>
            <w:r>
              <w:rPr>
                <w:rStyle w:val="Code"/>
              </w:rPr>
              <w:t xml:space="preserve">&gt;&lt;add </w:t>
            </w:r>
            <w:r>
              <w:rPr>
                <w:rStyle w:val="Codeattribute"/>
              </w:rPr>
              <w:t>place</w:t>
            </w:r>
            <w:r>
              <w:rPr>
                <w:rStyle w:val="Codetext"/>
              </w:rPr>
              <w:t>=</w:t>
            </w:r>
            <w:r>
              <w:rPr>
                <w:rStyle w:val="Codevalue"/>
              </w:rPr>
              <w:t>"bottom"</w:t>
            </w:r>
            <w:r>
              <w:rPr>
                <w:rStyle w:val="Code"/>
              </w:rPr>
              <w:t xml:space="preserve"> </w:t>
            </w:r>
            <w:r>
              <w:rPr>
                <w:rStyle w:val="Codeattribute"/>
              </w:rPr>
              <w:t>rend</w:t>
            </w:r>
            <w:r>
              <w:rPr>
                <w:rStyle w:val="Codetext"/>
              </w:rPr>
              <w:t>=</w:t>
            </w:r>
            <w:r>
              <w:rPr>
                <w:rStyle w:val="Codevalue"/>
              </w:rPr>
              <w:t>"mark"</w:t>
            </w:r>
            <w:r>
              <w:rPr>
                <w:rStyle w:val="Code"/>
              </w:rPr>
              <w:t xml:space="preserve">&gt;&lt;lb </w:t>
            </w:r>
            <w:r>
              <w:rPr>
                <w:rStyle w:val="Codeattribute"/>
              </w:rPr>
              <w:t>n</w:t>
            </w:r>
            <w:r>
              <w:rPr>
                <w:rStyle w:val="Codetext"/>
              </w:rPr>
              <w:t>=</w:t>
            </w:r>
            <w:r>
              <w:rPr>
                <w:rStyle w:val="Codevalue"/>
              </w:rPr>
              <w:t>"16"</w:t>
            </w:r>
            <w:r>
              <w:rPr>
                <w:rStyle w:val="Code"/>
              </w:rPr>
              <w:t>/&gt;</w:t>
            </w:r>
            <w:r>
              <w:rPr>
                <w:rStyle w:val="Codetext"/>
              </w:rPr>
              <w:t>jñātaye bhūtale nr̥ṇām·</w:t>
            </w:r>
            <w:r>
              <w:rPr>
                <w:rStyle w:val="Code"/>
              </w:rPr>
              <w:t xml:space="preserve">&lt;/add&gt;&lt;/l&gt; </w:t>
            </w:r>
          </w:p>
          <w:p>
            <w:pPr>
              <w:pStyle w:val="CodeParagraph"/>
              <w:keepNext/>
              <w:rPr>
                <w:rStyle w:val="Code"/>
              </w:rPr>
            </w:pPr>
            <w:r>
              <w:rPr>
                <w:rStyle w:val="Code"/>
              </w:rPr>
              <w:t>&lt;/lg&gt;</w:t>
            </w:r>
          </w:p>
          <w:p>
            <w:pPr>
              <w:pStyle w:val="CodeParagraph"/>
              <w:keepNext/>
              <w:rPr>
                <w:rStyle w:val="Code"/>
              </w:rPr>
            </w:pPr>
            <w:r>
              <w:rPr>
                <w:rStyle w:val="Code"/>
              </w:rPr>
              <w:t xml:space="preserve">&lt;p </w:t>
            </w:r>
            <w:r>
              <w:rPr>
                <w:rStyle w:val="Codeattribute"/>
              </w:rPr>
              <w:t>xml:lang</w:t>
            </w:r>
            <w:r>
              <w:rPr>
                <w:rStyle w:val="Codetext"/>
              </w:rPr>
              <w:t>=</w:t>
            </w:r>
            <w:r>
              <w:rPr>
                <w:rStyle w:val="Codevalue"/>
              </w:rPr>
              <w:t>"ocm-Latn"&gt;</w:t>
            </w:r>
            <w:r>
              <w:rPr>
                <w:rStyle w:val="Code"/>
              </w:rPr>
              <w:t xml:space="preserve">&lt;lb </w:t>
            </w:r>
            <w:r>
              <w:rPr>
                <w:rStyle w:val="Codeattribute"/>
              </w:rPr>
              <w:t>n</w:t>
            </w:r>
            <w:r>
              <w:rPr>
                <w:rStyle w:val="Codetext"/>
              </w:rPr>
              <w:t>=</w:t>
            </w:r>
            <w:r>
              <w:rPr>
                <w:rStyle w:val="Codevalue"/>
              </w:rPr>
              <w:t>"8"</w:t>
            </w:r>
            <w:r>
              <w:rPr>
                <w:rStyle w:val="Code"/>
              </w:rPr>
              <w:t>/&gt;</w:t>
            </w:r>
            <w:r>
              <w:rPr>
                <w:rStyle w:val="Codetext"/>
              </w:rPr>
              <w:t>humā pralauṅ·</w:t>
            </w:r>
            <w:r>
              <w:rPr>
                <w:rStyle w:val="Code"/>
              </w:rPr>
              <w:t xml:space="preserve">&lt;g </w:t>
            </w:r>
            <w:r>
              <w:rPr>
                <w:rStyle w:val="Codeattribute"/>
              </w:rPr>
              <w:t>ref</w:t>
            </w:r>
            <w:r>
              <w:rPr>
                <w:rStyle w:val="Codetext"/>
              </w:rPr>
              <w:t>=</w:t>
            </w:r>
            <w:r>
              <w:rPr>
                <w:rStyle w:val="Codevalue"/>
              </w:rPr>
              <w:t>"sym:doubleBar"</w:t>
            </w:r>
            <w:r>
              <w:rPr>
                <w:rStyle w:val="Code"/>
              </w:rPr>
              <w:t>&gt;</w:t>
            </w:r>
            <w:r>
              <w:rPr>
                <w:rStyle w:val="Codetext"/>
              </w:rPr>
              <w:t>.</w:t>
            </w:r>
            <w:r>
              <w:rPr>
                <w:rStyle w:val="Code"/>
              </w:rPr>
              <w:t>&lt;/g&gt;</w:t>
            </w:r>
            <w:r>
              <w:rPr>
                <w:rStyle w:val="Codetext"/>
              </w:rPr>
              <w:t xml:space="preserve"> humā padaiṅ·</w:t>
            </w:r>
            <w:r>
              <w:rPr>
                <w:rStyle w:val="Code"/>
              </w:rPr>
              <w:t xml:space="preserve">&lt;g </w:t>
            </w:r>
            <w:r>
              <w:rPr>
                <w:rStyle w:val="Codeattribute"/>
              </w:rPr>
              <w:t>ref</w:t>
            </w:r>
            <w:r>
              <w:rPr>
                <w:rStyle w:val="Codetext"/>
              </w:rPr>
              <w:t>=</w:t>
            </w:r>
            <w:r>
              <w:rPr>
                <w:rStyle w:val="Codevalue"/>
              </w:rPr>
              <w:t>"sym:doubleBar"</w:t>
            </w:r>
            <w:r>
              <w:rPr>
                <w:rStyle w:val="Code"/>
              </w:rPr>
              <w:t>&gt;</w:t>
            </w:r>
            <w:r>
              <w:rPr>
                <w:rStyle w:val="Codetext"/>
              </w:rPr>
              <w:t>.</w:t>
            </w:r>
            <w:r>
              <w:rPr>
                <w:rStyle w:val="Code"/>
              </w:rPr>
              <w:t>&lt;/g&gt;</w:t>
            </w:r>
            <w:r>
              <w:rPr>
                <w:rStyle w:val="Codetext"/>
              </w:rPr>
              <w:t xml:space="preserve"> ney· śaka vanuḥ humā dvā nan·</w:t>
            </w:r>
          </w:p>
          <w:p>
            <w:pPr>
              <w:pStyle w:val="CodeParagraph"/>
              <w:keepNext/>
              <w:rPr>
                <w:rStyle w:val="Code"/>
              </w:rPr>
            </w:pPr>
            <w:r>
              <w:rPr>
                <w:rStyle w:val="Code"/>
              </w:rPr>
              <w:t xml:space="preserve">&lt;lb </w:t>
            </w:r>
            <w:r>
              <w:rPr>
                <w:rStyle w:val="Codeattribute"/>
              </w:rPr>
              <w:t>n</w:t>
            </w:r>
            <w:r>
              <w:rPr>
                <w:rStyle w:val="Codetext"/>
              </w:rPr>
              <w:t>=</w:t>
            </w:r>
            <w:r>
              <w:rPr>
                <w:rStyle w:val="Codevalue"/>
              </w:rPr>
              <w:t>"9"</w:t>
            </w:r>
            <w:r>
              <w:rPr>
                <w:rStyle w:val="Code"/>
              </w:rPr>
              <w:t>/&gt;</w:t>
            </w:r>
            <w:r>
              <w:rPr>
                <w:rStyle w:val="Codetext"/>
              </w:rPr>
              <w:t>...</w:t>
            </w:r>
          </w:p>
          <w:p>
            <w:pPr>
              <w:pStyle w:val="CodeParagraph"/>
              <w:keepNext/>
              <w:rPr>
                <w:rStyle w:val="Code"/>
              </w:rPr>
            </w:pPr>
            <w:r>
              <w:rPr>
                <w:rStyle w:val="Codetext"/>
              </w:rPr>
              <w:t>...</w:t>
            </w:r>
          </w:p>
          <w:p>
            <w:pPr>
              <w:pStyle w:val="CodeParagraph"/>
              <w:keepNext/>
            </w:pPr>
            <w:r>
              <w:rPr>
                <w:rStyle w:val="Code"/>
              </w:rPr>
              <w:t xml:space="preserve">&lt;lb </w:t>
            </w:r>
            <w:r>
              <w:rPr>
                <w:rStyle w:val="Codeattribute"/>
              </w:rPr>
              <w:t>n</w:t>
            </w:r>
            <w:r>
              <w:rPr>
                <w:rStyle w:val="Codetext"/>
              </w:rPr>
              <w:t>=</w:t>
            </w:r>
            <w:r>
              <w:rPr>
                <w:rStyle w:val="Codevalue"/>
              </w:rPr>
              <w:t>"14"</w:t>
            </w:r>
            <w:r>
              <w:rPr>
                <w:rStyle w:val="Code"/>
              </w:rPr>
              <w:t>/&gt;</w:t>
            </w:r>
            <w:r>
              <w:rPr>
                <w:rStyle w:val="Codetext"/>
              </w:rPr>
              <w:t>...</w:t>
            </w:r>
            <w:r>
              <w:rPr>
                <w:rStyle w:val="Code"/>
              </w:rPr>
              <w:t>&lt;/p&gt;</w:t>
            </w:r>
          </w:p>
        </w:tc>
      </w:tr>
      <w:tr>
        <w:tc>
          <w:tcPr>
            <w:tcW w:w="5000" w:type="pct"/>
          </w:tcPr>
          <w:p>
            <w:pPr>
              <w:pStyle w:val="TableNote"/>
            </w:pPr>
            <w:r>
              <w:t>the first half of stanza 4 is inscribed as line 7 of the text, but the second hemistich was omitted there</w:t>
            </w:r>
          </w:p>
          <w:p>
            <w:pPr>
              <w:pStyle w:val="TableNote"/>
            </w:pPr>
            <w:r>
              <w:t>the text continues with (Old Cham) prose in lines 8 to 14</w:t>
            </w:r>
          </w:p>
          <w:p>
            <w:pPr>
              <w:pStyle w:val="TableNote"/>
            </w:pPr>
            <w:r>
              <w:t>the omitted hemistich has been added at the bottom, as lines 15 and 16, but it is encoded at its logical place</w:t>
            </w:r>
          </w:p>
          <w:p>
            <w:pPr>
              <w:pStyle w:val="TableNote"/>
              <w:rPr>
                <w:rStyle w:val="Code"/>
                <w:rFonts w:ascii="Calibri" w:hAnsi="Calibri" w:cs="Arial Unicode MS"/>
                <w:noProof w:val="0"/>
                <w:color w:val="auto"/>
                <w:shd w:val="clear" w:color="auto" w:fill="auto"/>
              </w:rPr>
            </w:pPr>
            <w:r>
              <w:rPr>
                <w:rStyle w:val="Code"/>
                <w:rFonts w:ascii="Calibri" w:hAnsi="Calibri" w:cs="Arial Unicode MS"/>
                <w:noProof w:val="0"/>
                <w:color w:val="auto"/>
                <w:shd w:val="clear" w:color="auto" w:fill="auto"/>
              </w:rPr>
              <w:t xml:space="preserve">the tags for lines 15 and 16 are placed within the tags for </w:t>
            </w:r>
            <w:r>
              <w:t>addition</w:t>
            </w:r>
          </w:p>
        </w:tc>
      </w:tr>
    </w:tbl>
    <w:p>
      <w:bookmarkStart w:id="84" w:name="_wdva3plgupk6" w:colFirst="0" w:colLast="0"/>
      <w:bookmarkEnd w:id="84"/>
    </w:p>
    <w:p>
      <w:pPr>
        <w:pStyle w:val="Lista"/>
      </w:pPr>
      <w:r>
        <w:t xml:space="preserve">alternatively, encode the items in their </w:t>
      </w:r>
      <w:r>
        <w:rPr>
          <w:b/>
          <w:bCs/>
        </w:rPr>
        <w:t>physical sequence, as split containers</w:t>
      </w:r>
    </w:p>
    <w:p>
      <w:pPr>
        <w:pStyle w:val="Lista2"/>
      </w:pPr>
      <w:r>
        <w:t>this interpretation is preferable</w:t>
      </w:r>
    </w:p>
    <w:p>
      <w:pPr>
        <w:pStyle w:val="Lista3"/>
      </w:pPr>
      <w:r>
        <w:t>if the intended logical sequence of parts cannot be confidently established (as in a seriously garbled text with several large chunks out of sequence)</w:t>
      </w:r>
    </w:p>
    <w:p>
      <w:pPr>
        <w:pStyle w:val="Lista3"/>
      </w:pPr>
      <w:r>
        <w:t>if the misplaced part of a unit is fully integrated into the physical sequence of the text at another place (written as part of the regular lines within the regular field, without scribal marks to indicate correction)</w:t>
      </w:r>
    </w:p>
    <w:p>
      <w:pPr>
        <w:pStyle w:val="Lista3"/>
      </w:pPr>
      <w:r>
        <w:t>if a verse contains extrametrical additions (for which see also §</w:t>
      </w:r>
      <w:r>
        <w:fldChar w:fldCharType="begin"/>
      </w:r>
      <w:r>
        <w:instrText xml:space="preserve"> REF _Ref232089040 \r \h </w:instrText>
      </w:r>
      <w:r>
        <w:fldChar w:fldCharType="separate"/>
      </w:r>
      <w:r>
        <w:t>3.2.3.3</w:t>
      </w:r>
      <w:r>
        <w:fldChar w:fldCharType="end"/>
      </w:r>
      <w:r>
        <w:t xml:space="preserve">), such as </w:t>
      </w:r>
      <w:r>
        <w:rPr>
          <w:rStyle w:val="Foreign"/>
        </w:rPr>
        <w:t>śrī</w:t>
      </w:r>
      <w:r>
        <w:t xml:space="preserve"> tagged on to names, so that the prosody is correct without these additions and incorrect with them</w:t>
      </w:r>
    </w:p>
    <w:p>
      <w:pPr>
        <w:pStyle w:val="Lista2"/>
      </w:pPr>
      <w:r>
        <w:t xml:space="preserve">in such a case, proceed as in </w:t>
      </w:r>
      <w:r>
        <w:fldChar w:fldCharType="begin"/>
      </w:r>
      <w:r>
        <w:instrText xml:space="preserve"> REF _Ref181707534 \h </w:instrText>
      </w:r>
      <w:r>
        <w:fldChar w:fldCharType="separate"/>
      </w:r>
      <w:r>
        <w:t xml:space="preserve">Exhibit </w:t>
      </w:r>
      <w:r>
        <w:rPr>
          <w:noProof/>
        </w:rPr>
        <w:t>3.2</w:t>
      </w:r>
      <w:r>
        <w:t>.</w:t>
      </w:r>
      <w:r>
        <w:rPr>
          <w:noProof/>
        </w:rPr>
        <w:t>E</w:t>
      </w:r>
      <w:r>
        <w:fldChar w:fldCharType="end"/>
      </w:r>
      <w:r>
        <w:t>, namely:</w:t>
      </w:r>
    </w:p>
    <w:p>
      <w:pPr>
        <w:pStyle w:val="Lista3"/>
        <w:jc w:val="both"/>
      </w:pPr>
      <w:r>
        <w:t xml:space="preserve">include all text at its </w:t>
      </w:r>
      <w:r>
        <w:rPr>
          <w:i/>
          <w:iCs/>
        </w:rPr>
        <w:t>physical</w:t>
      </w:r>
      <w:r>
        <w:t xml:space="preserve"> place, creating prose and/or verse containers as applicable</w:t>
      </w:r>
    </w:p>
    <w:p>
      <w:pPr>
        <w:pStyle w:val="Lista3"/>
        <w:jc w:val="both"/>
      </w:pPr>
      <w:r>
        <w:t xml:space="preserve">add </w:t>
      </w:r>
      <w:r>
        <w:rPr>
          <w:rStyle w:val="Codeattribute"/>
        </w:rPr>
        <w:t>@part</w:t>
      </w:r>
      <w:r>
        <w:t>, with values as applicable, to all incomplete containers</w:t>
      </w:r>
    </w:p>
    <w:p>
      <w:pPr>
        <w:pStyle w:val="Lista3"/>
      </w:pPr>
      <w:r>
        <w:t>if a stanza is split at a line boundary,</w:t>
      </w:r>
    </w:p>
    <w:p>
      <w:pPr>
        <w:pStyle w:val="Lista4"/>
      </w:pPr>
      <w:r>
        <w:t>use the same number (</w:t>
      </w:r>
      <w:r>
        <w:rPr>
          <w:rStyle w:val="Codeattribute"/>
        </w:rPr>
        <w:t>@n</w:t>
      </w:r>
      <w:r>
        <w:t xml:space="preserve">) for both (or all) incomplete </w:t>
      </w:r>
      <w:r>
        <w:rPr>
          <w:rStyle w:val="Code"/>
        </w:rPr>
        <w:t>&lt;lg&gt;</w:t>
      </w:r>
      <w:r>
        <w:t xml:space="preserve"> elements and number the lines consecutively in them</w:t>
      </w:r>
    </w:p>
    <w:p>
      <w:pPr>
        <w:pStyle w:val="Lista3"/>
      </w:pPr>
      <w:r>
        <w:t>if a stanza is split within a verse line,</w:t>
      </w:r>
    </w:p>
    <w:p>
      <w:pPr>
        <w:pStyle w:val="Lista4"/>
      </w:pPr>
      <w:r>
        <w:t xml:space="preserve">add </w:t>
      </w:r>
      <w:r>
        <w:rPr>
          <w:rStyle w:val="Codeattribute"/>
        </w:rPr>
        <w:t>@part</w:t>
      </w:r>
      <w:r>
        <w:t xml:space="preserve"> to the incomplete </w:t>
      </w:r>
      <w:r>
        <w:rPr>
          <w:rStyle w:val="Code"/>
        </w:rPr>
        <w:t>&lt;l&gt;</w:t>
      </w:r>
      <w:r>
        <w:t xml:space="preserve"> elements as well as to the </w:t>
      </w:r>
      <w:r>
        <w:rPr>
          <w:rStyle w:val="Code"/>
        </w:rPr>
        <w:t>&lt;lg&gt;</w:t>
      </w:r>
      <w:r>
        <w:t xml:space="preserve"> elements</w:t>
      </w:r>
    </w:p>
    <w:p>
      <w:pPr>
        <w:pStyle w:val="Lista4"/>
      </w:pPr>
      <w:r>
        <w:t>use the same number (</w:t>
      </w:r>
      <w:r>
        <w:rPr>
          <w:rStyle w:val="Codeattribute"/>
        </w:rPr>
        <w:t>@n</w:t>
      </w:r>
      <w:r>
        <w:t xml:space="preserve">) for both (or all) incomplete </w:t>
      </w:r>
      <w:r>
        <w:rPr>
          <w:rStyle w:val="Code"/>
        </w:rPr>
        <w:t>&lt;l&gt;</w:t>
      </w:r>
      <w:r>
        <w:t xml:space="preserve"> elements</w:t>
      </w:r>
    </w:p>
    <w:p>
      <w:pPr>
        <w:pStyle w:val="Lista2"/>
      </w:pPr>
      <w:r>
        <w:t>discuss the logical sequence in your annotation</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85" w:name="_Ref181707534"/>
            <w:r>
              <w:lastRenderedPageBreak/>
              <w:t xml:space="preserve">Exhibit </w:t>
            </w:r>
            <w:fldSimple w:instr=" STYLEREF 2 \s ">
              <w:r>
                <w:rPr>
                  <w:noProof/>
                </w:rPr>
                <w:t>3.2</w:t>
              </w:r>
            </w:fldSimple>
            <w:r>
              <w:t>.</w:t>
            </w:r>
            <w:fldSimple w:instr=" SEQ Exhibit \* ALPHABETIC \s 2 ">
              <w:r>
                <w:rPr>
                  <w:noProof/>
                </w:rPr>
                <w:t>E</w:t>
              </w:r>
            </w:fldSimple>
            <w:bookmarkEnd w:id="85"/>
            <w:r>
              <w:t>: stanza interrupted by prose</w:t>
            </w:r>
          </w:p>
        </w:tc>
      </w:tr>
      <w:tr>
        <w:tc>
          <w:tcPr>
            <w:tcW w:w="5000" w:type="pct"/>
          </w:tcPr>
          <w:p>
            <w:pPr>
              <w:pStyle w:val="CodeParagraph"/>
              <w:keepNext/>
              <w:rPr>
                <w:rStyle w:val="Code"/>
              </w:rPr>
            </w:pPr>
            <w:r>
              <w:rPr>
                <w:rStyle w:val="Code"/>
              </w:rPr>
              <w:t xml:space="preserve">&lt;lg </w:t>
            </w:r>
            <w:r>
              <w:rPr>
                <w:rStyle w:val="Codeattribute"/>
              </w:rPr>
              <w:t>n</w:t>
            </w:r>
            <w:r>
              <w:rPr>
                <w:rStyle w:val="Codetext"/>
              </w:rPr>
              <w:t>=</w:t>
            </w:r>
            <w:r>
              <w:rPr>
                <w:rStyle w:val="Codevalue"/>
              </w:rPr>
              <w:t>"1"</w:t>
            </w:r>
            <w:r>
              <w:rPr>
                <w:rStyle w:val="Code"/>
              </w:rPr>
              <w:t xml:space="preserve"> </w:t>
            </w:r>
            <w:r>
              <w:rPr>
                <w:rStyle w:val="Codeattribute"/>
              </w:rPr>
              <w:t>part</w:t>
            </w:r>
            <w:r>
              <w:rPr>
                <w:rStyle w:val="Codetext"/>
              </w:rPr>
              <w:t>=</w:t>
            </w:r>
            <w:r>
              <w:rPr>
                <w:rStyle w:val="Codevalue"/>
              </w:rPr>
              <w:t>"I"</w:t>
            </w:r>
            <w:r>
              <w:rPr>
                <w:rStyle w:val="Code"/>
              </w:rPr>
              <w:t xml:space="preserve"> </w:t>
            </w:r>
            <w:r>
              <w:rPr>
                <w:rStyle w:val="Codeattribute"/>
              </w:rPr>
              <w:t>met</w:t>
            </w:r>
            <w:r>
              <w:rPr>
                <w:rStyle w:val="Codetext"/>
              </w:rPr>
              <w:t>=</w:t>
            </w:r>
            <w:r>
              <w:rPr>
                <w:rStyle w:val="Codevalue"/>
              </w:rPr>
              <w:t>"anuṣṭubh"</w:t>
            </w:r>
            <w:r>
              <w:rPr>
                <w:rStyle w:val="Code"/>
              </w:rPr>
              <w:t>&gt;</w:t>
            </w:r>
          </w:p>
          <w:p>
            <w:pPr>
              <w:pStyle w:val="CodeParagraph"/>
              <w:keepNext/>
              <w:rPr>
                <w:rStyle w:val="Code"/>
              </w:rPr>
            </w:pPr>
            <w:r>
              <w:rPr>
                <w:rStyle w:val="Code"/>
              </w:rPr>
              <w:t xml:space="preserve">  &lt;l </w:t>
            </w:r>
            <w:r>
              <w:rPr>
                <w:rStyle w:val="Codeattribute"/>
              </w:rPr>
              <w:t>n</w:t>
            </w:r>
            <w:r>
              <w:rPr>
                <w:rStyle w:val="Codetext"/>
              </w:rPr>
              <w:t>=</w:t>
            </w:r>
            <w:r>
              <w:rPr>
                <w:rStyle w:val="Codevalue"/>
              </w:rPr>
              <w:t>"a"</w:t>
            </w:r>
            <w:r>
              <w:rPr>
                <w:rStyle w:val="Code"/>
              </w:rPr>
              <w:t xml:space="preserve">&gt;&lt;lb </w:t>
            </w:r>
            <w:r>
              <w:rPr>
                <w:rStyle w:val="Codeattribute"/>
              </w:rPr>
              <w:t>n</w:t>
            </w:r>
            <w:r>
              <w:rPr>
                <w:rStyle w:val="Codetext"/>
              </w:rPr>
              <w:t>=</w:t>
            </w:r>
            <w:r>
              <w:rPr>
                <w:rStyle w:val="Codevalue"/>
              </w:rPr>
              <w:t>"12"</w:t>
            </w:r>
            <w:r>
              <w:rPr>
                <w:rStyle w:val="Code"/>
              </w:rPr>
              <w:t>/&gt;</w:t>
            </w:r>
            <w:r>
              <w:rPr>
                <w:rStyle w:val="Codetext"/>
              </w:rPr>
              <w:t>sva-dattāṁ para-dattām vā</w:t>
            </w:r>
            <w:r>
              <w:rPr>
                <w:rStyle w:val="Code"/>
              </w:rPr>
              <w:t>&lt;/l&gt;</w:t>
            </w:r>
          </w:p>
          <w:p>
            <w:pPr>
              <w:pStyle w:val="CodeParagraph"/>
              <w:keepNext/>
              <w:rPr>
                <w:rStyle w:val="Code"/>
              </w:rPr>
            </w:pPr>
            <w:r>
              <w:rPr>
                <w:rStyle w:val="Code"/>
              </w:rPr>
              <w:t xml:space="preserve">  &lt;l </w:t>
            </w:r>
            <w:r>
              <w:rPr>
                <w:rStyle w:val="Codeattribute"/>
              </w:rPr>
              <w:t>n</w:t>
            </w:r>
            <w:r>
              <w:rPr>
                <w:rStyle w:val="Codetext"/>
              </w:rPr>
              <w:t>=</w:t>
            </w:r>
            <w:r>
              <w:rPr>
                <w:rStyle w:val="Codevalue"/>
              </w:rPr>
              <w:t>"b"</w:t>
            </w:r>
            <w:r>
              <w:rPr>
                <w:rStyle w:val="Code"/>
              </w:rPr>
              <w:t>&gt;</w:t>
            </w:r>
            <w:r>
              <w:rPr>
                <w:rStyle w:val="Codetext"/>
              </w:rPr>
              <w:t>yo hareta vasundharāṁ</w:t>
            </w:r>
            <w:r>
              <w:rPr>
                <w:rStyle w:val="Code"/>
              </w:rPr>
              <w:t>&lt;/l&gt;</w:t>
            </w:r>
          </w:p>
          <w:p>
            <w:pPr>
              <w:pStyle w:val="CodeParagraph"/>
              <w:keepNext/>
              <w:rPr>
                <w:rStyle w:val="Code"/>
              </w:rPr>
            </w:pPr>
            <w:r>
              <w:rPr>
                <w:rStyle w:val="Code"/>
              </w:rPr>
              <w:t>&lt;/lg&gt;</w:t>
            </w:r>
          </w:p>
          <w:p>
            <w:pPr>
              <w:pStyle w:val="CodeParagraph"/>
              <w:keepNext/>
              <w:rPr>
                <w:rStyle w:val="Code"/>
              </w:rPr>
            </w:pPr>
            <w:r>
              <w:rPr>
                <w:rStyle w:val="Code"/>
              </w:rPr>
              <w:t>&lt;p&gt;</w:t>
            </w:r>
            <w:r>
              <w:rPr>
                <w:rStyle w:val="Codetext"/>
              </w:rPr>
              <w:t>bhūmi-dāna-saṁbaddhāḥ ślokā bhavanti</w:t>
            </w:r>
            <w:r>
              <w:rPr>
                <w:rStyle w:val="Code"/>
              </w:rPr>
              <w:t>&lt;/p&gt;</w:t>
            </w:r>
          </w:p>
          <w:p>
            <w:pPr>
              <w:pStyle w:val="CodeParagraph"/>
              <w:keepNext/>
              <w:rPr>
                <w:rStyle w:val="Code"/>
              </w:rPr>
            </w:pPr>
            <w:r>
              <w:rPr>
                <w:rStyle w:val="Code"/>
              </w:rPr>
              <w:t xml:space="preserve">&lt;lg </w:t>
            </w:r>
            <w:r>
              <w:rPr>
                <w:rStyle w:val="Codeattribute"/>
              </w:rPr>
              <w:t>n</w:t>
            </w:r>
            <w:r>
              <w:rPr>
                <w:rStyle w:val="Codetext"/>
              </w:rPr>
              <w:t>=</w:t>
            </w:r>
            <w:r>
              <w:rPr>
                <w:rStyle w:val="Codevalue"/>
              </w:rPr>
              <w:t>"1"</w:t>
            </w:r>
            <w:r>
              <w:rPr>
                <w:rStyle w:val="Code"/>
              </w:rPr>
              <w:t xml:space="preserve"> </w:t>
            </w:r>
            <w:r>
              <w:rPr>
                <w:rStyle w:val="Codeattribute"/>
              </w:rPr>
              <w:t>part</w:t>
            </w:r>
            <w:r>
              <w:rPr>
                <w:rStyle w:val="Codetext"/>
              </w:rPr>
              <w:t>=</w:t>
            </w:r>
            <w:r>
              <w:rPr>
                <w:rStyle w:val="Codevalue"/>
              </w:rPr>
              <w:t>"F"</w:t>
            </w:r>
            <w:r>
              <w:rPr>
                <w:rStyle w:val="Code"/>
              </w:rPr>
              <w:t xml:space="preserve"> </w:t>
            </w:r>
            <w:r>
              <w:rPr>
                <w:rStyle w:val="Codeattribute"/>
              </w:rPr>
              <w:t>met</w:t>
            </w:r>
            <w:r>
              <w:rPr>
                <w:rStyle w:val="Codetext"/>
              </w:rPr>
              <w:t>=</w:t>
            </w:r>
            <w:r>
              <w:rPr>
                <w:rStyle w:val="Codevalue"/>
              </w:rPr>
              <w:t>"anuṣṭubh"</w:t>
            </w:r>
            <w:r>
              <w:rPr>
                <w:rStyle w:val="Code"/>
              </w:rPr>
              <w:t>&gt;</w:t>
            </w:r>
          </w:p>
          <w:p>
            <w:pPr>
              <w:pStyle w:val="CodeParagraph"/>
              <w:keepNext/>
              <w:rPr>
                <w:rStyle w:val="Code"/>
              </w:rPr>
            </w:pPr>
            <w:r>
              <w:rPr>
                <w:rStyle w:val="Code"/>
              </w:rPr>
              <w:t xml:space="preserve">  &lt;l </w:t>
            </w:r>
            <w:r>
              <w:rPr>
                <w:rStyle w:val="Codeattribute"/>
              </w:rPr>
              <w:t>n</w:t>
            </w:r>
            <w:r>
              <w:rPr>
                <w:rStyle w:val="Codetext"/>
              </w:rPr>
              <w:t>=</w:t>
            </w:r>
            <w:r>
              <w:rPr>
                <w:rStyle w:val="Codevalue"/>
              </w:rPr>
              <w:t>"c"</w:t>
            </w:r>
            <w:r>
              <w:rPr>
                <w:rStyle w:val="Code"/>
              </w:rPr>
              <w:t xml:space="preserve">&gt;&lt;lb </w:t>
            </w:r>
            <w:r>
              <w:rPr>
                <w:rStyle w:val="Codeattribute"/>
              </w:rPr>
              <w:t>n</w:t>
            </w:r>
            <w:r>
              <w:rPr>
                <w:rStyle w:val="Codetext"/>
              </w:rPr>
              <w:t>=</w:t>
            </w:r>
            <w:r>
              <w:rPr>
                <w:rStyle w:val="Codevalue"/>
              </w:rPr>
              <w:t>"13"</w:t>
            </w:r>
            <w:r>
              <w:rPr>
                <w:rStyle w:val="Code"/>
              </w:rPr>
              <w:t>/&gt;</w:t>
            </w:r>
            <w:r>
              <w:rPr>
                <w:rStyle w:val="Codetext"/>
              </w:rPr>
              <w:t>sa viṣṭhāyāṁ kr̥mir bhūtvā</w:t>
            </w:r>
            <w:r>
              <w:rPr>
                <w:rStyle w:val="Code"/>
              </w:rPr>
              <w:t>&lt;/l&gt;</w:t>
            </w:r>
          </w:p>
          <w:p>
            <w:pPr>
              <w:pStyle w:val="CodeParagraph"/>
              <w:keepNext/>
              <w:rPr>
                <w:rStyle w:val="Code"/>
              </w:rPr>
            </w:pPr>
            <w:r>
              <w:rPr>
                <w:rStyle w:val="Code"/>
              </w:rPr>
              <w:t xml:space="preserve">  &lt;l </w:t>
            </w:r>
            <w:r>
              <w:rPr>
                <w:rStyle w:val="Codeattribute"/>
              </w:rPr>
              <w:t>n</w:t>
            </w:r>
            <w:r>
              <w:rPr>
                <w:rStyle w:val="Codetext"/>
              </w:rPr>
              <w:t>=</w:t>
            </w:r>
            <w:r>
              <w:rPr>
                <w:rStyle w:val="Codevalue"/>
              </w:rPr>
              <w:t>"d"</w:t>
            </w:r>
            <w:r>
              <w:rPr>
                <w:rStyle w:val="Code"/>
              </w:rPr>
              <w:t>&gt;</w:t>
            </w:r>
            <w:r>
              <w:rPr>
                <w:rStyle w:val="Codetext"/>
              </w:rPr>
              <w:t>pitr̥bhiḥ saha pacyate</w:t>
            </w:r>
            <w:r>
              <w:rPr>
                <w:rStyle w:val="Code"/>
              </w:rPr>
              <w:t>&lt;/l&gt;</w:t>
            </w:r>
          </w:p>
          <w:p>
            <w:pPr>
              <w:pStyle w:val="CodeParagraph"/>
              <w:keepNext/>
            </w:pPr>
            <w:r>
              <w:rPr>
                <w:rStyle w:val="Code"/>
              </w:rPr>
              <w:t>&lt;/lg&gt;</w:t>
            </w:r>
          </w:p>
        </w:tc>
      </w:tr>
      <w:tr>
        <w:tc>
          <w:tcPr>
            <w:tcW w:w="5000" w:type="pct"/>
          </w:tcPr>
          <w:p>
            <w:pPr>
              <w:pStyle w:val="TableNote"/>
              <w:rPr>
                <w:rFonts w:ascii="Arial" w:hAnsi="Arial" w:cs="Arial"/>
                <w:sz w:val="18"/>
                <w:szCs w:val="18"/>
              </w:rPr>
            </w:pPr>
            <w:r>
              <w:t>the first half of stanza 1 is inscribed in line 12</w:t>
            </w:r>
          </w:p>
          <w:p>
            <w:pPr>
              <w:pStyle w:val="TableNote"/>
            </w:pPr>
            <w:r>
              <w:t>at this point the engraver apparently realised that he had forgotten to engrave the prose introducing the admonitory stanzas and engraved that right after the first hemistich</w:t>
            </w:r>
          </w:p>
          <w:p>
            <w:pPr>
              <w:pStyle w:val="TableNote"/>
              <w:rPr>
                <w:rFonts w:ascii="Arial" w:hAnsi="Arial" w:cs="Arial"/>
                <w:sz w:val="18"/>
                <w:szCs w:val="18"/>
              </w:rPr>
            </w:pPr>
            <w:r>
              <w:t>then, at the beginning of line 13, he continued with the rest of the stanza</w:t>
            </w:r>
          </w:p>
          <w:p>
            <w:pPr>
              <w:pStyle w:val="TableNote"/>
            </w:pPr>
            <w:r>
              <w:t>since the out-of-sequence part is integrated into the physical sequence of the text without any indication that this is a correction, the text was encoded with a split container</w:t>
            </w:r>
          </w:p>
        </w:tc>
      </w:tr>
    </w:tbl>
    <w:p>
      <w:pPr>
        <w:pStyle w:val="Cmsor4"/>
      </w:pPr>
      <w:bookmarkStart w:id="86" w:name="_Ref232089040"/>
      <w:bookmarkStart w:id="87" w:name="_Ref225324784"/>
      <w:r>
        <w:t>Extrametrical additions to verse</w:t>
      </w:r>
      <w:bookmarkEnd w:id="86"/>
    </w:p>
    <w:p>
      <w:r>
        <w:t xml:space="preserve">Stanzas occasionally come with extrametrical additions, such as an introductory connective phrase (e.g. </w:t>
      </w:r>
      <w:r>
        <w:rPr>
          <w:rStyle w:val="Foreign"/>
        </w:rPr>
        <w:t>api ca</w:t>
      </w:r>
      <w:r>
        <w:t xml:space="preserve">), an opening label denoting a verse passage (e.g. </w:t>
      </w:r>
      <w:r>
        <w:rPr>
          <w:rStyle w:val="Foreign"/>
        </w:rPr>
        <w:t>ślokāḥ</w:t>
      </w:r>
      <w:r>
        <w:t xml:space="preserve">), an honorific (e.g. </w:t>
      </w:r>
      <w:r>
        <w:rPr>
          <w:rStyle w:val="Foreign"/>
        </w:rPr>
        <w:t>śrī</w:t>
      </w:r>
      <w:r>
        <w:t xml:space="preserve">) tagged on to names, or a closing </w:t>
      </w:r>
      <w:r>
        <w:rPr>
          <w:rStyle w:val="Foreign"/>
        </w:rPr>
        <w:t>iti</w:t>
      </w:r>
      <w:r>
        <w:t xml:space="preserve"> added at the end. Such supplementary pieces of text must be encoded outside the stanza structure, thus:</w:t>
      </w:r>
    </w:p>
    <w:p>
      <w:pPr>
        <w:pStyle w:val="Lista"/>
      </w:pPr>
      <w:r>
        <w:t>if the extrametrical addition is at the beginning or end of a stanza and can be conceived of as belonging to the previous or next container (i.e. when the adjacent container is prose and the addition is semantically contiguous with its content), then simply treat the addition as part of the adjacent container</w:t>
      </w:r>
    </w:p>
    <w:p>
      <w:pPr>
        <w:pStyle w:val="Lista"/>
      </w:pPr>
      <w:r>
        <w:t xml:space="preserve">if the extrametrical addition is at the beginning or end of a stanza but cannot be conceived of as belonging to the previous or next container (i.e. when the adjacent container is verse or the addition is semantically separate from its content), then create a separate </w:t>
      </w:r>
      <w:r>
        <w:rPr>
          <w:rStyle w:val="Code"/>
        </w:rPr>
        <w:t>&lt;ab&gt;</w:t>
      </w:r>
      <w:r>
        <w:t xml:space="preserve"> container (§</w:t>
      </w:r>
      <w:r>
        <w:fldChar w:fldCharType="begin"/>
      </w:r>
      <w:r>
        <w:instrText xml:space="preserve"> REF _Ref43981028 \r \h </w:instrText>
      </w:r>
      <w:r>
        <w:fldChar w:fldCharType="separate"/>
      </w:r>
      <w:r>
        <w:t>3.2.1.2</w:t>
      </w:r>
      <w:r>
        <w:fldChar w:fldCharType="end"/>
      </w:r>
      <w:r>
        <w:t xml:space="preserve">) for the addition as in </w:t>
      </w:r>
      <w:r>
        <w:fldChar w:fldCharType="begin"/>
      </w:r>
      <w:r>
        <w:instrText xml:space="preserve"> REF _Ref137825293 \h </w:instrText>
      </w:r>
      <w:r>
        <w:fldChar w:fldCharType="separate"/>
      </w:r>
      <w:r>
        <w:t xml:space="preserve">Exhibit </w:t>
      </w:r>
      <w:r>
        <w:rPr>
          <w:noProof/>
        </w:rPr>
        <w:t>3.2</w:t>
      </w:r>
      <w:r>
        <w:t>.</w:t>
      </w:r>
      <w:r>
        <w:rPr>
          <w:noProof/>
        </w:rPr>
        <w:t>F</w:t>
      </w:r>
      <w:r>
        <w:fldChar w:fldCharType="end"/>
      </w:r>
    </w:p>
    <w:p>
      <w:pPr>
        <w:pStyle w:val="Lista"/>
      </w:pPr>
      <w:r>
        <w:t>if the extrametrical addition is within a stanza, then split up the stanza as per §</w:t>
      </w:r>
      <w:r>
        <w:fldChar w:fldCharType="begin"/>
      </w:r>
      <w:r>
        <w:instrText xml:space="preserve"> REF _Ref228980509 \r \h </w:instrText>
      </w:r>
      <w:r>
        <w:fldChar w:fldCharType="separate"/>
      </w:r>
      <w:r>
        <w:t>3.2.3.1</w:t>
      </w:r>
      <w:r>
        <w:fldChar w:fldCharType="end"/>
      </w:r>
      <w:r>
        <w:t xml:space="preserve"> and create a separate </w:t>
      </w:r>
      <w:r>
        <w:rPr>
          <w:rStyle w:val="Code"/>
        </w:rPr>
        <w:t>&lt;ab&gt;</w:t>
      </w:r>
      <w:r>
        <w:t xml:space="preserve"> container for the addition</w:t>
      </w:r>
    </w:p>
    <w:p>
      <w:pPr>
        <w:pStyle w:val="Lista"/>
      </w:pPr>
      <w:r>
        <w:t>additional instructions for treating vowel fusion sandhi across container boundaries are given in §</w:t>
      </w:r>
      <w:r>
        <w:fldChar w:fldCharType="begin"/>
      </w:r>
      <w:r>
        <w:instrText xml:space="preserve"> REF _Ref225324953 \r \h </w:instrText>
      </w:r>
      <w:r>
        <w:fldChar w:fldCharType="separate"/>
      </w:r>
      <w:r>
        <w:t>3.2.4.4</w:t>
      </w:r>
      <w:r>
        <w:fldChar w:fldCharType="end"/>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88" w:name="_Ref137825293"/>
            <w:bookmarkStart w:id="89" w:name="_Ref137825286"/>
            <w:r>
              <w:t xml:space="preserve">Exhibit </w:t>
            </w:r>
            <w:fldSimple w:instr=" STYLEREF 2 \s ">
              <w:r>
                <w:rPr>
                  <w:noProof/>
                </w:rPr>
                <w:t>3.2</w:t>
              </w:r>
            </w:fldSimple>
            <w:r>
              <w:t>.</w:t>
            </w:r>
            <w:fldSimple w:instr=" SEQ Exhibit \* ALPHABETIC \s 2 ">
              <w:r>
                <w:rPr>
                  <w:noProof/>
                </w:rPr>
                <w:t>F</w:t>
              </w:r>
            </w:fldSimple>
            <w:bookmarkEnd w:id="88"/>
            <w:r>
              <w:t>: stanza with initial extrametrical addition</w:t>
            </w:r>
            <w:bookmarkEnd w:id="89"/>
          </w:p>
        </w:tc>
      </w:tr>
      <w:tr>
        <w:tc>
          <w:tcPr>
            <w:tcW w:w="5000" w:type="pct"/>
          </w:tcPr>
          <w:p>
            <w:pPr>
              <w:pStyle w:val="CodeParagraph"/>
              <w:rPr>
                <w:rStyle w:val="Code"/>
              </w:rPr>
            </w:pPr>
            <w:r>
              <w:rPr>
                <w:rStyle w:val="Code"/>
              </w:rPr>
              <w:t xml:space="preserve">&lt;ab&gt;&lt;lb </w:t>
            </w:r>
            <w:r>
              <w:rPr>
                <w:rStyle w:val="Codeattribute"/>
              </w:rPr>
              <w:t>n</w:t>
            </w:r>
            <w:r>
              <w:rPr>
                <w:rStyle w:val="Code"/>
              </w:rPr>
              <w:t>=</w:t>
            </w:r>
            <w:r>
              <w:rPr>
                <w:rStyle w:val="Codevalue"/>
              </w:rPr>
              <w:t>"2"</w:t>
            </w:r>
            <w:r>
              <w:rPr>
                <w:rStyle w:val="Code"/>
              </w:rPr>
              <w:t>/&gt;</w:t>
            </w:r>
            <w:r>
              <w:rPr>
                <w:rStyle w:val="Codetext"/>
              </w:rPr>
              <w:t>śrī</w:t>
            </w:r>
            <w:r>
              <w:rPr>
                <w:rStyle w:val="Code"/>
              </w:rPr>
              <w:t>&lt;/ab&gt;</w:t>
            </w:r>
          </w:p>
          <w:p>
            <w:pPr>
              <w:pStyle w:val="CodeParagraph"/>
              <w:rPr>
                <w:rStyle w:val="Code"/>
              </w:rPr>
            </w:pPr>
            <w:r>
              <w:rPr>
                <w:rStyle w:val="Code"/>
              </w:rPr>
              <w:t xml:space="preserve">&lt;lg </w:t>
            </w:r>
            <w:r>
              <w:rPr>
                <w:rStyle w:val="Codeattribute"/>
              </w:rPr>
              <w:t>n</w:t>
            </w:r>
            <w:r>
              <w:rPr>
                <w:rStyle w:val="Code"/>
              </w:rPr>
              <w:t>=</w:t>
            </w:r>
            <w:r>
              <w:rPr>
                <w:rStyle w:val="Codevalue"/>
              </w:rPr>
              <w:t>"2"</w:t>
            </w:r>
            <w:r>
              <w:rPr>
                <w:rStyle w:val="Code"/>
              </w:rPr>
              <w:t xml:space="preserve"> </w:t>
            </w:r>
            <w:r>
              <w:rPr>
                <w:rStyle w:val="Codeattribute"/>
              </w:rPr>
              <w:t>met</w:t>
            </w:r>
            <w:r>
              <w:rPr>
                <w:rStyle w:val="Code"/>
              </w:rPr>
              <w:t>=</w:t>
            </w:r>
            <w:r>
              <w:rPr>
                <w:rStyle w:val="Codevalue"/>
              </w:rPr>
              <w:t>"anuṣṭubh"</w:t>
            </w:r>
            <w:r>
              <w:rPr>
                <w:rStyle w:val="Code"/>
              </w:rPr>
              <w:t>&gt;</w:t>
            </w:r>
          </w:p>
          <w:p>
            <w:pPr>
              <w:pStyle w:val="CodeParagraph"/>
              <w:rPr>
                <w:rStyle w:val="Code"/>
              </w:rPr>
            </w:pPr>
            <w:r>
              <w:rPr>
                <w:rStyle w:val="Code"/>
              </w:rPr>
              <w:t xml:space="preserve">  &lt;l </w:t>
            </w:r>
            <w:r>
              <w:rPr>
                <w:rStyle w:val="Codeattribute"/>
              </w:rPr>
              <w:t>n</w:t>
            </w:r>
            <w:r>
              <w:rPr>
                <w:rStyle w:val="Code"/>
              </w:rPr>
              <w:t>=</w:t>
            </w:r>
            <w:r>
              <w:rPr>
                <w:rStyle w:val="Codevalue"/>
              </w:rPr>
              <w:t>"a"</w:t>
            </w:r>
            <w:r>
              <w:rPr>
                <w:rStyle w:val="Code"/>
              </w:rPr>
              <w:t>&gt;</w:t>
            </w:r>
            <w:r>
              <w:rPr>
                <w:rStyle w:val="Codetext"/>
              </w:rPr>
              <w:t>prabhāsomeśvaraḥ śrīmān·</w:t>
            </w:r>
            <w:r>
              <w:rPr>
                <w:rStyle w:val="Code"/>
              </w:rPr>
              <w:t>&lt;/l&gt;</w:t>
            </w:r>
          </w:p>
          <w:p>
            <w:pPr>
              <w:pStyle w:val="CodeParagraph"/>
              <w:rPr>
                <w:rStyle w:val="Codetext"/>
              </w:rPr>
            </w:pPr>
            <w:r>
              <w:rPr>
                <w:rStyle w:val="Codetext"/>
              </w:rPr>
              <w:t xml:space="preserve">  ...</w:t>
            </w:r>
          </w:p>
          <w:p>
            <w:pPr>
              <w:pStyle w:val="CodeParagraph"/>
            </w:pPr>
            <w:r>
              <w:rPr>
                <w:rStyle w:val="Code"/>
              </w:rPr>
              <w:t>&lt;/lg&gt;</w:t>
            </w:r>
          </w:p>
        </w:tc>
      </w:tr>
      <w:tr>
        <w:tc>
          <w:tcPr>
            <w:tcW w:w="5000" w:type="pct"/>
          </w:tcPr>
          <w:p>
            <w:pPr>
              <w:pStyle w:val="TableNote"/>
            </w:pPr>
            <w:r>
              <w:t xml:space="preserve">the composer or the engraver felt the need to add the honorific </w:t>
            </w:r>
            <w:r>
              <w:rPr>
                <w:rStyle w:val="Foreign"/>
              </w:rPr>
              <w:t>śrī</w:t>
            </w:r>
            <w:r>
              <w:t xml:space="preserve"> before the name of the deity, but the stanza’s metre would be disrupted by this addition</w:t>
            </w:r>
          </w:p>
          <w:p>
            <w:pPr>
              <w:pStyle w:val="TableNote"/>
              <w:rPr>
                <w:rStyle w:val="Code"/>
                <w:rFonts w:ascii="Arial" w:hAnsi="Arial" w:cs="Arial"/>
                <w:noProof w:val="0"/>
                <w:color w:val="auto"/>
                <w:sz w:val="18"/>
                <w:szCs w:val="18"/>
                <w:shd w:val="clear" w:color="auto" w:fill="auto"/>
              </w:rPr>
            </w:pPr>
            <w:r>
              <w:rPr>
                <w:rStyle w:val="Foreign"/>
              </w:rPr>
              <w:t>śrī</w:t>
            </w:r>
            <w:r>
              <w:t xml:space="preserve"> is therefore encoded in a separate prose container before the stanza</w:t>
            </w:r>
          </w:p>
        </w:tc>
      </w:tr>
    </w:tbl>
    <w:p>
      <w:pPr>
        <w:pStyle w:val="Cmsor3"/>
      </w:pPr>
      <w:bookmarkStart w:id="90" w:name="_Toc242976595"/>
      <w:r>
        <w:t xml:space="preserve">Container boundaries interrupting </w:t>
      </w:r>
      <w:bookmarkEnd w:id="87"/>
      <w:r>
        <w:t>the text</w:t>
      </w:r>
      <w:bookmarkEnd w:id="90"/>
    </w:p>
    <w:p>
      <w:bookmarkStart w:id="91" w:name="_npo9c26uh9kc" w:colFirst="0" w:colLast="0"/>
      <w:bookmarkStart w:id="92" w:name="_jc4wva15vg6u" w:colFirst="0" w:colLast="0"/>
      <w:bookmarkStart w:id="93" w:name="_5nopgd94ub2w" w:colFirst="0" w:colLast="0"/>
      <w:bookmarkStart w:id="94" w:name="_9vbmy5wityl0" w:colFirst="0" w:colLast="0"/>
      <w:bookmarkEnd w:id="91"/>
      <w:bookmarkEnd w:id="92"/>
      <w:bookmarkEnd w:id="93"/>
      <w:bookmarkEnd w:id="94"/>
      <w:r>
        <w:t>Since the units of intrinsic structure are determined on a largely semantic basis, their boundaries will normally coincide with word boundaries. This section discusses situations where this is not, or not obviously, the case. Such problematic situations are relatively common in verse lines, which are metrically determined and need not be semantically complete. Exceptionally, the boundaries of other kinds of block-level elements can also interact with the segmentation of the text. As a general rule for this situations, block boundaries must always be established at morphological word boundaries or as close to them as feasible. However, in the case of verse, metrical considerations take precedence, so boundaries must first correspond to the applicable prosodic requirements.</w:t>
      </w:r>
    </w:p>
    <w:p>
      <w:pPr>
        <w:pStyle w:val="Cmsor4"/>
      </w:pPr>
      <w:bookmarkStart w:id="95" w:name="_Ref224901083"/>
      <w:bookmarkStart w:id="96" w:name="_Ref225328264"/>
      <w:bookmarkStart w:id="97" w:name="_Ref225326474"/>
      <w:r>
        <w:lastRenderedPageBreak/>
        <w:t>Enjambement</w:t>
      </w:r>
      <w:bookmarkEnd w:id="95"/>
    </w:p>
    <w:p>
      <w:r>
        <w:t xml:space="preserve">The ends of verse lines normally coincide with word boundaries. When they do not (which may be a poetic device, a compositional mistake, or a different interpretation of versification conventions on the part of the composer), we speak of </w:t>
      </w:r>
      <w:r>
        <w:rPr>
          <w:i/>
          <w:iCs/>
        </w:rPr>
        <w:t>enjambement</w:t>
      </w:r>
      <w:r>
        <w:t xml:space="preserve">. TEI represents enjambement by adding the attribute </w:t>
      </w:r>
      <w:r>
        <w:rPr>
          <w:rStyle w:val="Codeattribute"/>
        </w:rPr>
        <w:t>@enjamb=</w:t>
      </w:r>
      <w:r>
        <w:rPr>
          <w:rStyle w:val="Codevalue"/>
        </w:rPr>
        <w:t>"yes"</w:t>
      </w:r>
      <w:r>
        <w:t xml:space="preserve"> to the </w:t>
      </w:r>
      <w:r>
        <w:rPr>
          <w:rStyle w:val="Code"/>
        </w:rPr>
        <w:t>&lt;l&gt;</w:t>
      </w:r>
      <w:r>
        <w:t xml:space="preserve"> element which ends inside a word, i.e. the one containing the initial part of the broken word, not to the one containing the final part.</w:t>
      </w:r>
    </w:p>
    <w:p>
      <w:pPr>
        <w:pStyle w:val="Normlbehzs"/>
      </w:pPr>
      <w:r>
        <w:t>In DHARMA practice, encoding enjambement is mandatory whenever a line boundary does not coincide with a word boundary. Instructions pertaining to the various ways in which line and word boundaries interact are given in the following subsections.</w:t>
      </w:r>
    </w:p>
    <w:p>
      <w:pPr>
        <w:pStyle w:val="Cmsor4"/>
      </w:pPr>
      <w:r>
        <w:t xml:space="preserve">Interrupted </w:t>
      </w:r>
      <w:r>
        <w:rPr>
          <w:rStyle w:val="Foreign"/>
        </w:rPr>
        <w:t>akṣara</w:t>
      </w:r>
      <w:r>
        <w:rPr>
          <w:rStyle w:val="Foreign"/>
          <w:i w:val="0"/>
          <w:iCs w:val="0"/>
        </w:rPr>
        <w:t>s</w:t>
      </w:r>
      <w:bookmarkEnd w:id="96"/>
    </w:p>
    <w:p>
      <w:r>
        <w:t xml:space="preserve">All of our editions are in Romanised transliteration, which allows us to detach any two adjacent graphemes of the text, even if these graphemes belong to a single </w:t>
      </w:r>
      <w:r>
        <w:rPr>
          <w:rStyle w:val="Foreign"/>
        </w:rPr>
        <w:t>akṣara</w:t>
      </w:r>
      <w:r>
        <w:t xml:space="preserve"> in the source.</w:t>
      </w:r>
      <w:r>
        <w:rPr>
          <w:rStyle w:val="Lbjegyzet-hivatkozs"/>
        </w:rPr>
        <w:footnoteReference w:id="9"/>
      </w:r>
      <w:r>
        <w:t xml:space="preserve"> The boundaries of block-level elements must always be placed at word boundaries unless this is patently impossible, while </w:t>
      </w:r>
      <w:r>
        <w:rPr>
          <w:rStyle w:val="Foreign"/>
        </w:rPr>
        <w:t>akṣara</w:t>
      </w:r>
      <w:r>
        <w:t xml:space="preserve"> boundaries can and must be disregarded when applicable.</w:t>
      </w:r>
    </w:p>
    <w:p>
      <w:pPr>
        <w:pStyle w:val="Lista"/>
      </w:pPr>
      <w:r>
        <w:t xml:space="preserve">if </w:t>
      </w:r>
      <w:r>
        <w:rPr>
          <w:b/>
          <w:bCs/>
        </w:rPr>
        <w:t>the end of a verse line</w:t>
      </w:r>
      <w:r>
        <w:t xml:space="preserve"> falls at a segmentable point inside an </w:t>
      </w:r>
      <w:r>
        <w:rPr>
          <w:rStyle w:val="Foreign"/>
        </w:rPr>
        <w:t>akṣara</w:t>
      </w:r>
      <w:r>
        <w:t xml:space="preserve">, as in </w:t>
      </w:r>
      <w:r>
        <w:fldChar w:fldCharType="begin"/>
      </w:r>
      <w:r>
        <w:instrText xml:space="preserve"> REF _Ref181626270 \h </w:instrText>
      </w:r>
      <w:r>
        <w:fldChar w:fldCharType="separate"/>
      </w:r>
      <w:r>
        <w:t xml:space="preserve">Exhibit </w:t>
      </w:r>
      <w:r>
        <w:rPr>
          <w:noProof/>
        </w:rPr>
        <w:t>3.2</w:t>
      </w:r>
      <w:r>
        <w:t>.</w:t>
      </w:r>
      <w:r>
        <w:rPr>
          <w:noProof/>
        </w:rPr>
        <w:t>G</w:t>
      </w:r>
      <w:r>
        <w:fldChar w:fldCharType="end"/>
      </w:r>
    </w:p>
    <w:p>
      <w:pPr>
        <w:pStyle w:val="Lista2"/>
      </w:pPr>
      <w:r>
        <w:t xml:space="preserve">ignore the </w:t>
      </w:r>
      <w:r>
        <w:rPr>
          <w:rStyle w:val="Foreign"/>
        </w:rPr>
        <w:t>akṣara</w:t>
      </w:r>
      <w:r>
        <w:t xml:space="preserve"> boundary and mark up the block boundary in its proper place</w:t>
      </w:r>
    </w:p>
    <w:p>
      <w:pPr>
        <w:pStyle w:val="Lista2"/>
      </w:pPr>
      <w:r>
        <w:t>enjambement (§</w:t>
      </w:r>
      <w:r>
        <w:fldChar w:fldCharType="begin"/>
      </w:r>
      <w:r>
        <w:instrText xml:space="preserve"> REF _Ref224901083 \r \h </w:instrText>
      </w:r>
      <w:r>
        <w:fldChar w:fldCharType="separate"/>
      </w:r>
      <w:r>
        <w:t>3.2.4.1</w:t>
      </w:r>
      <w:r>
        <w:fldChar w:fldCharType="end"/>
      </w:r>
      <w:r>
        <w:t>) is not present</w:t>
      </w:r>
    </w:p>
    <w:p>
      <w:pPr>
        <w:pStyle w:val="Lista"/>
      </w:pPr>
      <w:r>
        <w:t xml:space="preserve">this applies no less to cases where sandhi reduces a final vowel to a semivowel, as in </w:t>
      </w:r>
      <w:r>
        <w:fldChar w:fldCharType="begin"/>
      </w:r>
      <w:r>
        <w:instrText xml:space="preserve"> REF _Ref224916154 \h </w:instrText>
      </w:r>
      <w:r>
        <w:fldChar w:fldCharType="separate"/>
      </w:r>
      <w:r>
        <w:t xml:space="preserve">Exhibit </w:t>
      </w:r>
      <w:r>
        <w:rPr>
          <w:noProof/>
        </w:rPr>
        <w:t>3.2</w:t>
      </w:r>
      <w:r>
        <w:t>.</w:t>
      </w:r>
      <w:r>
        <w:rPr>
          <w:noProof/>
        </w:rPr>
        <w:t>H</w:t>
      </w:r>
      <w:r>
        <w:fldChar w:fldCharType="end"/>
      </w:r>
    </w:p>
    <w:p>
      <w:pPr>
        <w:pStyle w:val="Lista2"/>
      </w:pPr>
      <w:r>
        <w:t>the block boundary can still be marked up at the original word boundary</w:t>
      </w:r>
    </w:p>
    <w:p>
      <w:pPr>
        <w:pStyle w:val="Lista"/>
      </w:pPr>
      <w:r>
        <w:t xml:space="preserve">if the original document employs a space or a symbol for indicating the block boundary, but this indication does not exactly coincide with the boundary because of the presence of a merged </w:t>
      </w:r>
      <w:r>
        <w:rPr>
          <w:rStyle w:val="Foreign"/>
        </w:rPr>
        <w:t>akṣara</w:t>
      </w:r>
      <w:r>
        <w:t xml:space="preserve"> (e.g. </w:t>
      </w:r>
      <w:r>
        <w:rPr>
          <w:rStyle w:val="Foreign"/>
        </w:rPr>
        <w:t>paṁcaviṁśati|ntat-putro</w:t>
      </w:r>
      <w:r>
        <w:t>)</w:t>
      </w:r>
    </w:p>
    <w:p>
      <w:pPr>
        <w:pStyle w:val="Lista2"/>
      </w:pPr>
      <w:r>
        <w:t>encode the space or symbol at its true location</w:t>
      </w:r>
    </w:p>
    <w:p>
      <w:pPr>
        <w:pStyle w:val="Lista2"/>
      </w:pPr>
      <w:r>
        <w:t>optionally flag the locus as non-standard and/or normalise it as per §</w:t>
      </w:r>
      <w:r>
        <w:fldChar w:fldCharType="begin"/>
      </w:r>
      <w:r>
        <w:instrText xml:space="preserve"> REF _Ref227836867 \r \h </w:instrText>
      </w:r>
      <w:r>
        <w:fldChar w:fldCharType="separate"/>
      </w:r>
      <w:r>
        <w:t>5.3.6</w:t>
      </w:r>
      <w:r>
        <w:fldChar w:fldCharType="end"/>
      </w:r>
      <w:r>
        <w:t xml:space="preserve"> (for symbols) and §</w:t>
      </w:r>
      <w:r>
        <w:fldChar w:fldCharType="begin"/>
      </w:r>
      <w:r>
        <w:instrText xml:space="preserve"> REF _Ref227836913 \r \h </w:instrText>
      </w:r>
      <w:r>
        <w:fldChar w:fldCharType="separate"/>
      </w:r>
      <w:r>
        <w:t>5.4.4</w:t>
      </w:r>
      <w:r>
        <w:fldChar w:fldCharType="end"/>
      </w:r>
      <w:r>
        <w:t xml:space="preserve"> (for spaces)</w:t>
      </w:r>
    </w:p>
    <w:p/>
    <w:tbl>
      <w:tblPr>
        <w:tblStyle w:val="CodeSampleTable"/>
        <w:tblW w:w="5000" w:type="pct"/>
        <w:tblLook w:val="04A0" w:firstRow="1" w:lastRow="0" w:firstColumn="1" w:lastColumn="0" w:noHBand="0" w:noVBand="1"/>
      </w:tblPr>
      <w:tblGrid>
        <w:gridCol w:w="6231"/>
        <w:gridCol w:w="3397"/>
      </w:tblGrid>
      <w:tr>
        <w:trPr>
          <w:cnfStyle w:val="100000000000" w:firstRow="1" w:lastRow="0" w:firstColumn="0" w:lastColumn="0" w:oddVBand="0" w:evenVBand="0" w:oddHBand="0" w:evenHBand="0" w:firstRowFirstColumn="0" w:firstRowLastColumn="0" w:lastRowFirstColumn="0" w:lastRowLastColumn="0"/>
        </w:trPr>
        <w:tc>
          <w:tcPr>
            <w:tcW w:w="5000" w:type="pct"/>
            <w:gridSpan w:val="2"/>
          </w:tcPr>
          <w:p>
            <w:pPr>
              <w:pStyle w:val="Kpalrs"/>
            </w:pPr>
            <w:bookmarkStart w:id="98" w:name="_Ref181626270"/>
            <w:r>
              <w:t xml:space="preserve">Exhibit </w:t>
            </w:r>
            <w:fldSimple w:instr=" STYLEREF 2 \s ">
              <w:r>
                <w:rPr>
                  <w:noProof/>
                </w:rPr>
                <w:t>3.2</w:t>
              </w:r>
            </w:fldSimple>
            <w:r>
              <w:t>.</w:t>
            </w:r>
            <w:fldSimple w:instr=" SEQ Exhibit \* ALPHABETIC \s 2 ">
              <w:r>
                <w:rPr>
                  <w:noProof/>
                </w:rPr>
                <w:t>G</w:t>
              </w:r>
            </w:fldSimple>
            <w:bookmarkEnd w:id="98"/>
            <w:r>
              <w:t xml:space="preserve">: </w:t>
            </w:r>
            <w:r>
              <w:rPr>
                <w:rStyle w:val="Foreign"/>
              </w:rPr>
              <w:t>akṣara</w:t>
            </w:r>
            <w:r>
              <w:t xml:space="preserve"> overlapping metrical boundary</w:t>
            </w:r>
          </w:p>
        </w:tc>
      </w:tr>
      <w:tr>
        <w:tc>
          <w:tcPr>
            <w:tcW w:w="3236" w:type="pct"/>
          </w:tcPr>
          <w:p>
            <w:pPr>
              <w:pStyle w:val="CodeParagraph"/>
              <w:keepNext/>
            </w:pPr>
            <w:r>
              <w:rPr>
                <w:rStyle w:val="Code"/>
              </w:rPr>
              <w:t xml:space="preserve">&lt;lg </w:t>
            </w:r>
            <w:r>
              <w:rPr>
                <w:rStyle w:val="Codeattribute"/>
              </w:rPr>
              <w:t>n</w:t>
            </w:r>
            <w:r>
              <w:rPr>
                <w:rStyle w:val="Code"/>
              </w:rPr>
              <w:t>=</w:t>
            </w:r>
            <w:r>
              <w:rPr>
                <w:rStyle w:val="Codevalue"/>
              </w:rPr>
              <w:t>"20"</w:t>
            </w:r>
            <w:r>
              <w:rPr>
                <w:rStyle w:val="Code"/>
              </w:rPr>
              <w:t xml:space="preserve"> </w:t>
            </w:r>
            <w:r>
              <w:rPr>
                <w:rStyle w:val="Codeattribute"/>
              </w:rPr>
              <w:t>met</w:t>
            </w:r>
            <w:r>
              <w:rPr>
                <w:rStyle w:val="Code"/>
              </w:rPr>
              <w:t>=</w:t>
            </w:r>
            <w:r>
              <w:rPr>
                <w:rStyle w:val="Codevalue"/>
              </w:rPr>
              <w:t>"anuṣṭubh"</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w:t>
            </w:r>
            <w:r>
              <w:rPr>
                <w:rStyle w:val="Code"/>
              </w:rPr>
              <w:t>&gt;</w:t>
            </w:r>
            <w:r>
              <w:rPr>
                <w:rStyle w:val="Codetext"/>
              </w:rPr>
              <w:t>bahubhir vvasudhā dattā</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"b"</w:t>
            </w:r>
            <w:r>
              <w:rPr>
                <w:rStyle w:val="Code"/>
              </w:rPr>
              <w:t>&gt;</w:t>
            </w:r>
            <w:r>
              <w:rPr>
                <w:rStyle w:val="Codetext"/>
              </w:rPr>
              <w:t>bahubhiś cānupālitā</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&gt;</w:t>
            </w:r>
            <w:r>
              <w:rPr>
                <w:rStyle w:val="Codetext"/>
              </w:rPr>
              <w:t>yasya yasya yadā bhūmis</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&gt;</w:t>
            </w:r>
            <w:r>
              <w:rPr>
                <w:rStyle w:val="Codetext"/>
              </w:rPr>
              <w:t>tasya tasya tadā phalaṁ</w:t>
            </w:r>
            <w:r>
              <w:rPr>
                <w:rStyle w:val="Code"/>
              </w:rPr>
              <w:t>&lt;/l&gt;</w:t>
            </w:r>
            <w:r>
              <w:rPr>
                <w:rStyle w:val="Codetext"/>
              </w:rPr>
              <w:br/>
            </w:r>
            <w:r>
              <w:rPr>
                <w:rStyle w:val="Code"/>
              </w:rPr>
              <w:t>&lt;/lg&gt;</w:t>
            </w:r>
          </w:p>
        </w:tc>
        <w:tc>
          <w:tcPr>
            <w:tcW w:w="1764" w:type="pct"/>
          </w:tcPr>
          <w:p>
            <w:pPr>
              <w:pStyle w:val="Tabletext"/>
              <w:rPr>
                <w:rStyle w:val="ForeignDevanagariScript0"/>
                <w:sz w:val="24"/>
                <w:szCs w:val="24"/>
              </w:rPr>
            </w:pPr>
            <w:r>
              <w:rPr>
                <w:rStyle w:val="ForeignDevanagariScript0"/>
                <w:sz w:val="24"/>
                <w:szCs w:val="24"/>
                <w:cs/>
              </w:rPr>
              <w:t>बहुभिर्व्वसुधा दत्ता</w:t>
            </w:r>
          </w:p>
          <w:p>
            <w:pPr>
              <w:pStyle w:val="Tabletext"/>
              <w:rPr>
                <w:rStyle w:val="ForeignDevanagariScript0"/>
                <w:sz w:val="24"/>
                <w:szCs w:val="24"/>
              </w:rPr>
            </w:pPr>
            <w:r>
              <w:rPr>
                <w:rStyle w:val="ForeignDevanagariScript0"/>
                <w:sz w:val="24"/>
                <w:szCs w:val="24"/>
                <w:cs/>
              </w:rPr>
              <w:t>बहुभिश्चानुपालिता</w:t>
            </w:r>
          </w:p>
          <w:p>
            <w:pPr>
              <w:pStyle w:val="Tabletext"/>
              <w:rPr>
                <w:rStyle w:val="ForeignDevanagariScript0"/>
                <w:sz w:val="24"/>
                <w:szCs w:val="24"/>
              </w:rPr>
            </w:pPr>
            <w:r>
              <w:rPr>
                <w:rStyle w:val="ForeignDevanagariScript0"/>
                <w:sz w:val="24"/>
                <w:szCs w:val="24"/>
                <w:cs/>
              </w:rPr>
              <w:t xml:space="preserve">यस्य यस्य यदा </w:t>
            </w:r>
            <w:r>
              <w:rPr>
                <w:rStyle w:val="ForeignDevanagariScript0"/>
                <w:color w:val="EE0000"/>
                <w:sz w:val="24"/>
                <w:szCs w:val="24"/>
                <w:cs/>
              </w:rPr>
              <w:t>भूमि</w:t>
            </w:r>
          </w:p>
          <w:p>
            <w:pPr>
              <w:pStyle w:val="Tabletext"/>
            </w:pPr>
            <w:r>
              <w:rPr>
                <w:rStyle w:val="ForeignDevanagariScript0"/>
                <w:color w:val="EE0000"/>
                <w:sz w:val="24"/>
                <w:szCs w:val="24"/>
                <w:cs/>
              </w:rPr>
              <w:t>स्तस्य</w:t>
            </w:r>
            <w:r>
              <w:rPr>
                <w:rStyle w:val="ForeignDevanagariScript0"/>
                <w:sz w:val="24"/>
                <w:szCs w:val="24"/>
                <w:cs/>
              </w:rPr>
              <w:t xml:space="preserve"> तस्य तदा फलं</w:t>
            </w:r>
          </w:p>
        </w:tc>
      </w:tr>
      <w:tr>
        <w:tc>
          <w:tcPr>
            <w:tcW w:w="5000" w:type="pct"/>
            <w:gridSpan w:val="2"/>
          </w:tcPr>
          <w:p>
            <w:pPr>
              <w:pStyle w:val="TableNote"/>
              <w:keepNext/>
            </w:pPr>
            <w:r>
              <w:t xml:space="preserve">the end of line c can and must be marked up after </w:t>
            </w:r>
            <w:r>
              <w:rPr>
                <w:rStyle w:val="Foreign"/>
              </w:rPr>
              <w:t>bhūmis</w:t>
            </w:r>
            <w:r>
              <w:t xml:space="preserve">, even though the </w:t>
            </w:r>
            <w:r>
              <w:rPr>
                <w:rStyle w:val="Foreign"/>
              </w:rPr>
              <w:t>s</w:t>
            </w:r>
            <w:r>
              <w:t xml:space="preserve"> at the end of this word is part of the </w:t>
            </w:r>
            <w:r>
              <w:rPr>
                <w:rStyle w:val="Foreign"/>
              </w:rPr>
              <w:t>akṣara</w:t>
            </w:r>
            <w:r>
              <w:t xml:space="preserve"> </w:t>
            </w:r>
            <w:r>
              <w:rPr>
                <w:rStyle w:val="Foreign"/>
              </w:rPr>
              <w:t>sta</w:t>
            </w:r>
            <w:r>
              <w:t xml:space="preserve"> in Indic script and is routinely shown in the next line in Indic typography</w:t>
            </w:r>
          </w:p>
        </w:tc>
      </w:tr>
    </w:tbl>
    <w:p/>
    <w:tbl>
      <w:tblPr>
        <w:tblStyle w:val="CodeSampleTable"/>
        <w:tblW w:w="5000" w:type="pct"/>
        <w:tblLook w:val="04A0" w:firstRow="1" w:lastRow="0" w:firstColumn="1" w:lastColumn="0" w:noHBand="0" w:noVBand="1"/>
      </w:tblPr>
      <w:tblGrid>
        <w:gridCol w:w="6231"/>
        <w:gridCol w:w="3397"/>
      </w:tblGrid>
      <w:tr>
        <w:trPr>
          <w:cnfStyle w:val="100000000000" w:firstRow="1" w:lastRow="0" w:firstColumn="0" w:lastColumn="0" w:oddVBand="0" w:evenVBand="0" w:oddHBand="0" w:evenHBand="0" w:firstRowFirstColumn="0" w:firstRowLastColumn="0" w:lastRowFirstColumn="0" w:lastRowLastColumn="0"/>
        </w:trPr>
        <w:tc>
          <w:tcPr>
            <w:tcW w:w="5000" w:type="pct"/>
            <w:gridSpan w:val="2"/>
          </w:tcPr>
          <w:p>
            <w:pPr>
              <w:pStyle w:val="Kpalrs"/>
            </w:pPr>
            <w:bookmarkStart w:id="99" w:name="_Ref224916154"/>
            <w:r>
              <w:t xml:space="preserve">Exhibit </w:t>
            </w:r>
            <w:fldSimple w:instr=" STYLEREF 2 \s ">
              <w:r>
                <w:rPr>
                  <w:noProof/>
                </w:rPr>
                <w:t>3.2</w:t>
              </w:r>
            </w:fldSimple>
            <w:r>
              <w:t>.</w:t>
            </w:r>
            <w:fldSimple w:instr=" SEQ Exhibit \* ALPHABETIC \s 2 ">
              <w:r>
                <w:rPr>
                  <w:noProof/>
                </w:rPr>
                <w:t>H</w:t>
              </w:r>
            </w:fldSimple>
            <w:bookmarkEnd w:id="99"/>
            <w:r>
              <w:t>: vowel reduction at</w:t>
            </w:r>
            <w:r>
              <w:rPr>
                <w:rStyle w:val="Foreign"/>
              </w:rPr>
              <w:t xml:space="preserve"> </w:t>
            </w:r>
            <w:r>
              <w:t>metrical boundary</w:t>
            </w:r>
          </w:p>
        </w:tc>
      </w:tr>
      <w:tr>
        <w:tc>
          <w:tcPr>
            <w:tcW w:w="3236" w:type="pct"/>
          </w:tcPr>
          <w:p>
            <w:pPr>
              <w:pStyle w:val="CodeParagraph"/>
              <w:keepNext/>
            </w:pPr>
            <w:r>
              <w:rPr>
                <w:rStyle w:val="Code"/>
              </w:rPr>
              <w:t xml:space="preserve">&lt;lg </w:t>
            </w:r>
            <w:r>
              <w:rPr>
                <w:rStyle w:val="Codeattribute"/>
              </w:rPr>
              <w:t>n</w:t>
            </w:r>
            <w:r>
              <w:rPr>
                <w:rStyle w:val="Code"/>
              </w:rPr>
              <w:t>=</w:t>
            </w:r>
            <w:r>
              <w:rPr>
                <w:rStyle w:val="Codevalue"/>
              </w:rPr>
              <w:t>"8"</w:t>
            </w:r>
            <w:r>
              <w:rPr>
                <w:rStyle w:val="Code"/>
              </w:rPr>
              <w:t xml:space="preserve"> </w:t>
            </w:r>
            <w:r>
              <w:rPr>
                <w:rStyle w:val="Codeattribute"/>
              </w:rPr>
              <w:t>met</w:t>
            </w:r>
            <w:r>
              <w:rPr>
                <w:rStyle w:val="Code"/>
              </w:rPr>
              <w:t>=</w:t>
            </w:r>
            <w:r>
              <w:rPr>
                <w:rStyle w:val="Codevalue"/>
              </w:rPr>
              <w:t>"vasantatilakā"</w:t>
            </w:r>
            <w:r>
              <w:rPr>
                <w:rStyle w:val="Code"/>
              </w:rPr>
              <w:t>&gt;</w:t>
            </w:r>
            <w:r>
              <w:rPr>
                <w:rStyle w:val="Codetext"/>
              </w:rPr>
              <w:br/>
              <w:t xml:space="preserve">  ...</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&gt;</w:t>
            </w:r>
            <w:r>
              <w:rPr>
                <w:rStyle w:val="Codetext"/>
              </w:rPr>
              <w:t>dānārṇṇavāmma-nr̥payoḥ khalu paṁcaviṁśaty</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&gt;</w:t>
            </w:r>
            <w:r>
              <w:rPr>
                <w:rStyle w:val="Codetext"/>
              </w:rPr>
              <w:t>abdān arakṣad avanī-talam ammarājaḥ</w:t>
            </w:r>
            <w:r>
              <w:rPr>
                <w:rStyle w:val="Code"/>
              </w:rPr>
              <w:t>&lt;/l&gt;</w:t>
            </w:r>
            <w:r>
              <w:rPr>
                <w:rStyle w:val="Codetext"/>
              </w:rPr>
              <w:br/>
            </w:r>
            <w:r>
              <w:rPr>
                <w:rStyle w:val="Code"/>
              </w:rPr>
              <w:t>&lt;/lg&gt;</w:t>
            </w:r>
          </w:p>
        </w:tc>
        <w:tc>
          <w:tcPr>
            <w:tcW w:w="1764" w:type="pct"/>
          </w:tcPr>
          <w:p>
            <w:pPr>
              <w:pStyle w:val="Tabletext"/>
              <w:rPr>
                <w:rStyle w:val="ForeignDevanagariScript0"/>
                <w:sz w:val="24"/>
                <w:szCs w:val="24"/>
              </w:rPr>
            </w:pPr>
            <w:r>
              <w:rPr>
                <w:rStyle w:val="ForeignDevanagariScript0"/>
                <w:sz w:val="24"/>
                <w:szCs w:val="24"/>
                <w:cs/>
              </w:rPr>
              <w:t xml:space="preserve">दानार्ण्णवाम्मनृपयोः खलु </w:t>
            </w:r>
            <w:r>
              <w:rPr>
                <w:rStyle w:val="ForeignDevanagariScript0"/>
                <w:color w:val="EE0000"/>
                <w:sz w:val="24"/>
                <w:szCs w:val="24"/>
                <w:cs/>
              </w:rPr>
              <w:t>पंचविंश</w:t>
            </w:r>
          </w:p>
          <w:p>
            <w:pPr>
              <w:pStyle w:val="Tabletext"/>
            </w:pPr>
            <w:r>
              <w:rPr>
                <w:rStyle w:val="ForeignDevanagariScript0"/>
                <w:color w:val="EE0000"/>
                <w:sz w:val="24"/>
                <w:szCs w:val="24"/>
                <w:cs/>
              </w:rPr>
              <w:t>त्य</w:t>
            </w:r>
            <w:r>
              <w:rPr>
                <w:rStyle w:val="ForeignDevanagariScript0"/>
                <w:sz w:val="24"/>
                <w:szCs w:val="24"/>
                <w:cs/>
              </w:rPr>
              <w:t>ब्दानरक्षदवनीतलमम्मराजः</w:t>
            </w:r>
          </w:p>
          <w:p>
            <w:pPr>
              <w:pStyle w:val="Tabletext"/>
            </w:pPr>
          </w:p>
        </w:tc>
      </w:tr>
      <w:tr>
        <w:tc>
          <w:tcPr>
            <w:tcW w:w="5000" w:type="pct"/>
            <w:gridSpan w:val="2"/>
          </w:tcPr>
          <w:p>
            <w:pPr>
              <w:pStyle w:val="TableNote"/>
              <w:keepNext/>
            </w:pPr>
            <w:r>
              <w:t xml:space="preserve">the end of line c can and must be marked up after </w:t>
            </w:r>
            <w:r>
              <w:rPr>
                <w:rStyle w:val="Foreign"/>
              </w:rPr>
              <w:t>paṁcaviṁśaty</w:t>
            </w:r>
            <w:r>
              <w:t xml:space="preserve">, even though the end of this word is part of the </w:t>
            </w:r>
            <w:r>
              <w:rPr>
                <w:rStyle w:val="Foreign"/>
              </w:rPr>
              <w:t>akṣara</w:t>
            </w:r>
            <w:r>
              <w:t xml:space="preserve"> </w:t>
            </w:r>
            <w:r>
              <w:rPr>
                <w:rStyle w:val="Foreign"/>
              </w:rPr>
              <w:t>tya</w:t>
            </w:r>
            <w:r>
              <w:t xml:space="preserve"> in Indic script and even though </w:t>
            </w:r>
            <w:r>
              <w:rPr>
                <w:rStyle w:val="Foreign"/>
              </w:rPr>
              <w:t>paṁcaviṁśaty</w:t>
            </w:r>
            <w:r>
              <w:t xml:space="preserve"> is not really pronounceable in isolation</w:t>
            </w:r>
          </w:p>
        </w:tc>
      </w:tr>
    </w:tbl>
    <w:p/>
    <w:p>
      <w:pPr>
        <w:pStyle w:val="Lista"/>
      </w:pPr>
      <w:r>
        <w:t xml:space="preserve">the </w:t>
      </w:r>
      <w:r>
        <w:rPr>
          <w:b/>
          <w:bCs/>
        </w:rPr>
        <w:t>end of a prose block</w:t>
      </w:r>
      <w:r>
        <w:t xml:space="preserve"> may also fall inside an </w:t>
      </w:r>
      <w:r>
        <w:rPr>
          <w:rStyle w:val="Foreign"/>
        </w:rPr>
        <w:t>akṣara</w:t>
      </w:r>
      <w:r>
        <w:t xml:space="preserve"> if the editor feels that a semantic boundary is present, but the writer of the source document did not choose to represent that boundary with a hiatus in writing, as in </w:t>
      </w:r>
      <w:r>
        <w:fldChar w:fldCharType="begin"/>
      </w:r>
      <w:r>
        <w:instrText xml:space="preserve"> REF _Ref181371522 \h </w:instrText>
      </w:r>
      <w:r>
        <w:fldChar w:fldCharType="separate"/>
      </w:r>
      <w:r>
        <w:t xml:space="preserve">Exhibit </w:t>
      </w:r>
      <w:r>
        <w:rPr>
          <w:noProof/>
        </w:rPr>
        <w:t>3.2</w:t>
      </w:r>
      <w:r>
        <w:t>.</w:t>
      </w:r>
      <w:r>
        <w:rPr>
          <w:noProof/>
        </w:rPr>
        <w:t>I</w:t>
      </w:r>
      <w:r>
        <w:fldChar w:fldCharType="end"/>
      </w:r>
    </w:p>
    <w:p>
      <w:pPr>
        <w:pStyle w:val="Lista2"/>
      </w:pPr>
      <w:r>
        <w:t>in such cases, too, encode the block boundary at the word boundary if it is segmentable in transliteration</w:t>
      </w:r>
    </w:p>
    <w:p>
      <w:pPr>
        <w:pStyle w:val="Lista2"/>
      </w:pPr>
      <w:r>
        <w:lastRenderedPageBreak/>
        <w:t>additionally, you may optionally either flag (§</w:t>
      </w:r>
      <w:r>
        <w:fldChar w:fldCharType="begin"/>
      </w:r>
      <w:r>
        <w:instrText xml:space="preserve"> REF _Ref228886903 \r \h </w:instrText>
      </w:r>
      <w:r>
        <w:fldChar w:fldCharType="separate"/>
      </w:r>
      <w:r>
        <w:t>7.4.2</w:t>
      </w:r>
      <w:r>
        <w:fldChar w:fldCharType="end"/>
      </w:r>
      <w:r>
        <w:t>) or normalise (§</w:t>
      </w:r>
      <w:r>
        <w:fldChar w:fldCharType="begin"/>
      </w:r>
      <w:r>
        <w:instrText xml:space="preserve"> REF _Ref228885848 \r \h </w:instrText>
      </w:r>
      <w:r>
        <w:fldChar w:fldCharType="separate"/>
      </w:r>
      <w:r>
        <w:t>7.5.1.2</w:t>
      </w:r>
      <w:r>
        <w:fldChar w:fldCharType="end"/>
      </w:r>
      <w:r>
        <w:t>) non-standard usage on both sides of the break</w:t>
      </w:r>
    </w:p>
    <w:p>
      <w:pPr>
        <w:pStyle w:val="Lista3"/>
      </w:pPr>
      <w:r>
        <w:t xml:space="preserve">thus, each of the methods shown in </w:t>
      </w:r>
      <w:r>
        <w:fldChar w:fldCharType="begin"/>
      </w:r>
      <w:r>
        <w:instrText xml:space="preserve"> REF _Ref181371522 \h </w:instrText>
      </w:r>
      <w:r>
        <w:fldChar w:fldCharType="separate"/>
      </w:r>
      <w:r>
        <w:t xml:space="preserve">Exhibit </w:t>
      </w:r>
      <w:r>
        <w:rPr>
          <w:noProof/>
        </w:rPr>
        <w:t>3.2</w:t>
      </w:r>
      <w:r>
        <w:t>.</w:t>
      </w:r>
      <w:r>
        <w:rPr>
          <w:noProof/>
        </w:rPr>
        <w:t>I</w:t>
      </w:r>
      <w:r>
        <w:fldChar w:fldCharType="end"/>
      </w:r>
      <w:r>
        <w:t xml:space="preserve"> is acceptable, depending on your judgement</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00" w:name="_Ref181371522"/>
            <w:r>
              <w:t xml:space="preserve">Exhibit </w:t>
            </w:r>
            <w:fldSimple w:instr=" STYLEREF 2 \s ">
              <w:r>
                <w:rPr>
                  <w:noProof/>
                </w:rPr>
                <w:t>3.2</w:t>
              </w:r>
            </w:fldSimple>
            <w:r>
              <w:t>.</w:t>
            </w:r>
            <w:fldSimple w:instr=" SEQ Exhibit \* ALPHABETIC \s 2 ">
              <w:r>
                <w:rPr>
                  <w:noProof/>
                </w:rPr>
                <w:t>I</w:t>
              </w:r>
            </w:fldSimple>
            <w:bookmarkEnd w:id="100"/>
            <w:r>
              <w:t>: prose boundary obscured by non-fusion sandhi</w:t>
            </w:r>
          </w:p>
        </w:tc>
      </w:tr>
      <w:tr>
        <w:tc>
          <w:tcPr>
            <w:tcW w:w="5000" w:type="pct"/>
          </w:tcPr>
          <w:p>
            <w:pPr>
              <w:pStyle w:val="CodeParagraph"/>
              <w:keepNext/>
              <w:rPr>
                <w:rStyle w:val="Code"/>
              </w:rPr>
            </w:pPr>
            <w:r>
              <w:rPr>
                <w:rStyle w:val="Code"/>
              </w:rPr>
              <w:t>&lt;p&gt;</w:t>
            </w:r>
            <w:r>
              <w:rPr>
                <w:rStyle w:val="Codetext"/>
              </w:rPr>
              <w:t xml:space="preserve"> ... ājñāpayaty</w:t>
            </w:r>
            <w:r>
              <w:rPr>
                <w:rStyle w:val="Code"/>
              </w:rPr>
              <w:t>&lt;/p&gt;</w:t>
            </w:r>
          </w:p>
          <w:p>
            <w:pPr>
              <w:pStyle w:val="CodeParagraph"/>
              <w:keepNext/>
              <w:rPr>
                <w:color w:val="000080"/>
                <w:shd w:val="clear" w:color="auto" w:fill="F8F8F8"/>
              </w:rPr>
            </w:pPr>
            <w:r>
              <w:rPr>
                <w:rStyle w:val="Code"/>
              </w:rPr>
              <w:t>&lt;p&gt;</w:t>
            </w:r>
            <w:r>
              <w:rPr>
                <w:rStyle w:val="Codetext"/>
              </w:rPr>
              <w:t xml:space="preserve">astu vo viditam ... </w:t>
            </w:r>
            <w:r>
              <w:rPr>
                <w:rStyle w:val="Code"/>
              </w:rPr>
              <w:t>&lt;/p&gt;</w:t>
            </w:r>
          </w:p>
        </w:tc>
      </w:tr>
      <w:tr>
        <w:tc>
          <w:tcPr>
            <w:tcW w:w="5000" w:type="pct"/>
          </w:tcPr>
          <w:p>
            <w:pPr>
              <w:pStyle w:val="TableNote"/>
              <w:keepNext/>
            </w:pPr>
            <w:r>
              <w:t xml:space="preserve">a container boundary is marked up within an </w:t>
            </w:r>
            <w:r>
              <w:rPr>
                <w:rStyle w:val="Foreign"/>
              </w:rPr>
              <w:t>akṣara</w:t>
            </w:r>
            <w:r>
              <w:t xml:space="preserve"> of the original script</w:t>
            </w:r>
          </w:p>
        </w:tc>
      </w:tr>
      <w:tr>
        <w:tc>
          <w:tcPr>
            <w:tcW w:w="5000" w:type="pct"/>
          </w:tcPr>
          <w:p>
            <w:pPr>
              <w:pStyle w:val="CodeParagraph"/>
              <w:keepNext/>
              <w:rPr>
                <w:rStyle w:val="Code"/>
              </w:rPr>
            </w:pPr>
            <w:bookmarkStart w:id="101" w:name="_Ref149921101"/>
            <w:r>
              <w:rPr>
                <w:rStyle w:val="Code"/>
              </w:rPr>
              <w:t>&lt;p&gt;</w:t>
            </w:r>
            <w:r>
              <w:rPr>
                <w:rStyle w:val="Codetext"/>
              </w:rPr>
              <w:t xml:space="preserve"> ... ājñāpayat</w:t>
            </w:r>
            <w:r>
              <w:rPr>
                <w:rStyle w:val="Code"/>
              </w:rPr>
              <w:t>&lt;orig&gt;</w:t>
            </w:r>
            <w:r>
              <w:rPr>
                <w:rStyle w:val="Codetext"/>
              </w:rPr>
              <w:t>y</w:t>
            </w:r>
            <w:r>
              <w:rPr>
                <w:rStyle w:val="Code"/>
              </w:rPr>
              <w:t>&lt;/orig&gt;&lt;/p&gt;</w:t>
            </w:r>
          </w:p>
          <w:p>
            <w:pPr>
              <w:pStyle w:val="CodeParagraph"/>
              <w:keepNext/>
              <w:rPr>
                <w:color w:val="000080"/>
                <w:shd w:val="clear" w:color="auto" w:fill="F8F8F8"/>
              </w:rPr>
            </w:pPr>
            <w:r>
              <w:rPr>
                <w:rStyle w:val="Code"/>
              </w:rPr>
              <w:t>&lt;p&gt;&lt;orig&gt;</w:t>
            </w:r>
            <w:r>
              <w:rPr>
                <w:rStyle w:val="Codetext"/>
              </w:rPr>
              <w:t>a</w:t>
            </w:r>
            <w:r>
              <w:rPr>
                <w:rStyle w:val="Code"/>
              </w:rPr>
              <w:t>&lt;/orig&gt;</w:t>
            </w:r>
            <w:r>
              <w:rPr>
                <w:rStyle w:val="Codetext"/>
              </w:rPr>
              <w:t xml:space="preserve">stu vo viditam ... </w:t>
            </w:r>
            <w:r>
              <w:rPr>
                <w:rStyle w:val="Code"/>
              </w:rPr>
              <w:t>&lt;/p&gt;</w:t>
            </w:r>
          </w:p>
        </w:tc>
      </w:tr>
      <w:tr>
        <w:tc>
          <w:tcPr>
            <w:tcW w:w="5000" w:type="pct"/>
          </w:tcPr>
          <w:p>
            <w:pPr>
              <w:pStyle w:val="TableNote"/>
              <w:keepNext/>
            </w:pPr>
            <w:r>
              <w:t xml:space="preserve">a container boundary within an </w:t>
            </w:r>
            <w:r>
              <w:rPr>
                <w:rStyle w:val="Foreign"/>
              </w:rPr>
              <w:t>akṣara</w:t>
            </w:r>
            <w:r>
              <w:t xml:space="preserve"> of the original script is flagged as non-standard usage</w:t>
            </w:r>
          </w:p>
        </w:tc>
      </w:tr>
      <w:tr>
        <w:tc>
          <w:tcPr>
            <w:tcW w:w="5000" w:type="pct"/>
          </w:tcPr>
          <w:p>
            <w:pPr>
              <w:pStyle w:val="CodeParagraph"/>
              <w:keepNext/>
              <w:rPr>
                <w:color w:val="000080"/>
                <w:shd w:val="clear" w:color="auto" w:fill="F8F8F8"/>
              </w:rPr>
            </w:pPr>
            <w:r>
              <w:rPr>
                <w:rStyle w:val="Code"/>
              </w:rPr>
              <w:t>&lt;p&gt;</w:t>
            </w:r>
            <w:r>
              <w:rPr>
                <w:rStyle w:val="Codetext"/>
              </w:rPr>
              <w:t xml:space="preserve"> ... ājñāpayat</w:t>
            </w:r>
            <w:r>
              <w:rPr>
                <w:rStyle w:val="Code"/>
              </w:rPr>
              <w:t>&lt;choice&gt;&lt;orig&gt;</w:t>
            </w:r>
            <w:r>
              <w:rPr>
                <w:rStyle w:val="Codetext"/>
              </w:rPr>
              <w:t>y</w:t>
            </w:r>
            <w:r>
              <w:rPr>
                <w:rStyle w:val="Code"/>
              </w:rPr>
              <w:t>&lt;/orig&gt;&lt;reg&gt;</w:t>
            </w:r>
            <w:r>
              <w:rPr>
                <w:rStyle w:val="Codetext"/>
              </w:rPr>
              <w:t>i</w:t>
            </w:r>
            <w:r>
              <w:rPr>
                <w:rStyle w:val="Code"/>
              </w:rPr>
              <w:t>&lt;/reg&gt;&lt;/choice&gt;&lt;/p&gt;</w:t>
            </w:r>
            <w:r>
              <w:rPr>
                <w:rStyle w:val="Codetext"/>
              </w:rPr>
              <w:t xml:space="preserve"> </w:t>
            </w:r>
            <w:r>
              <w:rPr>
                <w:rStyle w:val="Code"/>
              </w:rPr>
              <w:t>&lt;p&gt;&lt;choice&gt;&lt;orig&gt;</w:t>
            </w:r>
            <w:r>
              <w:rPr>
                <w:rStyle w:val="Codetext"/>
              </w:rPr>
              <w:t>a</w:t>
            </w:r>
            <w:r>
              <w:rPr>
                <w:rStyle w:val="Code"/>
              </w:rPr>
              <w:t>&lt;/orig&gt;&lt;reg&gt;</w:t>
            </w:r>
            <w:r>
              <w:rPr>
                <w:rStyle w:val="Codetext"/>
              </w:rPr>
              <w:t>A</w:t>
            </w:r>
            <w:r>
              <w:rPr>
                <w:rStyle w:val="Code"/>
              </w:rPr>
              <w:t>&lt;/reg&gt;&lt;/choice&gt;</w:t>
            </w:r>
            <w:r>
              <w:rPr>
                <w:rStyle w:val="Codetext"/>
              </w:rPr>
              <w:t xml:space="preserve">stu vo viditam ... </w:t>
            </w:r>
            <w:r>
              <w:rPr>
                <w:rStyle w:val="Code"/>
              </w:rPr>
              <w:t>&lt;/p&gt;</w:t>
            </w:r>
          </w:p>
        </w:tc>
      </w:tr>
      <w:tr>
        <w:tc>
          <w:tcPr>
            <w:tcW w:w="5000" w:type="pct"/>
          </w:tcPr>
          <w:p>
            <w:pPr>
              <w:pStyle w:val="TableNote"/>
              <w:keepNext/>
            </w:pPr>
            <w:r>
              <w:t xml:space="preserve">a container boundary within an </w:t>
            </w:r>
            <w:r>
              <w:rPr>
                <w:rStyle w:val="Foreign"/>
              </w:rPr>
              <w:t>akṣara</w:t>
            </w:r>
            <w:r>
              <w:t xml:space="preserve"> of the original script is normalised</w:t>
            </w:r>
          </w:p>
        </w:tc>
      </w:tr>
    </w:tbl>
    <w:bookmarkEnd w:id="101"/>
    <w:p>
      <w:pPr>
        <w:pStyle w:val="Cmsor4"/>
      </w:pPr>
      <w:r>
        <w:t>Interrupted compounds</w:t>
      </w:r>
      <w:bookmarkEnd w:id="97"/>
    </w:p>
    <w:p>
      <w:r>
        <w:t xml:space="preserve">Semantic prose blocks are never expected to end within a compound word, but exceptionally, an editor may choose to encode a long </w:t>
      </w:r>
      <w:r>
        <w:rPr>
          <w:rStyle w:val="Foreign"/>
        </w:rPr>
        <w:t>dvandva</w:t>
      </w:r>
      <w:r>
        <w:t xml:space="preserve"> compound as a list (§</w:t>
      </w:r>
      <w:r>
        <w:fldChar w:fldCharType="begin"/>
      </w:r>
      <w:r>
        <w:instrText xml:space="preserve"> REF _Ref168563127 \r \h </w:instrText>
      </w:r>
      <w:r>
        <w:fldChar w:fldCharType="separate"/>
      </w:r>
      <w:r>
        <w:t>3.2.1.3</w:t>
      </w:r>
      <w:r>
        <w:fldChar w:fldCharType="end"/>
      </w:r>
      <w:r>
        <w:t>), with the compound members as items. In verse, compounds not uncommonly transgress the boundary of lines belonging to the same hemistich and, rarely, can also transgress the boundary between hemistichs. If the end of a block-level container falls inside a compound, proceed as follows</w:t>
      </w:r>
    </w:p>
    <w:p>
      <w:pPr>
        <w:pStyle w:val="Lista"/>
      </w:pPr>
      <w:r>
        <w:t>encode the container boundary between compound members</w:t>
      </w:r>
    </w:p>
    <w:p>
      <w:pPr>
        <w:pStyle w:val="Lista2"/>
      </w:pPr>
      <w:r>
        <w:t xml:space="preserve">disregard </w:t>
      </w:r>
      <w:r>
        <w:rPr>
          <w:rStyle w:val="Foreign"/>
        </w:rPr>
        <w:t>akṣara</w:t>
      </w:r>
      <w:r>
        <w:t xml:space="preserve"> boundaries just as in §</w:t>
      </w:r>
      <w:r>
        <w:fldChar w:fldCharType="begin"/>
      </w:r>
      <w:r>
        <w:instrText xml:space="preserve"> REF _Ref225328264 \r \h </w:instrText>
      </w:r>
      <w:r>
        <w:fldChar w:fldCharType="separate"/>
      </w:r>
      <w:r>
        <w:t>3.2.4.1</w:t>
      </w:r>
      <w:r>
        <w:fldChar w:fldCharType="end"/>
      </w:r>
      <w:r>
        <w:t xml:space="preserve"> above</w:t>
      </w:r>
    </w:p>
    <w:p>
      <w:pPr>
        <w:pStyle w:val="Lista"/>
      </w:pPr>
      <w:r>
        <w:t xml:space="preserve">if you use editorial hyphens for compound analysis (TG §7.3.4), place your hyphen at the beginning of the latter block-level element </w:t>
      </w:r>
    </w:p>
    <w:p>
      <w:pPr>
        <w:pStyle w:val="Lista"/>
      </w:pPr>
      <w:r>
        <w:t>if this takes place at a verse line boundary, encode enjambement on the former line (§</w:t>
      </w:r>
      <w:r>
        <w:fldChar w:fldCharType="begin"/>
      </w:r>
      <w:r>
        <w:instrText xml:space="preserve"> REF _Ref224901083 \r \h </w:instrText>
      </w:r>
      <w:r>
        <w:fldChar w:fldCharType="separate"/>
      </w:r>
      <w:r>
        <w:t>3.2.4.1</w:t>
      </w:r>
      <w:r>
        <w:fldChar w:fldCharType="end"/>
      </w:r>
      <w:r>
        <w:t>)</w:t>
      </w:r>
    </w:p>
    <w:p>
      <w:pPr>
        <w:pStyle w:val="Lista2"/>
        <w:rPr>
          <w:rStyle w:val="Codetext"/>
          <w:rFonts w:ascii="Gentium" w:hAnsi="Gentium" w:cs="Tiro Devanagari Sanskrit"/>
          <w:noProof w:val="0"/>
          <w:color w:val="auto"/>
          <w:shd w:val="clear" w:color="auto" w:fill="auto"/>
        </w:rPr>
      </w:pPr>
      <w:r>
        <w:t xml:space="preserve">e.g. </w:t>
      </w:r>
      <w:r>
        <w:rPr>
          <w:rStyle w:val="Code"/>
        </w:rPr>
        <w:t xml:space="preserve">&lt;l </w:t>
      </w:r>
      <w:r>
        <w:rPr>
          <w:rStyle w:val="Codeattribute"/>
        </w:rPr>
        <w:t>enjamb</w:t>
      </w:r>
      <w:r>
        <w:rPr>
          <w:rStyle w:val="Codetext"/>
        </w:rPr>
        <w:t>=</w:t>
      </w:r>
      <w:r>
        <w:rPr>
          <w:rStyle w:val="Codevalue"/>
        </w:rPr>
        <w:t>"yes"</w:t>
      </w:r>
      <w:r>
        <w:rPr>
          <w:rStyle w:val="Code"/>
        </w:rPr>
        <w:t>&gt;</w:t>
      </w:r>
      <w:r>
        <w:rPr>
          <w:rStyle w:val="Codetext"/>
        </w:rPr>
        <w:t>... maṇḍalānta</w:t>
      </w:r>
      <w:r>
        <w:rPr>
          <w:rStyle w:val="Code"/>
        </w:rPr>
        <w:t>&lt;/l&gt;&lt;l&gt;</w:t>
      </w:r>
      <w:r>
        <w:rPr>
          <w:rStyle w:val="Codetext"/>
        </w:rPr>
        <w:t>-vyakta-bhrū-bhaṅga...</w:t>
      </w:r>
    </w:p>
    <w:p>
      <w:pPr>
        <w:pStyle w:val="Lista"/>
      </w:pPr>
      <w:r>
        <w:t xml:space="preserve">see </w:t>
      </w:r>
      <w:r>
        <w:fldChar w:fldCharType="begin"/>
      </w:r>
      <w:r>
        <w:instrText xml:space="preserve"> REF _Ref44077259 \h </w:instrText>
      </w:r>
      <w:r>
        <w:fldChar w:fldCharType="separate"/>
      </w:r>
      <w:r>
        <w:t xml:space="preserve">Exhibit </w:t>
      </w:r>
      <w:r>
        <w:rPr>
          <w:noProof/>
        </w:rPr>
        <w:t>3.3</w:t>
      </w:r>
      <w:r>
        <w:t>.</w:t>
      </w:r>
      <w:r>
        <w:rPr>
          <w:noProof/>
        </w:rPr>
        <w:t>G</w:t>
      </w:r>
      <w:r>
        <w:fldChar w:fldCharType="end"/>
      </w:r>
      <w:r>
        <w:t xml:space="preserve"> and </w:t>
      </w:r>
      <w:r>
        <w:fldChar w:fldCharType="begin"/>
      </w:r>
      <w:r>
        <w:instrText xml:space="preserve"> REF _Ref44077336 \h </w:instrText>
      </w:r>
      <w:r>
        <w:fldChar w:fldCharType="separate"/>
      </w:r>
      <w:r>
        <w:t xml:space="preserve">Exhibit </w:t>
      </w:r>
      <w:r>
        <w:rPr>
          <w:noProof/>
        </w:rPr>
        <w:t>3.3</w:t>
      </w:r>
      <w:r>
        <w:t>.</w:t>
      </w:r>
      <w:r>
        <w:rPr>
          <w:noProof/>
        </w:rPr>
        <w:t>H</w:t>
      </w:r>
      <w:r>
        <w:fldChar w:fldCharType="end"/>
      </w:r>
      <w:r>
        <w:t xml:space="preserve"> above for full encoding examples</w:t>
      </w:r>
    </w:p>
    <w:p>
      <w:pPr>
        <w:pStyle w:val="Cmsor4"/>
      </w:pPr>
      <w:bookmarkStart w:id="102" w:name="_Ref225324953"/>
      <w:r>
        <w:t>Word boundaries fused in sandhi</w:t>
      </w:r>
      <w:bookmarkEnd w:id="102"/>
    </w:p>
    <w:p>
      <w:r>
        <w:t xml:space="preserve">Boundaries between units of intrinsic structure falling at word boundaries may occasionally be obscured by vowel fusion sandhi. In this case, a single grapheme of the written source belongs to both of the adjacent morphemes, so it is impossible even in transliteration to encode the block boundary at a word boundary. This is not uncommon between verse lines (as in </w:t>
      </w:r>
      <w:r>
        <w:fldChar w:fldCharType="begin"/>
      </w:r>
      <w:r>
        <w:instrText xml:space="preserve"> REF _Ref181628185 \h </w:instrText>
      </w:r>
      <w:r>
        <w:fldChar w:fldCharType="separate"/>
      </w:r>
      <w:r>
        <w:t xml:space="preserve">Exhibit </w:t>
      </w:r>
      <w:r>
        <w:rPr>
          <w:noProof/>
        </w:rPr>
        <w:t>3.2</w:t>
      </w:r>
      <w:r>
        <w:t>.</w:t>
      </w:r>
      <w:r>
        <w:rPr>
          <w:noProof/>
        </w:rPr>
        <w:t>J</w:t>
      </w:r>
      <w:r>
        <w:fldChar w:fldCharType="end"/>
      </w:r>
      <w:r>
        <w:t>), but may on rare occasions happen at a transition from verse to prose (</w:t>
      </w:r>
      <w:r>
        <w:fldChar w:fldCharType="begin"/>
      </w:r>
      <w:r>
        <w:instrText xml:space="preserve"> REF _Ref43995893 \h </w:instrText>
      </w:r>
      <w:r>
        <w:fldChar w:fldCharType="separate"/>
      </w:r>
      <w:r>
        <w:t xml:space="preserve">Exhibit </w:t>
      </w:r>
      <w:r>
        <w:rPr>
          <w:noProof/>
        </w:rPr>
        <w:t>3.2</w:t>
      </w:r>
      <w:r>
        <w:t>.</w:t>
      </w:r>
      <w:r>
        <w:rPr>
          <w:noProof/>
        </w:rPr>
        <w:t>K</w:t>
      </w:r>
      <w:r>
        <w:fldChar w:fldCharType="end"/>
      </w:r>
      <w:r>
        <w:t>) or between prose blocks (</w:t>
      </w:r>
      <w:r>
        <w:fldChar w:fldCharType="begin"/>
      </w:r>
      <w:r>
        <w:instrText xml:space="preserve"> REF _Ref43996267 \h </w:instrText>
      </w:r>
      <w:r>
        <w:fldChar w:fldCharType="separate"/>
      </w:r>
      <w:r>
        <w:t xml:space="preserve">Exhibit </w:t>
      </w:r>
      <w:r>
        <w:rPr>
          <w:noProof/>
        </w:rPr>
        <w:t>3.2</w:t>
      </w:r>
      <w:r>
        <w:t>.</w:t>
      </w:r>
      <w:r>
        <w:rPr>
          <w:noProof/>
        </w:rPr>
        <w:t>L</w:t>
      </w:r>
      <w:r>
        <w:fldChar w:fldCharType="end"/>
      </w:r>
      <w:r>
        <w:t>).</w:t>
      </w:r>
    </w:p>
    <w:p>
      <w:pPr>
        <w:pStyle w:val="Lista"/>
      </w:pPr>
      <w:r>
        <w:t>establish block boundaries at your own discretion based on the following considerations</w:t>
      </w:r>
    </w:p>
    <w:p>
      <w:pPr>
        <w:pStyle w:val="Lista2"/>
      </w:pPr>
      <w:r>
        <w:t>if a metrical passage is involved, the boundary must always respect the metre</w:t>
      </w:r>
    </w:p>
    <w:p>
      <w:pPr>
        <w:pStyle w:val="Lista2"/>
      </w:pPr>
      <w:r>
        <w:t>as far as the metre allows, the boundary shall be placed as close to a word boundary as possible</w:t>
      </w:r>
    </w:p>
    <w:p>
      <w:pPr>
        <w:pStyle w:val="Lista2"/>
      </w:pPr>
      <w:r>
        <w:t>if two word boundaries are equally close to where the block boundary would be ideally placed, choose the word boundary that is semantically more appropriate</w:t>
      </w:r>
    </w:p>
    <w:p>
      <w:pPr>
        <w:pStyle w:val="Lista2"/>
      </w:pPr>
      <w:r>
        <w:t>all other considerations being equal, place the block boundary after the fused vowel</w:t>
      </w:r>
    </w:p>
    <w:p>
      <w:pPr>
        <w:pStyle w:val="Lista"/>
      </w:pPr>
      <w:r>
        <w:t>if this takes place at a verse line boundary, encode enjambement on the former line (§</w:t>
      </w:r>
      <w:r>
        <w:fldChar w:fldCharType="begin"/>
      </w:r>
      <w:r>
        <w:instrText xml:space="preserve"> REF _Ref224901083 \r \h </w:instrText>
      </w:r>
      <w:r>
        <w:fldChar w:fldCharType="separate"/>
      </w:r>
      <w:r>
        <w:t>3.2.4.1</w:t>
      </w:r>
      <w:r>
        <w:fldChar w:fldCharType="end"/>
      </w:r>
      <w:r>
        <w:t>)</w:t>
      </w:r>
    </w:p>
    <w:p>
      <w:pPr>
        <w:pStyle w:val="Lista"/>
      </w:pPr>
      <w:r>
        <w:t>editorial intervention (§</w:t>
      </w:r>
      <w:r>
        <w:fldChar w:fldCharType="begin"/>
      </w:r>
      <w:r>
        <w:instrText xml:space="preserve"> REF _Ref229054270 \r \h </w:instrText>
      </w:r>
      <w:r>
        <w:fldChar w:fldCharType="separate"/>
      </w:r>
      <w:r>
        <w:t>7.2</w:t>
      </w:r>
      <w:r>
        <w:fldChar w:fldCharType="end"/>
      </w:r>
      <w:r>
        <w:t>) may be encoded, keeping the following in mind</w:t>
      </w:r>
    </w:p>
    <w:p>
      <w:pPr>
        <w:pStyle w:val="Lista2"/>
      </w:pPr>
      <w:r>
        <w:t>between verse lines</w:t>
      </w:r>
    </w:p>
    <w:p>
      <w:pPr>
        <w:pStyle w:val="Lista3"/>
      </w:pPr>
      <w:r>
        <w:t>if the metre is correct in the received text, editorial intervention must be avoided</w:t>
      </w:r>
    </w:p>
    <w:p>
      <w:pPr>
        <w:pStyle w:val="Lista3"/>
      </w:pPr>
      <w:r>
        <w:t>if the metre is incorrect in the received text and can be corrected by resolving the fusion sandhi, editorial intervention must be encoded as correction (§</w:t>
      </w:r>
      <w:r>
        <w:fldChar w:fldCharType="begin"/>
      </w:r>
      <w:r>
        <w:instrText xml:space="preserve"> REF _Ref232089210 \r \h </w:instrText>
      </w:r>
      <w:r>
        <w:fldChar w:fldCharType="separate"/>
      </w:r>
      <w:r>
        <w:t>7.7.4</w:t>
      </w:r>
      <w:r>
        <w:fldChar w:fldCharType="end"/>
      </w:r>
      <w:r>
        <w:t>)</w:t>
      </w:r>
    </w:p>
    <w:p>
      <w:pPr>
        <w:pStyle w:val="Lista2"/>
      </w:pPr>
      <w:r>
        <w:t>between prose blocks and at transitions from verse to prose</w:t>
      </w:r>
    </w:p>
    <w:p>
      <w:pPr>
        <w:pStyle w:val="Lista3"/>
      </w:pPr>
      <w:r>
        <w:t xml:space="preserve">encode editorial normalisation (not correction) separately before and after the boundary (as in </w:t>
      </w:r>
      <w:r>
        <w:fldChar w:fldCharType="begin"/>
      </w:r>
      <w:r>
        <w:instrText xml:space="preserve"> REF _Ref43995893 \h </w:instrText>
      </w:r>
      <w:r>
        <w:fldChar w:fldCharType="separate"/>
      </w:r>
      <w:r>
        <w:t xml:space="preserve">Exhibit </w:t>
      </w:r>
      <w:r>
        <w:rPr>
          <w:noProof/>
        </w:rPr>
        <w:t>3.2</w:t>
      </w:r>
      <w:r>
        <w:t>.</w:t>
      </w:r>
      <w:r>
        <w:rPr>
          <w:noProof/>
        </w:rPr>
        <w:t>K</w:t>
      </w:r>
      <w:r>
        <w:fldChar w:fldCharType="end"/>
      </w:r>
      <w:r>
        <w:t xml:space="preserve"> and </w:t>
      </w:r>
      <w:r>
        <w:fldChar w:fldCharType="begin"/>
      </w:r>
      <w:r>
        <w:instrText xml:space="preserve"> REF _Ref43996267 \h </w:instrText>
      </w:r>
      <w:r>
        <w:fldChar w:fldCharType="separate"/>
      </w:r>
      <w:r>
        <w:t xml:space="preserve">Exhibit </w:t>
      </w:r>
      <w:r>
        <w:rPr>
          <w:noProof/>
        </w:rPr>
        <w:t>3.2</w:t>
      </w:r>
      <w:r>
        <w:t>.</w:t>
      </w:r>
      <w:r>
        <w:rPr>
          <w:noProof/>
        </w:rPr>
        <w:t>L</w:t>
      </w:r>
      <w:r>
        <w:fldChar w:fldCharType="end"/>
      </w:r>
      <w:r>
        <w:t>), provided that it does not disrupt the metre of a verse block</w:t>
      </w:r>
    </w:p>
    <w:p>
      <w:pPr>
        <w:pStyle w:val="Lista4"/>
      </w:pPr>
      <w:r>
        <w:t>one at the end of the earlier block (normalising the fused vowel to the one expected at the end of the former word)</w:t>
      </w:r>
    </w:p>
    <w:p>
      <w:pPr>
        <w:pStyle w:val="Lista4"/>
      </w:pPr>
      <w:r>
        <w:lastRenderedPageBreak/>
        <w:t>and one at the beginning of the later block (restoring the vowel expected at the beginning of the latter word)</w:t>
      </w:r>
    </w:p>
    <w:p>
      <w:pPr>
        <w:pStyle w:val="Lista3"/>
      </w:pPr>
      <w:r>
        <w:t xml:space="preserve">you will need to resort to this in the occasional cases where the particle </w:t>
      </w:r>
      <w:r>
        <w:rPr>
          <w:rStyle w:val="Foreign"/>
        </w:rPr>
        <w:t>iti</w:t>
      </w:r>
      <w:r>
        <w:t xml:space="preserve"> is fused in sandhi to the end of a stanza ending in </w:t>
      </w:r>
      <w:r>
        <w:rPr>
          <w:rStyle w:val="Foreign"/>
        </w:rPr>
        <w:t>-i</w:t>
      </w:r>
      <w:r>
        <w:t xml:space="preserve">, as in </w:t>
      </w:r>
      <w:r>
        <w:fldChar w:fldCharType="begin"/>
      </w:r>
      <w:r>
        <w:instrText xml:space="preserve"> REF _Ref43995893 \h  \* MERGEFORMAT </w:instrText>
      </w:r>
      <w:r>
        <w:fldChar w:fldCharType="separate"/>
      </w:r>
      <w:r>
        <w:t xml:space="preserve">Exhibit </w:t>
      </w:r>
      <w:r>
        <w:rPr>
          <w:noProof/>
        </w:rPr>
        <w:t>3.2.K</w:t>
      </w:r>
      <w:r>
        <w:fldChar w:fldCharType="end"/>
      </w:r>
    </w:p>
    <w:p>
      <w:pPr>
        <w:pStyle w:val="Lista4"/>
      </w:pPr>
      <w:r>
        <w:t xml:space="preserve">if </w:t>
      </w:r>
      <w:r>
        <w:rPr>
          <w:rStyle w:val="Foreign"/>
        </w:rPr>
        <w:t>iti</w:t>
      </w:r>
      <w:r>
        <w:t xml:space="preserve"> is fused in this way to the end of a stanza, and it is not semantically a part of the following paragraph of text (i.e. not translatable as e.g. “therefore” or “having said so,” but appears simply in the function of a closing quotation mark), then create a separate </w:t>
      </w:r>
      <w:r>
        <w:rPr>
          <w:rStyle w:val="Code"/>
        </w:rPr>
        <w:t>&lt;ab&gt;</w:t>
      </w:r>
      <w:r>
        <w:t xml:space="preserve"> container for this word between the preceding </w:t>
      </w:r>
      <w:r>
        <w:rPr>
          <w:rStyle w:val="Code"/>
        </w:rPr>
        <w:t>&lt;lg&gt;</w:t>
      </w:r>
      <w:r>
        <w:t xml:space="preserve"> and the following </w:t>
      </w:r>
      <w:r>
        <w:rPr>
          <w:rStyle w:val="Code"/>
        </w:rPr>
        <w:t>&lt;p&gt;</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03" w:name="_Ref181628185"/>
            <w:bookmarkStart w:id="104" w:name="_Ref224918638"/>
            <w:r>
              <w:t xml:space="preserve">Exhibit </w:t>
            </w:r>
            <w:fldSimple w:instr=" STYLEREF 2 \s ">
              <w:r>
                <w:rPr>
                  <w:noProof/>
                </w:rPr>
                <w:t>3.2</w:t>
              </w:r>
            </w:fldSimple>
            <w:r>
              <w:t>.</w:t>
            </w:r>
            <w:fldSimple w:instr=" SEQ Exhibit \* ALPHABETIC \s 2 ">
              <w:r>
                <w:rPr>
                  <w:noProof/>
                </w:rPr>
                <w:t>J</w:t>
              </w:r>
            </w:fldSimple>
            <w:bookmarkEnd w:id="103"/>
            <w:r>
              <w:t xml:space="preserve">: end of verse line obscured by vowel fusion </w:t>
            </w:r>
            <w:r>
              <w:rPr>
                <w:rStyle w:val="Foreign"/>
              </w:rPr>
              <w:t>sandhi</w:t>
            </w:r>
            <w:bookmarkEnd w:id="104"/>
          </w:p>
        </w:tc>
      </w:tr>
      <w:tr>
        <w:tc>
          <w:tcPr>
            <w:tcW w:w="5000" w:type="pct"/>
          </w:tcPr>
          <w:p>
            <w:pPr>
              <w:pStyle w:val="CodeParagraph"/>
              <w:keepNext/>
              <w:rPr>
                <w:rStyle w:val="Code"/>
              </w:rPr>
            </w:pPr>
            <w:r>
              <w:rPr>
                <w:rStyle w:val="Code"/>
              </w:rPr>
              <w:t xml:space="preserve">&lt;lg </w:t>
            </w:r>
            <w:r>
              <w:rPr>
                <w:rStyle w:val="Codeattribute"/>
              </w:rPr>
              <w:t>n=</w:t>
            </w:r>
            <w:r>
              <w:rPr>
                <w:rStyle w:val="Codevalue"/>
              </w:rPr>
              <w:t>"32"</w:t>
            </w:r>
            <w:r>
              <w:rPr>
                <w:rStyle w:val="Code"/>
              </w:rPr>
              <w:t xml:space="preserve"> </w:t>
            </w:r>
            <w:r>
              <w:rPr>
                <w:rStyle w:val="Codeattribute"/>
              </w:rPr>
              <w:t>met=</w:t>
            </w:r>
            <w:r>
              <w:rPr>
                <w:rStyle w:val="Codevalue"/>
              </w:rPr>
              <w:t>"vaṁśastha"</w:t>
            </w:r>
            <w:r>
              <w:rPr>
                <w:rStyle w:val="Code"/>
              </w:rPr>
              <w:t>&gt;</w:t>
            </w:r>
          </w:p>
          <w:p>
            <w:pPr>
              <w:pStyle w:val="CodeParagraph"/>
              <w:keepNext/>
              <w:rPr>
                <w:rStyle w:val="Code"/>
              </w:rPr>
            </w:pPr>
            <w:r>
              <w:rPr>
                <w:rStyle w:val="Code"/>
              </w:rPr>
              <w:t xml:space="preserve">  &lt;l </w:t>
            </w:r>
            <w:r>
              <w:rPr>
                <w:rStyle w:val="Codeattribute"/>
              </w:rPr>
              <w:t>n</w:t>
            </w:r>
            <w:r>
              <w:rPr>
                <w:rStyle w:val="Codetext"/>
              </w:rPr>
              <w:t>=</w:t>
            </w:r>
            <w:r>
              <w:rPr>
                <w:rStyle w:val="Codevalue"/>
              </w:rPr>
              <w:t>"a"</w:t>
            </w:r>
            <w:r>
              <w:rPr>
                <w:rStyle w:val="Code"/>
              </w:rPr>
              <w:t xml:space="preserve"> </w:t>
            </w:r>
            <w:r>
              <w:rPr>
                <w:rStyle w:val="Codeattribute"/>
              </w:rPr>
              <w:t>enjamb</w:t>
            </w:r>
            <w:r>
              <w:rPr>
                <w:rStyle w:val="Codetext"/>
              </w:rPr>
              <w:t>=</w:t>
            </w:r>
            <w:r>
              <w:rPr>
                <w:rStyle w:val="Codevalue"/>
              </w:rPr>
              <w:t>"yes"</w:t>
            </w:r>
            <w:r>
              <w:rPr>
                <w:rStyle w:val="Code"/>
              </w:rPr>
              <w:t>&gt;</w:t>
            </w:r>
            <w:r>
              <w:rPr>
                <w:rStyle w:val="Codetext"/>
              </w:rPr>
              <w:t>sadā sva-vācā manasā ca karmmaṇā</w:t>
            </w:r>
            <w:r>
              <w:rPr>
                <w:rStyle w:val="Code"/>
              </w:rPr>
              <w:t>&lt;/l&gt;</w:t>
            </w:r>
          </w:p>
          <w:p>
            <w:pPr>
              <w:pStyle w:val="CodeParagraph"/>
              <w:keepNext/>
              <w:rPr>
                <w:rStyle w:val="Code"/>
              </w:rPr>
            </w:pPr>
            <w:r>
              <w:rPr>
                <w:rStyle w:val="Code"/>
              </w:rPr>
              <w:t xml:space="preserve">  &lt;l </w:t>
            </w:r>
            <w:r>
              <w:rPr>
                <w:rStyle w:val="Codeattribute"/>
              </w:rPr>
              <w:t>n</w:t>
            </w:r>
            <w:r>
              <w:rPr>
                <w:rStyle w:val="Codetext"/>
              </w:rPr>
              <w:t>=</w:t>
            </w:r>
            <w:r>
              <w:rPr>
                <w:rStyle w:val="Codevalue"/>
              </w:rPr>
              <w:t>"b"</w:t>
            </w:r>
            <w:r>
              <w:rPr>
                <w:rStyle w:val="Code"/>
              </w:rPr>
              <w:t>&gt;</w:t>
            </w:r>
            <w:r>
              <w:rPr>
                <w:rStyle w:val="Codetext"/>
              </w:rPr>
              <w:t>nvakāri yenādhiguṇena kuṇḍinaḥ</w:t>
            </w:r>
            <w:r>
              <w:rPr>
                <w:rStyle w:val="Code"/>
              </w:rPr>
              <w:t>&lt;/l&gt;</w:t>
            </w:r>
          </w:p>
          <w:p>
            <w:pPr>
              <w:pStyle w:val="CodeParagraph"/>
              <w:keepNext/>
              <w:rPr>
                <w:rStyle w:val="Code"/>
              </w:rPr>
            </w:pPr>
            <w:r>
              <w:rPr>
                <w:rStyle w:val="Code"/>
              </w:rPr>
              <w:t xml:space="preserve">  ...</w:t>
            </w:r>
          </w:p>
          <w:p>
            <w:pPr>
              <w:pStyle w:val="CodeParagraph"/>
              <w:keepNext/>
            </w:pPr>
            <w:r>
              <w:rPr>
                <w:rStyle w:val="Code"/>
              </w:rPr>
              <w:t>&lt;/lg&gt;</w:t>
            </w:r>
          </w:p>
        </w:tc>
      </w:tr>
      <w:tr>
        <w:tc>
          <w:tcPr>
            <w:tcW w:w="5000" w:type="pct"/>
          </w:tcPr>
          <w:p>
            <w:pPr>
              <w:pStyle w:val="TableNote"/>
              <w:keepNext/>
            </w:pPr>
            <w:r>
              <w:t xml:space="preserve">the word </w:t>
            </w:r>
            <w:r>
              <w:rPr>
                <w:rStyle w:val="Foreign"/>
              </w:rPr>
              <w:t>anvakāri</w:t>
            </w:r>
            <w:r>
              <w:t xml:space="preserve"> is split between lines (its initial vowel being merged into the final </w:t>
            </w:r>
            <w:r>
              <w:rPr>
                <w:rStyle w:val="Foreign"/>
              </w:rPr>
              <w:t>ā</w:t>
            </w:r>
            <w:r>
              <w:t xml:space="preserve"> of the preceding word)</w:t>
            </w:r>
          </w:p>
          <w:p>
            <w:pPr>
              <w:pStyle w:val="TableNote"/>
              <w:keepNext/>
            </w:pPr>
            <w:r>
              <w:t xml:space="preserve">splitting into </w:t>
            </w:r>
            <w:r>
              <w:rPr>
                <w:rStyle w:val="Codetext"/>
              </w:rPr>
              <w:t>karmmaṇā</w:t>
            </w:r>
            <w:r>
              <w:rPr>
                <w:rStyle w:val="Code"/>
              </w:rPr>
              <w:t>&lt;/l&gt;&lt;l&gt;</w:t>
            </w:r>
            <w:r>
              <w:rPr>
                <w:rStyle w:val="Codetext"/>
              </w:rPr>
              <w:t>nvakāri</w:t>
            </w:r>
            <w:r>
              <w:t xml:space="preserve"> puts the metrical boundary at an </w:t>
            </w:r>
            <w:r>
              <w:rPr>
                <w:rStyle w:val="Foreign"/>
              </w:rPr>
              <w:t>akṣara</w:t>
            </w:r>
            <w:r>
              <w:t xml:space="preserve"> boundary</w:t>
            </w:r>
          </w:p>
          <w:p>
            <w:pPr>
              <w:pStyle w:val="TableNote"/>
              <w:keepNext/>
            </w:pPr>
            <w:r>
              <w:t xml:space="preserve">but the primary reason for splitting at this point was that it is closer to a word boundary than </w:t>
            </w:r>
            <w:r>
              <w:rPr>
                <w:rStyle w:val="Codetext"/>
              </w:rPr>
              <w:t>karmmaṇānv</w:t>
            </w:r>
            <w:r>
              <w:rPr>
                <w:rStyle w:val="Code"/>
              </w:rPr>
              <w:t>&lt;/l&gt;&lt;l&gt;</w:t>
            </w:r>
            <w:r>
              <w:rPr>
                <w:rStyle w:val="Codetext"/>
              </w:rPr>
              <w:t>akāri</w:t>
            </w:r>
            <w:r>
              <w:t xml:space="preserve"> would be (which is at the boundary of a prefix)</w:t>
            </w:r>
          </w:p>
        </w:tc>
      </w:tr>
      <w:tr>
        <w:tc>
          <w:tcPr>
            <w:tcW w:w="5000" w:type="pct"/>
          </w:tcPr>
          <w:p>
            <w:pPr>
              <w:pStyle w:val="CodeParagraph"/>
              <w:keepNext/>
              <w:rPr>
                <w:rStyle w:val="Code"/>
              </w:rPr>
            </w:pPr>
            <w:r>
              <w:rPr>
                <w:rStyle w:val="Code"/>
              </w:rPr>
              <w:t xml:space="preserve">&lt;lg </w:t>
            </w:r>
            <w:r>
              <w:rPr>
                <w:rStyle w:val="Codeattribute"/>
              </w:rPr>
              <w:t>n=</w:t>
            </w:r>
            <w:r>
              <w:rPr>
                <w:rStyle w:val="Codevalue"/>
              </w:rPr>
              <w:t>"6"</w:t>
            </w:r>
            <w:r>
              <w:rPr>
                <w:rStyle w:val="Code"/>
              </w:rPr>
              <w:t xml:space="preserve"> </w:t>
            </w:r>
            <w:r>
              <w:rPr>
                <w:rStyle w:val="Codeattribute"/>
              </w:rPr>
              <w:t>met=</w:t>
            </w:r>
            <w:r>
              <w:rPr>
                <w:rStyle w:val="Codevalue"/>
              </w:rPr>
              <w:t>"anuṣṭubh"</w:t>
            </w:r>
            <w:r>
              <w:rPr>
                <w:rStyle w:val="Code"/>
              </w:rPr>
              <w:t>&gt;</w:t>
            </w:r>
          </w:p>
          <w:p>
            <w:pPr>
              <w:pStyle w:val="CodeParagraph"/>
              <w:keepNext/>
              <w:rPr>
                <w:rStyle w:val="Code"/>
              </w:rPr>
            </w:pPr>
            <w:r>
              <w:rPr>
                <w:rStyle w:val="Code"/>
              </w:rPr>
              <w:t xml:space="preserve">  &lt;l </w:t>
            </w:r>
            <w:r>
              <w:rPr>
                <w:rStyle w:val="Codeattribute"/>
              </w:rPr>
              <w:t>n</w:t>
            </w:r>
            <w:r>
              <w:rPr>
                <w:rStyle w:val="Codetext"/>
              </w:rPr>
              <w:t>=</w:t>
            </w:r>
            <w:r>
              <w:rPr>
                <w:rStyle w:val="Codevalue"/>
              </w:rPr>
              <w:t>"a"</w:t>
            </w:r>
            <w:r>
              <w:rPr>
                <w:rStyle w:val="Code"/>
              </w:rPr>
              <w:t xml:space="preserve"> </w:t>
            </w:r>
            <w:r>
              <w:rPr>
                <w:rStyle w:val="Codeattribute"/>
              </w:rPr>
              <w:t>enjamb</w:t>
            </w:r>
            <w:r>
              <w:rPr>
                <w:rStyle w:val="Codetext"/>
              </w:rPr>
              <w:t>=</w:t>
            </w:r>
            <w:r>
              <w:rPr>
                <w:rStyle w:val="Codevalue"/>
              </w:rPr>
              <w:t>"yes"</w:t>
            </w:r>
            <w:r>
              <w:rPr>
                <w:rStyle w:val="Code"/>
              </w:rPr>
              <w:t xml:space="preserve"> </w:t>
            </w:r>
            <w:r>
              <w:rPr>
                <w:rStyle w:val="Codeattribute"/>
              </w:rPr>
              <w:t>met</w:t>
            </w:r>
            <w:r>
              <w:rPr>
                <w:rStyle w:val="Codetext"/>
              </w:rPr>
              <w:t>=</w:t>
            </w:r>
            <w:r>
              <w:rPr>
                <w:rStyle w:val="Codevalue"/>
              </w:rPr>
              <w:t>"na-vipulā"</w:t>
            </w:r>
            <w:r>
              <w:rPr>
                <w:rStyle w:val="Code"/>
              </w:rPr>
              <w:t xml:space="preserve"> </w:t>
            </w:r>
            <w:r>
              <w:rPr>
                <w:rStyle w:val="Codeattribute"/>
              </w:rPr>
              <w:t>real</w:t>
            </w:r>
            <w:r>
              <w:rPr>
                <w:rStyle w:val="Codetext"/>
              </w:rPr>
              <w:t>=</w:t>
            </w:r>
            <w:r>
              <w:rPr>
                <w:rStyle w:val="Codevalue"/>
              </w:rPr>
              <w:t>"+-++---+"</w:t>
            </w:r>
            <w:r>
              <w:rPr>
                <w:rStyle w:val="Code"/>
              </w:rPr>
              <w:t>&gt;</w:t>
            </w:r>
            <w:r>
              <w:rPr>
                <w:rStyle w:val="Codetext"/>
              </w:rPr>
              <w:t>viṣṇurājas tad-anujasy</w:t>
            </w:r>
            <w:r>
              <w:rPr>
                <w:rStyle w:val="Code"/>
              </w:rPr>
              <w:t>&lt;/l&gt;</w:t>
            </w:r>
          </w:p>
          <w:p>
            <w:pPr>
              <w:pStyle w:val="CodeParagraph"/>
              <w:keepNext/>
              <w:rPr>
                <w:rStyle w:val="Code"/>
              </w:rPr>
            </w:pPr>
            <w:r>
              <w:rPr>
                <w:rStyle w:val="Code"/>
              </w:rPr>
              <w:t xml:space="preserve">  &lt;l </w:t>
            </w:r>
            <w:r>
              <w:rPr>
                <w:rStyle w:val="Codeattribute"/>
              </w:rPr>
              <w:t>n</w:t>
            </w:r>
            <w:r>
              <w:rPr>
                <w:rStyle w:val="Codetext"/>
              </w:rPr>
              <w:t>=</w:t>
            </w:r>
            <w:r>
              <w:rPr>
                <w:rStyle w:val="Codevalue"/>
              </w:rPr>
              <w:t>"b"</w:t>
            </w:r>
            <w:r>
              <w:rPr>
                <w:rStyle w:val="Code"/>
              </w:rPr>
              <w:t>&gt;</w:t>
            </w:r>
            <w:r>
              <w:rPr>
                <w:rStyle w:val="Codetext"/>
              </w:rPr>
              <w:t>endrarājasya nandanaḥ</w:t>
            </w:r>
            <w:r>
              <w:rPr>
                <w:rStyle w:val="Code"/>
              </w:rPr>
              <w:t>&lt;/l&gt;</w:t>
            </w:r>
          </w:p>
          <w:p>
            <w:pPr>
              <w:pStyle w:val="CodeParagraph"/>
              <w:keepNext/>
              <w:rPr>
                <w:rStyle w:val="Code"/>
              </w:rPr>
            </w:pPr>
            <w:r>
              <w:rPr>
                <w:rStyle w:val="Code"/>
              </w:rPr>
              <w:t xml:space="preserve">  ...</w:t>
            </w:r>
          </w:p>
          <w:p>
            <w:pPr>
              <w:pStyle w:val="CodeParagraph"/>
              <w:keepNext/>
            </w:pPr>
            <w:r>
              <w:rPr>
                <w:rStyle w:val="Code"/>
              </w:rPr>
              <w:t>&lt;/lg&gt;</w:t>
            </w:r>
          </w:p>
        </w:tc>
      </w:tr>
      <w:tr>
        <w:tc>
          <w:tcPr>
            <w:tcW w:w="5000" w:type="pct"/>
          </w:tcPr>
          <w:p>
            <w:pPr>
              <w:pStyle w:val="TableNote"/>
              <w:keepNext/>
            </w:pPr>
            <w:r>
              <w:t xml:space="preserve">the word </w:t>
            </w:r>
            <w:r>
              <w:rPr>
                <w:rStyle w:val="Foreign"/>
              </w:rPr>
              <w:t>anujasya</w:t>
            </w:r>
            <w:r>
              <w:t xml:space="preserve"> is split between lines (its final vowel being merged into the initial vowel of the following </w:t>
            </w:r>
            <w:r>
              <w:rPr>
                <w:rStyle w:val="Foreign"/>
              </w:rPr>
              <w:t>indrarājasya</w:t>
            </w:r>
            <w:r>
              <w:t>)</w:t>
            </w:r>
          </w:p>
          <w:p>
            <w:pPr>
              <w:pStyle w:val="TableNote"/>
              <w:keepNext/>
            </w:pPr>
            <w:r>
              <w:t xml:space="preserve">splitting into </w:t>
            </w:r>
            <w:r>
              <w:rPr>
                <w:rStyle w:val="Codetext"/>
              </w:rPr>
              <w:t>tad-anuja</w:t>
            </w:r>
            <w:r>
              <w:rPr>
                <w:rStyle w:val="Code"/>
              </w:rPr>
              <w:t>&lt;/l&gt;&lt;l&gt;</w:t>
            </w:r>
            <w:r>
              <w:rPr>
                <w:rStyle w:val="Codetext"/>
              </w:rPr>
              <w:t>syendrarājasya</w:t>
            </w:r>
            <w:r>
              <w:t xml:space="preserve"> would place the split further away from the word boundary, which is not desirable</w:t>
            </w:r>
          </w:p>
          <w:p>
            <w:pPr>
              <w:pStyle w:val="TableNote"/>
              <w:keepNext/>
            </w:pPr>
            <w:r>
              <w:t xml:space="preserve">the preferred splitting does not, in this case, coincide with an </w:t>
            </w:r>
            <w:r>
              <w:rPr>
                <w:rStyle w:val="Foreign"/>
              </w:rPr>
              <w:t>akṣara</w:t>
            </w:r>
            <w:r>
              <w:t xml:space="preserve"> boundary</w:t>
            </w:r>
          </w:p>
          <w:p>
            <w:pPr>
              <w:pStyle w:val="TableNote"/>
              <w:keepNext/>
            </w:pPr>
            <w:r>
              <w:t xml:space="preserve">the </w:t>
            </w:r>
            <w:r>
              <w:rPr>
                <w:rStyle w:val="Foreign"/>
              </w:rPr>
              <w:t>vipulā</w:t>
            </w:r>
            <w:r>
              <w:t xml:space="preserve"> metre, incidental to this illustration, is encoded as per §</w:t>
            </w:r>
            <w:r>
              <w:fldChar w:fldCharType="begin"/>
            </w:r>
            <w:r>
              <w:instrText xml:space="preserve"> REF _Ref224725166 \r \h </w:instrText>
            </w:r>
            <w:r>
              <w:fldChar w:fldCharType="separate"/>
            </w:r>
            <w:r>
              <w:t>3.3.4.1</w:t>
            </w:r>
            <w:r>
              <w:fldChar w:fldCharType="end"/>
            </w:r>
          </w:p>
        </w:tc>
      </w:tr>
      <w:tr>
        <w:tc>
          <w:tcPr>
            <w:tcW w:w="5000" w:type="pct"/>
          </w:tcPr>
          <w:p>
            <w:pPr>
              <w:pStyle w:val="CodeParagraph"/>
              <w:keepNext/>
              <w:rPr>
                <w:rStyle w:val="Code"/>
              </w:rPr>
            </w:pPr>
            <w:r>
              <w:rPr>
                <w:rStyle w:val="Code"/>
              </w:rPr>
              <w:t xml:space="preserve">&lt;lg </w:t>
            </w:r>
            <w:r>
              <w:rPr>
                <w:rStyle w:val="Codeattribute"/>
              </w:rPr>
              <w:t>n=</w:t>
            </w:r>
            <w:r>
              <w:rPr>
                <w:rStyle w:val="Codevalue"/>
              </w:rPr>
              <w:t>"2"</w:t>
            </w:r>
            <w:r>
              <w:rPr>
                <w:rStyle w:val="Code"/>
              </w:rPr>
              <w:t xml:space="preserve"> </w:t>
            </w:r>
            <w:r>
              <w:rPr>
                <w:rStyle w:val="Codeattribute"/>
              </w:rPr>
              <w:t>met=</w:t>
            </w:r>
            <w:r>
              <w:rPr>
                <w:rStyle w:val="Codevalue"/>
              </w:rPr>
              <w:t>"sragdharā"</w:t>
            </w:r>
            <w:r>
              <w:rPr>
                <w:rStyle w:val="Code"/>
              </w:rPr>
              <w:t>&gt;</w:t>
            </w:r>
          </w:p>
          <w:p>
            <w:pPr>
              <w:pStyle w:val="CodeParagraph"/>
              <w:keepNext/>
              <w:rPr>
                <w:rStyle w:val="Code"/>
              </w:rPr>
            </w:pPr>
            <w:r>
              <w:rPr>
                <w:rStyle w:val="Code"/>
              </w:rPr>
              <w:t xml:space="preserve">  ...</w:t>
            </w:r>
          </w:p>
          <w:p>
            <w:pPr>
              <w:pStyle w:val="CodeParagraph"/>
              <w:keepNext/>
              <w:rPr>
                <w:rStyle w:val="Code"/>
              </w:rPr>
            </w:pPr>
            <w:r>
              <w:rPr>
                <w:rStyle w:val="Code"/>
              </w:rPr>
              <w:t xml:space="preserve">  &lt;l </w:t>
            </w:r>
            <w:r>
              <w:rPr>
                <w:rStyle w:val="Codeattribute"/>
              </w:rPr>
              <w:t>n</w:t>
            </w:r>
            <w:r>
              <w:rPr>
                <w:rStyle w:val="Codetext"/>
              </w:rPr>
              <w:t>=</w:t>
            </w:r>
            <w:r>
              <w:rPr>
                <w:rStyle w:val="Codevalue"/>
              </w:rPr>
              <w:t>"c"</w:t>
            </w:r>
            <w:r>
              <w:rPr>
                <w:rStyle w:val="Code"/>
              </w:rPr>
              <w:t xml:space="preserve"> </w:t>
            </w:r>
            <w:r>
              <w:rPr>
                <w:rStyle w:val="Codeattribute"/>
              </w:rPr>
              <w:t>enjamb</w:t>
            </w:r>
            <w:r>
              <w:rPr>
                <w:rStyle w:val="Codetext"/>
              </w:rPr>
              <w:t>=</w:t>
            </w:r>
            <w:r>
              <w:rPr>
                <w:rStyle w:val="Codevalue"/>
              </w:rPr>
              <w:t>"yes"</w:t>
            </w:r>
            <w:r>
              <w:rPr>
                <w:rStyle w:val="Code"/>
              </w:rPr>
              <w:t>&gt;</w:t>
            </w:r>
            <w:r>
              <w:rPr>
                <w:rStyle w:val="Codetext"/>
              </w:rPr>
              <w:t>lokeśas sthāpito ’pīśvara-guṇa-nipuṇo vismayo nāpy akāryy atr</w:t>
            </w:r>
            <w:r>
              <w:rPr>
                <w:rStyle w:val="Code"/>
              </w:rPr>
              <w:t>&lt;/l&gt;</w:t>
            </w:r>
          </w:p>
          <w:p>
            <w:pPr>
              <w:pStyle w:val="CodeParagraph"/>
              <w:keepNext/>
              <w:rPr>
                <w:rStyle w:val="Code"/>
              </w:rPr>
            </w:pPr>
            <w:r>
              <w:rPr>
                <w:rStyle w:val="Code"/>
              </w:rPr>
              <w:t xml:space="preserve">  &lt;l </w:t>
            </w:r>
            <w:r>
              <w:rPr>
                <w:rStyle w:val="Codeattribute"/>
              </w:rPr>
              <w:t>n</w:t>
            </w:r>
            <w:r>
              <w:rPr>
                <w:rStyle w:val="Codetext"/>
              </w:rPr>
              <w:t>=</w:t>
            </w:r>
            <w:r>
              <w:rPr>
                <w:rStyle w:val="Codevalue"/>
              </w:rPr>
              <w:t>"d"</w:t>
            </w:r>
            <w:r>
              <w:rPr>
                <w:rStyle w:val="Code"/>
              </w:rPr>
              <w:t>&gt;</w:t>
            </w:r>
            <w:r>
              <w:rPr>
                <w:rStyle w:val="Codetext"/>
              </w:rPr>
              <w:t>āsevīhājñayānāvinamita-matinā duṣṭa-vākyañ ca dharmme</w:t>
            </w:r>
            <w:r>
              <w:rPr>
                <w:rStyle w:val="Code"/>
              </w:rPr>
              <w:t>&lt;/l&gt;</w:t>
            </w:r>
          </w:p>
          <w:p>
            <w:pPr>
              <w:pStyle w:val="CodeParagraph"/>
              <w:keepNext/>
            </w:pPr>
            <w:r>
              <w:rPr>
                <w:rStyle w:val="Code"/>
              </w:rPr>
              <w:t>&lt;/lg&gt;</w:t>
            </w:r>
          </w:p>
        </w:tc>
      </w:tr>
      <w:tr>
        <w:tc>
          <w:tcPr>
            <w:tcW w:w="5000" w:type="pct"/>
          </w:tcPr>
          <w:p>
            <w:pPr>
              <w:pStyle w:val="TableNote"/>
            </w:pPr>
            <w:r>
              <w:t xml:space="preserve">the word </w:t>
            </w:r>
            <w:r>
              <w:rPr>
                <w:rStyle w:val="Foreign"/>
              </w:rPr>
              <w:t>atra</w:t>
            </w:r>
            <w:r>
              <w:t xml:space="preserve"> is split between lines (its final vowel being merged into the initial vowel of the following </w:t>
            </w:r>
            <w:r>
              <w:rPr>
                <w:rStyle w:val="Foreign"/>
              </w:rPr>
              <w:t>asevi</w:t>
            </w:r>
            <w:r>
              <w:t>)</w:t>
            </w:r>
          </w:p>
          <w:p>
            <w:pPr>
              <w:pStyle w:val="TableNote"/>
            </w:pPr>
            <w:r>
              <w:t xml:space="preserve">splitting into </w:t>
            </w:r>
            <w:r>
              <w:rPr>
                <w:rStyle w:val="Codetext"/>
              </w:rPr>
              <w:t>akāryy a</w:t>
            </w:r>
            <w:r>
              <w:rPr>
                <w:rStyle w:val="Code"/>
              </w:rPr>
              <w:t>&lt;/l&gt;&lt;l&gt;</w:t>
            </w:r>
            <w:r>
              <w:rPr>
                <w:rStyle w:val="Codetext"/>
              </w:rPr>
              <w:t>trāsevī°</w:t>
            </w:r>
            <w:r>
              <w:t xml:space="preserve"> would be equally acceptable on the basis of proximity to a word boundary</w:t>
            </w:r>
          </w:p>
          <w:p>
            <w:pPr>
              <w:pStyle w:val="TableNote"/>
            </w:pPr>
            <w:r>
              <w:t xml:space="preserve">but semantically, </w:t>
            </w:r>
            <w:r>
              <w:rPr>
                <w:rStyle w:val="Foreign"/>
              </w:rPr>
              <w:t>atra</w:t>
            </w:r>
            <w:r>
              <w:t xml:space="preserve"> belongs to the former line, so putting most of this word into that line is preferable to keeping the </w:t>
            </w:r>
            <w:r>
              <w:rPr>
                <w:rStyle w:val="Foreign"/>
              </w:rPr>
              <w:t>akṣara</w:t>
            </w:r>
            <w:r>
              <w:t xml:space="preserve"> boundary intact</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05" w:name="_Ref43995893"/>
            <w:r>
              <w:t xml:space="preserve">Exhibit </w:t>
            </w:r>
            <w:fldSimple w:instr=" STYLEREF 2 \s ">
              <w:r>
                <w:rPr>
                  <w:noProof/>
                </w:rPr>
                <w:t>3.2</w:t>
              </w:r>
            </w:fldSimple>
            <w:r>
              <w:t>.</w:t>
            </w:r>
            <w:fldSimple w:instr=" SEQ Exhibit \* ALPHABETIC \s 4 ">
              <w:r>
                <w:rPr>
                  <w:noProof/>
                </w:rPr>
                <w:t>K</w:t>
              </w:r>
            </w:fldSimple>
            <w:bookmarkEnd w:id="105"/>
            <w:r>
              <w:t>: extraneous text fused to the end of a stanza</w:t>
            </w:r>
          </w:p>
        </w:tc>
      </w:tr>
      <w:tr>
        <w:tc>
          <w:tcPr>
            <w:tcW w:w="5000" w:type="pct"/>
          </w:tcPr>
          <w:p>
            <w:pPr>
              <w:pStyle w:val="CodeParagraph"/>
              <w:keepNext/>
              <w:rPr>
                <w:color w:val="000080"/>
                <w:shd w:val="clear" w:color="auto" w:fill="F8F8F8"/>
              </w:rPr>
            </w:pPr>
            <w:r>
              <w:rPr>
                <w:rStyle w:val="Code"/>
              </w:rPr>
              <w:t>&lt;lg&gt;</w:t>
            </w:r>
            <w:r>
              <w:rPr>
                <w:rStyle w:val="Codetext"/>
              </w:rPr>
              <w:br/>
              <w:t xml:space="preserve">  ...</w:t>
            </w:r>
            <w:r>
              <w:rPr>
                <w:rStyle w:val="Codetext"/>
              </w:rPr>
              <w:br/>
            </w:r>
            <w:r>
              <w:rPr>
                <w:rStyle w:val="Code"/>
              </w:rPr>
              <w:t xml:space="preserve">  &lt;l </w:t>
            </w:r>
            <w:r>
              <w:rPr>
                <w:rStyle w:val="Codeattribute"/>
              </w:rPr>
              <w:t>n</w:t>
            </w:r>
            <w:r>
              <w:rPr>
                <w:rStyle w:val="Code"/>
              </w:rPr>
              <w:t>=</w:t>
            </w:r>
            <w:r>
              <w:rPr>
                <w:rStyle w:val="Codevalue"/>
              </w:rPr>
              <w:t>"d"</w:t>
            </w:r>
            <w:r>
              <w:rPr>
                <w:rStyle w:val="Code"/>
              </w:rPr>
              <w:t>&gt;</w:t>
            </w:r>
            <w:r>
              <w:rPr>
                <w:rStyle w:val="Codetext"/>
              </w:rPr>
              <w:t>pitr̥bhiḥ saha majjat</w:t>
            </w:r>
            <w:r>
              <w:rPr>
                <w:rStyle w:val="Code"/>
              </w:rPr>
              <w:t>&lt;choice&gt;&lt;orig&gt;</w:t>
            </w:r>
            <w:r>
              <w:rPr>
                <w:rStyle w:val="Codetext"/>
              </w:rPr>
              <w:t>ī</w:t>
            </w:r>
            <w:r>
              <w:rPr>
                <w:rStyle w:val="Code"/>
              </w:rPr>
              <w:t>&lt;/orig&gt;&lt;reg&gt;</w:t>
            </w:r>
            <w:r>
              <w:rPr>
                <w:rStyle w:val="Codetext"/>
              </w:rPr>
              <w:t>i</w:t>
            </w:r>
            <w:r>
              <w:rPr>
                <w:rStyle w:val="Code"/>
              </w:rPr>
              <w:t>&lt;/reg&gt;&lt;/choice&gt;&lt;/l&gt;</w:t>
            </w:r>
            <w:r>
              <w:rPr>
                <w:rStyle w:val="Codetext"/>
              </w:rPr>
              <w:br/>
            </w:r>
            <w:r>
              <w:rPr>
                <w:rStyle w:val="Code"/>
              </w:rPr>
              <w:t>&lt;/lg&gt;</w:t>
            </w:r>
            <w:r>
              <w:rPr>
                <w:rStyle w:val="Codetext"/>
              </w:rPr>
              <w:br/>
            </w:r>
            <w:r>
              <w:rPr>
                <w:rStyle w:val="Code"/>
              </w:rPr>
              <w:t>&lt;ab&gt;&lt;choice&gt;&lt;orig&gt;</w:t>
            </w:r>
            <w:r>
              <w:rPr>
                <w:rStyle w:val="Codetext"/>
              </w:rPr>
              <w:t>ti</w:t>
            </w:r>
            <w:r>
              <w:rPr>
                <w:rStyle w:val="Code"/>
              </w:rPr>
              <w:t>&lt;/orig&gt;&lt;reg&gt;</w:t>
            </w:r>
            <w:r>
              <w:rPr>
                <w:rStyle w:val="Codetext"/>
              </w:rPr>
              <w:t>Iti</w:t>
            </w:r>
            <w:r>
              <w:rPr>
                <w:rStyle w:val="Code"/>
              </w:rPr>
              <w:t>&lt;/reg&gt;&lt;/choice&gt;&lt;/ab&gt;</w:t>
            </w:r>
            <w:r>
              <w:rPr>
                <w:rStyle w:val="Codetext"/>
              </w:rPr>
              <w:br/>
            </w:r>
            <w:r>
              <w:rPr>
                <w:rStyle w:val="Code"/>
              </w:rPr>
              <w:t>&lt;p&gt;</w:t>
            </w:r>
            <w:r>
              <w:rPr>
                <w:rStyle w:val="Codetext"/>
              </w:rPr>
              <w:t xml:space="preserve">saṁvatsara-śate ... </w:t>
            </w:r>
            <w:r>
              <w:rPr>
                <w:rStyle w:val="Code"/>
              </w:rPr>
              <w:t>&lt;/p&gt;</w:t>
            </w:r>
          </w:p>
        </w:tc>
      </w:tr>
      <w:tr>
        <w:tc>
          <w:tcPr>
            <w:tcW w:w="5000" w:type="pct"/>
          </w:tcPr>
          <w:p>
            <w:pPr>
              <w:pStyle w:val="TableNote"/>
            </w:pPr>
            <w:r>
              <w:t xml:space="preserve">the string </w:t>
            </w:r>
            <w:r>
              <w:rPr>
                <w:rStyle w:val="Foreign"/>
              </w:rPr>
              <w:t>majjatīti</w:t>
            </w:r>
            <w:r>
              <w:t xml:space="preserve"> is resolved into </w:t>
            </w:r>
            <w:r>
              <w:rPr>
                <w:rStyle w:val="Foreign"/>
              </w:rPr>
              <w:t>majjati Iti</w:t>
            </w:r>
            <w:r>
              <w:t xml:space="preserve"> to allow a container break between these words</w:t>
            </w:r>
          </w:p>
          <w:p>
            <w:pPr>
              <w:pStyle w:val="TableNote"/>
            </w:pPr>
            <w:r>
              <w:t xml:space="preserve">since </w:t>
            </w:r>
            <w:r>
              <w:rPr>
                <w:rStyle w:val="Foreign"/>
              </w:rPr>
              <w:t>iti</w:t>
            </w:r>
            <w:r>
              <w:t xml:space="preserve"> does not belong semantically to the paragraph after the stanza </w:t>
            </w:r>
            <w:r>
              <w:rPr>
                <w:noProof/>
              </w:rPr>
              <w:t>(</w:t>
            </w:r>
            <w:r>
              <w:t xml:space="preserve">being used simply as an end-quote mark), a separate </w:t>
            </w:r>
            <w:r>
              <w:rPr>
                <w:rStyle w:val="Code"/>
              </w:rPr>
              <w:t>&lt;ab&gt;</w:t>
            </w:r>
            <w:r>
              <w:t xml:space="preserve"> container is created for </w:t>
            </w:r>
            <w:r>
              <w:rPr>
                <w:rStyle w:val="Foreign"/>
              </w:rPr>
              <w:t>iti</w:t>
            </w:r>
            <w:r>
              <w:t xml:space="preserve"> between the preceding </w:t>
            </w:r>
            <w:r>
              <w:rPr>
                <w:rStyle w:val="Code"/>
              </w:rPr>
              <w:t>&lt;lg&gt;</w:t>
            </w:r>
            <w:r>
              <w:t xml:space="preserve"> and the following </w:t>
            </w:r>
            <w:r>
              <w:rPr>
                <w:rStyle w:val="Code"/>
              </w:rPr>
              <w:t>&lt;p&gt;</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06" w:name="_Ref43996267"/>
            <w:r>
              <w:t xml:space="preserve">Exhibit </w:t>
            </w:r>
            <w:fldSimple w:instr=" STYLEREF 2 \s ">
              <w:r>
                <w:rPr>
                  <w:noProof/>
                </w:rPr>
                <w:t>3.2</w:t>
              </w:r>
            </w:fldSimple>
            <w:r>
              <w:t>.</w:t>
            </w:r>
            <w:fldSimple w:instr=" SEQ Exhibit \* ALPHABETIC \s 4 ">
              <w:r>
                <w:rPr>
                  <w:noProof/>
                </w:rPr>
                <w:t>L</w:t>
              </w:r>
            </w:fldSimple>
            <w:bookmarkEnd w:id="106"/>
            <w:r>
              <w:t>: paragraph boundary fused in sandhi</w:t>
            </w:r>
          </w:p>
        </w:tc>
      </w:tr>
      <w:tr>
        <w:tc>
          <w:tcPr>
            <w:tcW w:w="5000" w:type="pct"/>
          </w:tcPr>
          <w:p>
            <w:pPr>
              <w:pStyle w:val="CodeParagraph"/>
              <w:keepNext/>
            </w:pPr>
            <w:r>
              <w:rPr>
                <w:rStyle w:val="Code"/>
              </w:rPr>
              <w:t>&lt;p&gt;</w:t>
            </w:r>
            <w:r>
              <w:rPr>
                <w:rStyle w:val="Codetext"/>
              </w:rPr>
              <w:t xml:space="preserve"> ... puṇye tithau muhūrtte c</w:t>
            </w:r>
            <w:r>
              <w:rPr>
                <w:rStyle w:val="Code"/>
              </w:rPr>
              <w:t>&lt;choice&gt;&lt;orig&gt;</w:t>
            </w:r>
            <w:r>
              <w:rPr>
                <w:rStyle w:val="Codetext"/>
              </w:rPr>
              <w:t>ā</w:t>
            </w:r>
            <w:r>
              <w:rPr>
                <w:rStyle w:val="Code"/>
              </w:rPr>
              <w:t>&lt;/orig&gt;&lt;reg&gt;</w:t>
            </w:r>
            <w:r>
              <w:rPr>
                <w:rStyle w:val="Codetext"/>
              </w:rPr>
              <w:t>a</w:t>
            </w:r>
            <w:r>
              <w:rPr>
                <w:rStyle w:val="Code"/>
              </w:rPr>
              <w:t>&lt;/reg&gt;&lt;/choice&gt;&lt;/p&gt;</w:t>
            </w:r>
            <w:r>
              <w:rPr>
                <w:rStyle w:val="Codetext"/>
              </w:rPr>
              <w:br/>
            </w:r>
            <w:r>
              <w:rPr>
                <w:rStyle w:val="Code"/>
              </w:rPr>
              <w:t>&lt;p&gt;&lt;choice&gt;&lt;orig&gt;</w:t>
            </w:r>
            <w:r>
              <w:rPr>
                <w:rStyle w:val="Codetext"/>
              </w:rPr>
              <w:t>smin</w:t>
            </w:r>
            <w:r>
              <w:rPr>
                <w:rStyle w:val="Code"/>
              </w:rPr>
              <w:t>&lt;/orig&gt;&lt;reg&gt;</w:t>
            </w:r>
            <w:r>
              <w:rPr>
                <w:rStyle w:val="Codetext"/>
              </w:rPr>
              <w:t>Asmin</w:t>
            </w:r>
            <w:r>
              <w:rPr>
                <w:rStyle w:val="Code"/>
              </w:rPr>
              <w:t>&lt;/reg&gt;&lt;/choice&gt;</w:t>
            </w:r>
            <w:r>
              <w:rPr>
                <w:rStyle w:val="Codetext"/>
              </w:rPr>
              <w:t xml:space="preserve"> divasa-māsa-samvatsare ... </w:t>
            </w:r>
            <w:r>
              <w:rPr>
                <w:rStyle w:val="Code"/>
              </w:rPr>
              <w:t>&lt;/p&gt;</w:t>
            </w:r>
          </w:p>
        </w:tc>
      </w:tr>
      <w:tr>
        <w:tc>
          <w:tcPr>
            <w:tcW w:w="5000" w:type="pct"/>
          </w:tcPr>
          <w:p>
            <w:pPr>
              <w:pStyle w:val="TableNote"/>
            </w:pPr>
            <w:r>
              <w:t xml:space="preserve">the string </w:t>
            </w:r>
            <w:r>
              <w:rPr>
                <w:rStyle w:val="Foreign"/>
              </w:rPr>
              <w:t>cāsmin</w:t>
            </w:r>
            <w:r>
              <w:t xml:space="preserve"> is normalised to </w:t>
            </w:r>
            <w:r>
              <w:rPr>
                <w:rStyle w:val="Foreign"/>
              </w:rPr>
              <w:t>ca Asmin</w:t>
            </w:r>
            <w:r>
              <w:t xml:space="preserve"> to allow a paragraph break between these words</w:t>
            </w:r>
          </w:p>
        </w:tc>
      </w:tr>
    </w:tbl>
    <w:p>
      <w:pPr>
        <w:pStyle w:val="Cmsor4"/>
      </w:pPr>
      <w:r>
        <w:lastRenderedPageBreak/>
        <w:t>Interrupted words</w:t>
      </w:r>
    </w:p>
    <w:p>
      <w:pPr>
        <w:rPr>
          <w:lang w:eastAsia="en-US" w:bidi="ar-SA"/>
        </w:rPr>
      </w:pPr>
      <w:r>
        <w:rPr>
          <w:lang w:eastAsia="en-US" w:bidi="ar-SA"/>
        </w:rPr>
        <w:t xml:space="preserve">Prose blocks must never be created in such a way that they end within an integral word. However, verse lines may occasionally end in such a position. If this happens, the usual reason is that a boundary between compound members is in fact present, but it is not segmented in our edition because the compound is a proper name (and vowel fusion may also apply, as in </w:t>
      </w:r>
      <w:r>
        <w:rPr>
          <w:lang w:eastAsia="en-US" w:bidi="ar-SA"/>
        </w:rPr>
        <w:fldChar w:fldCharType="begin"/>
      </w:r>
      <w:r>
        <w:rPr>
          <w:lang w:eastAsia="en-US" w:bidi="ar-SA"/>
        </w:rPr>
        <w:instrText xml:space="preserve"> REF _Ref181627544 \h </w:instrText>
      </w:r>
      <w:r>
        <w:rPr>
          <w:lang w:eastAsia="en-US" w:bidi="ar-SA"/>
        </w:rPr>
      </w:r>
      <w:r>
        <w:rPr>
          <w:lang w:eastAsia="en-US" w:bidi="ar-SA"/>
        </w:rPr>
        <w:fldChar w:fldCharType="separate"/>
      </w:r>
      <w:r>
        <w:t xml:space="preserve">Exhibit </w:t>
      </w:r>
      <w:r>
        <w:rPr>
          <w:noProof/>
        </w:rPr>
        <w:t>3.2</w:t>
      </w:r>
      <w:r>
        <w:t>.</w:t>
      </w:r>
      <w:r>
        <w:rPr>
          <w:noProof/>
        </w:rPr>
        <w:t>M</w:t>
      </w:r>
      <w:r>
        <w:rPr>
          <w:lang w:eastAsia="en-US" w:bidi="ar-SA"/>
        </w:rPr>
        <w:fldChar w:fldCharType="end"/>
      </w:r>
      <w:r>
        <w:rPr>
          <w:lang w:eastAsia="en-US" w:bidi="ar-SA"/>
        </w:rPr>
        <w:t xml:space="preserve">). Rarely, a verse line may end between bound morphemes (e.g. between a prefix and a verbal stem) and even more rarely, the end may be inside an atomic morpheme (as in </w:t>
      </w:r>
      <w:r>
        <w:rPr>
          <w:lang w:eastAsia="en-US" w:bidi="ar-SA"/>
        </w:rPr>
        <w:fldChar w:fldCharType="begin"/>
      </w:r>
      <w:r>
        <w:rPr>
          <w:lang w:eastAsia="en-US" w:bidi="ar-SA"/>
        </w:rPr>
        <w:instrText xml:space="preserve"> REF _Ref224920202 \h </w:instrText>
      </w:r>
      <w:r>
        <w:rPr>
          <w:lang w:eastAsia="en-US" w:bidi="ar-SA"/>
        </w:rPr>
      </w:r>
      <w:r>
        <w:rPr>
          <w:lang w:eastAsia="en-US" w:bidi="ar-SA"/>
        </w:rPr>
        <w:fldChar w:fldCharType="separate"/>
      </w:r>
      <w:r>
        <w:t xml:space="preserve">Exhibit </w:t>
      </w:r>
      <w:r>
        <w:rPr>
          <w:noProof/>
        </w:rPr>
        <w:t>3.2</w:t>
      </w:r>
      <w:r>
        <w:t>.</w:t>
      </w:r>
      <w:r>
        <w:rPr>
          <w:noProof/>
        </w:rPr>
        <w:t>N</w:t>
      </w:r>
      <w:r>
        <w:rPr>
          <w:lang w:eastAsia="en-US" w:bidi="ar-SA"/>
        </w:rPr>
        <w:fldChar w:fldCharType="end"/>
      </w:r>
      <w:r>
        <w:rPr>
          <w:lang w:eastAsia="en-US" w:bidi="ar-SA"/>
        </w:rPr>
        <w:t>). The former is generally frowned upon by traditional authorities on versification, while the latter is usually considered a grave error on the part of the poet.</w:t>
      </w:r>
    </w:p>
    <w:p>
      <w:pPr>
        <w:pStyle w:val="Lista"/>
        <w:rPr>
          <w:lang w:eastAsia="en-US" w:bidi="ar-SA"/>
        </w:rPr>
      </w:pPr>
      <w:r>
        <w:rPr>
          <w:lang w:eastAsia="en-US" w:bidi="ar-SA"/>
        </w:rPr>
        <w:t>in all such cases, provided that the metre of the verse is correct</w:t>
      </w:r>
    </w:p>
    <w:p>
      <w:pPr>
        <w:pStyle w:val="Lista2"/>
        <w:rPr>
          <w:lang w:eastAsia="en-US" w:bidi="ar-SA"/>
        </w:rPr>
      </w:pPr>
      <w:r>
        <w:rPr>
          <w:lang w:eastAsia="en-US" w:bidi="ar-SA"/>
        </w:rPr>
        <w:t>encode the boundary at the point that makes sense to you</w:t>
      </w:r>
    </w:p>
    <w:p>
      <w:pPr>
        <w:pStyle w:val="Lista3"/>
        <w:rPr>
          <w:lang w:eastAsia="en-US" w:bidi="ar-SA"/>
        </w:rPr>
      </w:pPr>
      <w:r>
        <w:rPr>
          <w:lang w:eastAsia="en-US" w:bidi="ar-SA"/>
        </w:rPr>
        <w:t>making sure that the lines on both sides of the boundary have the required number of syllables</w:t>
      </w:r>
    </w:p>
    <w:p>
      <w:pPr>
        <w:pStyle w:val="Lista2"/>
        <w:rPr>
          <w:lang w:eastAsia="en-US" w:bidi="ar-SA"/>
        </w:rPr>
      </w:pPr>
      <w:r>
        <w:t>encode enjambement on the former line (§</w:t>
      </w:r>
      <w:r>
        <w:fldChar w:fldCharType="begin"/>
      </w:r>
      <w:r>
        <w:instrText xml:space="preserve"> REF _Ref224901083 \r \h </w:instrText>
      </w:r>
      <w:r>
        <w:fldChar w:fldCharType="separate"/>
      </w:r>
      <w:r>
        <w:t>3.2.4.1</w:t>
      </w:r>
      <w:r>
        <w:fldChar w:fldCharType="end"/>
      </w:r>
      <w:r>
        <w:t>)</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07" w:name="_Ref181627544"/>
            <w:r>
              <w:t xml:space="preserve">Exhibit </w:t>
            </w:r>
            <w:fldSimple w:instr=" STYLEREF 2 \s ">
              <w:r>
                <w:rPr>
                  <w:noProof/>
                </w:rPr>
                <w:t>3.2</w:t>
              </w:r>
            </w:fldSimple>
            <w:r>
              <w:t>.</w:t>
            </w:r>
            <w:fldSimple w:instr=" SEQ Exhibit \* ALPHABETIC \s 2 ">
              <w:r>
                <w:rPr>
                  <w:noProof/>
                </w:rPr>
                <w:t>M</w:t>
              </w:r>
            </w:fldSimple>
            <w:bookmarkEnd w:id="107"/>
            <w:r>
              <w:t>: verse line ending inside a compound not segmented in the edition</w:t>
            </w:r>
          </w:p>
        </w:tc>
      </w:tr>
      <w:tr>
        <w:tc>
          <w:tcPr>
            <w:tcW w:w="5000" w:type="pct"/>
          </w:tcPr>
          <w:p>
            <w:pPr>
              <w:pStyle w:val="CodeParagraph"/>
              <w:keepNext/>
              <w:rPr>
                <w:rStyle w:val="Code"/>
              </w:rPr>
            </w:pPr>
            <w:r>
              <w:rPr>
                <w:rStyle w:val="Code"/>
              </w:rPr>
              <w:t xml:space="preserve">&lt;lg </w:t>
            </w:r>
            <w:r>
              <w:rPr>
                <w:rStyle w:val="Codeattribute"/>
              </w:rPr>
              <w:t>n=</w:t>
            </w:r>
            <w:r>
              <w:rPr>
                <w:rStyle w:val="Codevalue"/>
              </w:rPr>
              <w:t>"11"</w:t>
            </w:r>
            <w:r>
              <w:rPr>
                <w:rStyle w:val="Code"/>
              </w:rPr>
              <w:t xml:space="preserve"> </w:t>
            </w:r>
            <w:r>
              <w:rPr>
                <w:rStyle w:val="Codeattribute"/>
              </w:rPr>
              <w:t>met=</w:t>
            </w:r>
            <w:r>
              <w:rPr>
                <w:rStyle w:val="Codevalue"/>
              </w:rPr>
              <w:t>"anuṣṭubh"</w:t>
            </w:r>
            <w:r>
              <w:rPr>
                <w:rStyle w:val="Code"/>
              </w:rPr>
              <w:t>&gt;</w:t>
            </w:r>
          </w:p>
          <w:p>
            <w:pPr>
              <w:pStyle w:val="CodeParagraph"/>
              <w:keepNext/>
              <w:rPr>
                <w:rStyle w:val="Code"/>
              </w:rPr>
            </w:pPr>
            <w:r>
              <w:rPr>
                <w:rStyle w:val="Code"/>
              </w:rPr>
              <w:t xml:space="preserve">  &lt;l </w:t>
            </w:r>
            <w:r>
              <w:rPr>
                <w:rStyle w:val="Codeattribute"/>
              </w:rPr>
              <w:t>n=</w:t>
            </w:r>
            <w:r>
              <w:rPr>
                <w:rStyle w:val="Codevalue"/>
              </w:rPr>
              <w:t>"a"</w:t>
            </w:r>
            <w:r>
              <w:rPr>
                <w:rStyle w:val="Code"/>
              </w:rPr>
              <w:t xml:space="preserve"> </w:t>
            </w:r>
            <w:r>
              <w:rPr>
                <w:rStyle w:val="Codeattribute"/>
              </w:rPr>
              <w:t>enjamb=</w:t>
            </w:r>
            <w:r>
              <w:rPr>
                <w:rStyle w:val="Codevalue"/>
              </w:rPr>
              <w:t>"yes"</w:t>
            </w:r>
            <w:r>
              <w:rPr>
                <w:rStyle w:val="Code"/>
              </w:rPr>
              <w:t xml:space="preserve"> </w:t>
            </w:r>
            <w:r>
              <w:rPr>
                <w:rStyle w:val="Codeattribute"/>
              </w:rPr>
              <w:t>met=</w:t>
            </w:r>
            <w:r>
              <w:rPr>
                <w:rStyle w:val="Codevalue"/>
              </w:rPr>
              <w:t>"bha-vipulā"</w:t>
            </w:r>
            <w:r>
              <w:rPr>
                <w:rStyle w:val="Code"/>
              </w:rPr>
              <w:t xml:space="preserve"> </w:t>
            </w:r>
            <w:r>
              <w:rPr>
                <w:rStyle w:val="Codeattribute"/>
              </w:rPr>
              <w:t>real=</w:t>
            </w:r>
            <w:r>
              <w:rPr>
                <w:rStyle w:val="Codevalue"/>
              </w:rPr>
              <w:t>"++-++--+"</w:t>
            </w:r>
            <w:r>
              <w:rPr>
                <w:rStyle w:val="Code"/>
              </w:rPr>
              <w:t>&gt;</w:t>
            </w:r>
            <w:r>
              <w:rPr>
                <w:rStyle w:val="Codetext"/>
              </w:rPr>
              <w:t>sūnus tadīyo vijayā</w:t>
            </w:r>
            <w:r>
              <w:rPr>
                <w:rStyle w:val="Code"/>
              </w:rPr>
              <w:t>&lt;/l&gt;</w:t>
            </w:r>
          </w:p>
          <w:p>
            <w:pPr>
              <w:pStyle w:val="CodeParagraph"/>
              <w:keepNext/>
              <w:rPr>
                <w:rStyle w:val="Code"/>
              </w:rPr>
            </w:pPr>
            <w:r>
              <w:rPr>
                <w:rStyle w:val="Code"/>
              </w:rPr>
              <w:t xml:space="preserve">  &lt;l </w:t>
            </w:r>
            <w:r>
              <w:rPr>
                <w:rStyle w:val="Codeattribute"/>
              </w:rPr>
              <w:t>n=</w:t>
            </w:r>
            <w:r>
              <w:rPr>
                <w:rStyle w:val="Codevalue"/>
              </w:rPr>
              <w:t>"b"</w:t>
            </w:r>
            <w:r>
              <w:rPr>
                <w:rStyle w:val="Code"/>
              </w:rPr>
              <w:t>&gt;</w:t>
            </w:r>
            <w:r>
              <w:rPr>
                <w:rStyle w:val="Codetext"/>
              </w:rPr>
              <w:t>ditya-nāmā mahīpatiḥ</w:t>
            </w:r>
            <w:r>
              <w:rPr>
                <w:rStyle w:val="Code"/>
              </w:rPr>
              <w:t>&lt;/l&gt;</w:t>
            </w:r>
          </w:p>
          <w:p>
            <w:pPr>
              <w:pStyle w:val="CodeParagraph"/>
              <w:keepNext/>
              <w:rPr>
                <w:rStyle w:val="Code"/>
              </w:rPr>
            </w:pPr>
            <w:r>
              <w:rPr>
                <w:rStyle w:val="Code"/>
              </w:rPr>
              <w:t xml:space="preserve">  ...</w:t>
            </w:r>
          </w:p>
          <w:p>
            <w:pPr>
              <w:pStyle w:val="CodeParagraph"/>
              <w:keepNext/>
            </w:pPr>
            <w:r>
              <w:rPr>
                <w:rStyle w:val="Code"/>
              </w:rPr>
              <w:t>&lt;/lg&gt;</w:t>
            </w:r>
          </w:p>
        </w:tc>
      </w:tr>
      <w:tr>
        <w:tc>
          <w:tcPr>
            <w:tcW w:w="5000" w:type="pct"/>
          </w:tcPr>
          <w:p>
            <w:pPr>
              <w:pStyle w:val="TableNote"/>
            </w:pPr>
            <w:r>
              <w:t xml:space="preserve">the name </w:t>
            </w:r>
            <w:r>
              <w:rPr>
                <w:rStyle w:val="Foreign"/>
              </w:rPr>
              <w:t>vijayāditya</w:t>
            </w:r>
            <w:r>
              <w:t xml:space="preserve"> is split across verse lines, so enjambement is present</w:t>
            </w:r>
          </w:p>
          <w:p>
            <w:pPr>
              <w:pStyle w:val="TableNote"/>
            </w:pPr>
            <w:r>
              <w:t>vowel fusion sandhi is present, so §</w:t>
            </w:r>
            <w:r>
              <w:fldChar w:fldCharType="begin"/>
            </w:r>
            <w:r>
              <w:instrText xml:space="preserve"> REF _Ref225324953 \r \h </w:instrText>
            </w:r>
            <w:r>
              <w:fldChar w:fldCharType="separate"/>
            </w:r>
            <w:r>
              <w:t>3.2.4.4</w:t>
            </w:r>
            <w:r>
              <w:fldChar w:fldCharType="end"/>
            </w:r>
            <w:r>
              <w:t xml:space="preserve"> also applies</w:t>
            </w:r>
          </w:p>
          <w:p>
            <w:pPr>
              <w:pStyle w:val="TableNote"/>
            </w:pPr>
            <w:r>
              <w:t>but the compound would not be segmented anyway in DHARMA editorial practice</w:t>
            </w:r>
          </w:p>
          <w:p>
            <w:pPr>
              <w:pStyle w:val="TableNote"/>
            </w:pPr>
            <w:r>
              <w:t xml:space="preserve">the </w:t>
            </w:r>
            <w:r>
              <w:rPr>
                <w:rStyle w:val="Foreign"/>
              </w:rPr>
              <w:t>vipulā</w:t>
            </w:r>
            <w:r>
              <w:t xml:space="preserve"> metre, incidental to this illustration, is encoded as per §</w:t>
            </w:r>
            <w:r>
              <w:fldChar w:fldCharType="begin"/>
            </w:r>
            <w:r>
              <w:instrText xml:space="preserve"> REF _Ref224725166 \r \h </w:instrText>
            </w:r>
            <w:r>
              <w:fldChar w:fldCharType="separate"/>
            </w:r>
            <w:r>
              <w:t>3.3.4.1</w:t>
            </w:r>
            <w:r>
              <w:fldChar w:fldCharType="end"/>
            </w:r>
          </w:p>
        </w:tc>
      </w:tr>
    </w:tbl>
    <w:p>
      <w:pPr>
        <w:rPr>
          <w:lang w:eastAsia="en-US" w:bidi="ar-SA"/>
        </w:rPr>
      </w:pP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08" w:name="_Ref224920202"/>
            <w:r>
              <w:t xml:space="preserve">Exhibit </w:t>
            </w:r>
            <w:fldSimple w:instr=" STYLEREF 2 \s ">
              <w:r>
                <w:rPr>
                  <w:noProof/>
                </w:rPr>
                <w:t>3.2</w:t>
              </w:r>
            </w:fldSimple>
            <w:r>
              <w:t>.</w:t>
            </w:r>
            <w:fldSimple w:instr=" SEQ Exhibit \* ALPHABETIC \s 2 ">
              <w:r>
                <w:rPr>
                  <w:noProof/>
                </w:rPr>
                <w:t>N</w:t>
              </w:r>
            </w:fldSimple>
            <w:bookmarkEnd w:id="108"/>
            <w:r>
              <w:t>: verse line ending within atomic morpheme</w:t>
            </w:r>
          </w:p>
        </w:tc>
      </w:tr>
      <w:tr>
        <w:tc>
          <w:tcPr>
            <w:tcW w:w="5000" w:type="pct"/>
          </w:tcPr>
          <w:p>
            <w:pPr>
              <w:pStyle w:val="CodeParagraph"/>
              <w:keepNext/>
              <w:rPr>
                <w:rStyle w:val="Code"/>
              </w:rPr>
            </w:pPr>
            <w:r>
              <w:rPr>
                <w:rStyle w:val="Code"/>
              </w:rPr>
              <w:t xml:space="preserve">&lt;lg </w:t>
            </w:r>
            <w:r>
              <w:rPr>
                <w:rStyle w:val="Codeattribute"/>
              </w:rPr>
              <w:t>n=</w:t>
            </w:r>
            <w:r>
              <w:rPr>
                <w:rStyle w:val="Codevalue"/>
              </w:rPr>
              <w:t>"2"</w:t>
            </w:r>
            <w:r>
              <w:rPr>
                <w:rStyle w:val="Code"/>
              </w:rPr>
              <w:t xml:space="preserve"> </w:t>
            </w:r>
            <w:r>
              <w:rPr>
                <w:rStyle w:val="Codeattribute"/>
              </w:rPr>
              <w:t>met=</w:t>
            </w:r>
            <w:r>
              <w:rPr>
                <w:rStyle w:val="Codevalue"/>
              </w:rPr>
              <w:t>"śikhariṇī"</w:t>
            </w:r>
            <w:r>
              <w:rPr>
                <w:rStyle w:val="Code"/>
              </w:rPr>
              <w:t>&gt;</w:t>
            </w:r>
          </w:p>
          <w:p>
            <w:pPr>
              <w:pStyle w:val="CodeParagraph"/>
              <w:keepNext/>
              <w:rPr>
                <w:rStyle w:val="Code"/>
              </w:rPr>
            </w:pPr>
            <w:r>
              <w:rPr>
                <w:rStyle w:val="Code"/>
              </w:rPr>
              <w:t xml:space="preserve">  &lt;l </w:t>
            </w:r>
            <w:r>
              <w:rPr>
                <w:rStyle w:val="Codeattribute"/>
              </w:rPr>
              <w:t>n=</w:t>
            </w:r>
            <w:r>
              <w:rPr>
                <w:rStyle w:val="Codevalue"/>
              </w:rPr>
              <w:t>"a"</w:t>
            </w:r>
            <w:r>
              <w:rPr>
                <w:rStyle w:val="Code"/>
              </w:rPr>
              <w:t xml:space="preserve"> </w:t>
            </w:r>
            <w:r>
              <w:rPr>
                <w:rStyle w:val="Codeattribute"/>
              </w:rPr>
              <w:t>enjamb=</w:t>
            </w:r>
            <w:r>
              <w:rPr>
                <w:rStyle w:val="Codevalue"/>
              </w:rPr>
              <w:t>"yes"</w:t>
            </w:r>
            <w:r>
              <w:rPr>
                <w:rStyle w:val="Code"/>
              </w:rPr>
              <w:t>&gt;</w:t>
            </w:r>
            <w:r>
              <w:rPr>
                <w:rStyle w:val="Codetext"/>
              </w:rPr>
              <w:t>sutas tasya jyeṣṭho guṇaga-vijayāditya-patir aṁ</w:t>
            </w:r>
            <w:r>
              <w:rPr>
                <w:rStyle w:val="Code"/>
              </w:rPr>
              <w:t>&lt;/l&gt;</w:t>
            </w:r>
          </w:p>
          <w:p>
            <w:pPr>
              <w:pStyle w:val="CodeParagraph"/>
              <w:keepNext/>
              <w:rPr>
                <w:rStyle w:val="Code"/>
              </w:rPr>
            </w:pPr>
            <w:r>
              <w:rPr>
                <w:rStyle w:val="Code"/>
              </w:rPr>
              <w:t xml:space="preserve">  &lt;l </w:t>
            </w:r>
            <w:r>
              <w:rPr>
                <w:rStyle w:val="Codeattribute"/>
              </w:rPr>
              <w:t>n=</w:t>
            </w:r>
            <w:r>
              <w:rPr>
                <w:rStyle w:val="Codevalue"/>
              </w:rPr>
              <w:t>"b"</w:t>
            </w:r>
            <w:r>
              <w:rPr>
                <w:rStyle w:val="Code"/>
              </w:rPr>
              <w:t>&gt;</w:t>
            </w:r>
            <w:r>
              <w:rPr>
                <w:rStyle w:val="Codetext"/>
              </w:rPr>
              <w:t>kakāras sākṣād vallabha-nr̥pa-samabhyarccita-bhujaḥ</w:t>
            </w:r>
            <w:r>
              <w:rPr>
                <w:rStyle w:val="Code"/>
              </w:rPr>
              <w:t>&lt;/l&gt;</w:t>
            </w:r>
          </w:p>
          <w:p>
            <w:pPr>
              <w:pStyle w:val="CodeParagraph"/>
              <w:keepNext/>
              <w:rPr>
                <w:rStyle w:val="Code"/>
              </w:rPr>
            </w:pPr>
            <w:r>
              <w:rPr>
                <w:rStyle w:val="Code"/>
              </w:rPr>
              <w:t xml:space="preserve">  ...</w:t>
            </w:r>
          </w:p>
          <w:p>
            <w:pPr>
              <w:pStyle w:val="CodeParagraph"/>
              <w:keepNext/>
            </w:pPr>
            <w:r>
              <w:rPr>
                <w:rStyle w:val="Code"/>
              </w:rPr>
              <w:t>&lt;/lg&gt;</w:t>
            </w:r>
          </w:p>
        </w:tc>
      </w:tr>
      <w:tr>
        <w:tc>
          <w:tcPr>
            <w:tcW w:w="5000" w:type="pct"/>
          </w:tcPr>
          <w:p>
            <w:pPr>
              <w:pStyle w:val="TableNote"/>
            </w:pPr>
            <w:r>
              <w:t xml:space="preserve">the monomorphemic word </w:t>
            </w:r>
            <w:r>
              <w:rPr>
                <w:rStyle w:val="Foreign"/>
              </w:rPr>
              <w:t>aṁka</w:t>
            </w:r>
            <w:r>
              <w:t xml:space="preserve"> is split across verse lines, so enjambement is present</w:t>
            </w:r>
          </w:p>
          <w:p>
            <w:pPr>
              <w:pStyle w:val="TableNote"/>
            </w:pPr>
            <w:r>
              <w:t>the boundary is encoded at a convenient spot that leaves the metre intact</w:t>
            </w:r>
          </w:p>
        </w:tc>
      </w:tr>
    </w:tbl>
    <w:p>
      <w:pPr>
        <w:pStyle w:val="Cmsor3"/>
      </w:pPr>
      <w:bookmarkStart w:id="109" w:name="_Toc242976596"/>
      <w:r>
        <w:t>Good encoding practice for block-level elements</w:t>
      </w:r>
      <w:bookmarkEnd w:id="109"/>
    </w:p>
    <w:p>
      <w:r>
        <w:t>The basic block-level containers are the direct children of a division (the edition division or, if applicable, of a textpart division) and must contain not only all the text in an edition, but also all the markup applied to the edition. The empty elements representing extrinsic structure (§</w:t>
      </w:r>
      <w:r>
        <w:fldChar w:fldCharType="begin"/>
      </w:r>
      <w:r>
        <w:instrText xml:space="preserve"> REF _Ref225327729 \r \h </w:instrText>
      </w:r>
      <w:r>
        <w:fldChar w:fldCharType="separate"/>
      </w:r>
      <w:r>
        <w:t>4.3</w:t>
      </w:r>
      <w:r>
        <w:fldChar w:fldCharType="end"/>
      </w:r>
      <w:r>
        <w:t>) must thus also be placed within the block-level text containers (§</w:t>
      </w:r>
      <w:r>
        <w:fldChar w:fldCharType="begin"/>
      </w:r>
      <w:r>
        <w:instrText xml:space="preserve"> REF _Ref225502994 \r \h </w:instrText>
      </w:r>
      <w:r>
        <w:fldChar w:fldCharType="separate"/>
      </w:r>
      <w:r>
        <w:t>4.3.3.1</w:t>
      </w:r>
      <w:r>
        <w:fldChar w:fldCharType="end"/>
      </w:r>
      <w:r>
        <w:t>). Since XML cannot represent overlapping hierarchies (§</w:t>
      </w:r>
      <w:r>
        <w:fldChar w:fldCharType="begin"/>
      </w:r>
      <w:r>
        <w:instrText xml:space="preserve"> REF _Ref224893456 \r \h </w:instrText>
      </w:r>
      <w:r>
        <w:fldChar w:fldCharType="separate"/>
      </w:r>
      <w:r>
        <w:t>2.2.4</w:t>
      </w:r>
      <w:r>
        <w:fldChar w:fldCharType="end"/>
      </w:r>
      <w:r>
        <w:t>), all phrase-level elements (§</w:t>
      </w:r>
      <w:r>
        <w:fldChar w:fldCharType="begin"/>
      </w:r>
      <w:r>
        <w:instrText xml:space="preserve"> REF _Ref224893557 \r \h </w:instrText>
      </w:r>
      <w:r>
        <w:fldChar w:fldCharType="separate"/>
      </w:r>
      <w:r>
        <w:t>2.2.2</w:t>
      </w:r>
      <w:r>
        <w:fldChar w:fldCharType="end"/>
      </w:r>
      <w:r>
        <w:t>) representing features extending across a block-level boundary must be split up, with one phrase-level element at the end of the former block-level element, and another phrase-level element of the same kind at the beginning of the latter block-level element. Further guidelines for the hierarchy of encoding, including exceptional cases where empty elements may appear in an edition outside one of these structural containers, are given in §</w:t>
      </w:r>
      <w:r>
        <w:fldChar w:fldCharType="begin"/>
      </w:r>
      <w:r>
        <w:instrText xml:space="preserve"> REF _Ref43978660 \r \h </w:instrText>
      </w:r>
      <w:r>
        <w:fldChar w:fldCharType="separate"/>
      </w:r>
      <w:r>
        <w:t>16.2</w:t>
      </w:r>
      <w:r>
        <w:fldChar w:fldCharType="end"/>
      </w:r>
      <w:r>
        <w:t>.</w:t>
      </w:r>
    </w:p>
    <w:p>
      <w:pPr>
        <w:pStyle w:val="Cmsor2"/>
      </w:pPr>
      <w:r>
        <w:lastRenderedPageBreak/>
        <w:t>Encoding metre in verse</w:t>
      </w:r>
    </w:p>
    <w:p>
      <w:pPr>
        <w:pStyle w:val="Cmsor3"/>
      </w:pPr>
      <w:bookmarkStart w:id="110" w:name="_Ref225323861"/>
      <w:bookmarkStart w:id="111" w:name="_Ref225323884"/>
      <w:bookmarkStart w:id="112" w:name="_Toc242976597"/>
      <w:r>
        <w:t xml:space="preserve">Encoding an abstract prosodic template with </w:t>
      </w:r>
      <w:r>
        <w:rPr>
          <w:rStyle w:val="Codeattribute"/>
        </w:rPr>
        <w:t>@met</w:t>
      </w:r>
      <w:bookmarkEnd w:id="71"/>
      <w:bookmarkEnd w:id="80"/>
      <w:bookmarkEnd w:id="110"/>
      <w:bookmarkEnd w:id="111"/>
      <w:bookmarkEnd w:id="112"/>
    </w:p>
    <w:p>
      <w:r>
        <w:t xml:space="preserve">Most of the verse in our texts conforms to conventional metrical templates associated with emic names recognised by authorities on poetics </w:t>
      </w:r>
      <w:r>
        <w:rPr>
          <w:noProof/>
        </w:rPr>
        <w:t>(</w:t>
      </w:r>
      <w:r>
        <w:t xml:space="preserve">e.g. </w:t>
      </w:r>
      <w:r>
        <w:rPr>
          <w:rStyle w:val="Foreign"/>
        </w:rPr>
        <w:t>upajāti</w:t>
      </w:r>
      <w:r>
        <w:t xml:space="preserve">, </w:t>
      </w:r>
      <w:r>
        <w:rPr>
          <w:rStyle w:val="Foreign"/>
        </w:rPr>
        <w:t>śārdūlavikrīḍita</w:t>
      </w:r>
      <w:r>
        <w:t>, etc.). We have catalogued these in the authority file “Prosodic Patterns.”</w:t>
      </w:r>
      <w:r>
        <w:rPr>
          <w:rStyle w:val="Lbjegyzet-hivatkozs"/>
        </w:rPr>
        <w:footnoteReference w:id="10"/>
      </w:r>
      <w:r>
        <w:t xml:space="preserve"> In addition to serving as canonical reference, this file can also help you with the identification of metres, for which the </w:t>
      </w:r>
      <w:r>
        <w:rPr>
          <w:highlight w:val="yellow"/>
        </w:rPr>
        <w:t>VG</w:t>
      </w:r>
      <w:r>
        <w:t xml:space="preserve"> contains some additional guidance.</w:t>
      </w:r>
    </w:p>
    <w:p>
      <w:pPr>
        <w:pStyle w:val="Lista"/>
      </w:pPr>
      <w:r>
        <w:t>when establishing the metre of a verse segment, you must disregard</w:t>
      </w:r>
    </w:p>
    <w:p>
      <w:pPr>
        <w:pStyle w:val="Lista2"/>
      </w:pPr>
      <w:r>
        <w:t xml:space="preserve">presumable scribal error </w:t>
      </w:r>
      <w:r>
        <w:rPr>
          <w:noProof/>
        </w:rPr>
        <w:t>(</w:t>
      </w:r>
      <w:r>
        <w:t xml:space="preserve">e.g. omission, dittography) or non-standard usage which you as editor have corrected </w:t>
      </w:r>
      <w:r>
        <w:rPr>
          <w:noProof/>
        </w:rPr>
        <w:t>(</w:t>
      </w:r>
      <w:r>
        <w:t>§</w:t>
      </w:r>
      <w:r>
        <w:fldChar w:fldCharType="begin"/>
      </w:r>
      <w:r>
        <w:instrText xml:space="preserve"> REF _Ref232089210 \r \h </w:instrText>
      </w:r>
      <w:r>
        <w:fldChar w:fldCharType="separate"/>
      </w:r>
      <w:r>
        <w:t>7.7.4</w:t>
      </w:r>
      <w:r>
        <w:fldChar w:fldCharType="end"/>
      </w:r>
      <w:r>
        <w:t>), thereby restoring the expected metre</w:t>
      </w:r>
    </w:p>
    <w:p>
      <w:pPr>
        <w:pStyle w:val="Lista2"/>
      </w:pPr>
      <w:r>
        <w:t xml:space="preserve">the scribal quirk where the end of a verse is joined in sandhi to a closing </w:t>
      </w:r>
      <w:r>
        <w:rPr>
          <w:rStyle w:val="Foreign"/>
        </w:rPr>
        <w:t>iti</w:t>
      </w:r>
      <w:r>
        <w:t xml:space="preserve"> (for which see §</w:t>
      </w:r>
      <w:r>
        <w:fldChar w:fldCharType="begin"/>
      </w:r>
      <w:r>
        <w:instrText xml:space="preserve"> REF _Ref225324953 \r \h </w:instrText>
      </w:r>
      <w:r>
        <w:fldChar w:fldCharType="separate"/>
      </w:r>
      <w:r>
        <w:t>3.2.4.4</w:t>
      </w:r>
      <w:r>
        <w:fldChar w:fldCharType="end"/>
      </w:r>
      <w:r>
        <w:t>)</w:t>
      </w:r>
    </w:p>
    <w:p>
      <w:pPr>
        <w:pStyle w:val="Lista"/>
      </w:pPr>
      <w:r>
        <w:t xml:space="preserve">the theoretical metre to which a verse segment conforms can be encoded in the attribute </w:t>
      </w:r>
      <w:r>
        <w:rPr>
          <w:rStyle w:val="Codeattribute"/>
        </w:rPr>
        <w:t>@met</w:t>
      </w:r>
    </w:p>
    <w:p>
      <w:pPr>
        <w:pStyle w:val="Lista"/>
      </w:pPr>
      <w:r>
        <w:t xml:space="preserve">in DHARMA practice, </w:t>
      </w:r>
      <w:r>
        <w:rPr>
          <w:rStyle w:val="Codeattribute"/>
        </w:rPr>
        <w:t>@met</w:t>
      </w:r>
      <w:r>
        <w:t xml:space="preserve"> </w:t>
      </w:r>
    </w:p>
    <w:p>
      <w:pPr>
        <w:pStyle w:val="Lista2"/>
      </w:pPr>
      <w:r>
        <w:t xml:space="preserve">must be mandatorily present on every </w:t>
      </w:r>
      <w:r>
        <w:rPr>
          <w:rStyle w:val="Code"/>
        </w:rPr>
        <w:t>&lt;lg&gt;</w:t>
      </w:r>
      <w:r>
        <w:t xml:space="preserve"> element</w:t>
      </w:r>
    </w:p>
    <w:p>
      <w:pPr>
        <w:pStyle w:val="Lista2"/>
      </w:pPr>
      <w:r>
        <w:t xml:space="preserve">is normally not used on </w:t>
      </w:r>
      <w:r>
        <w:rPr>
          <w:rStyle w:val="Code"/>
        </w:rPr>
        <w:t>&lt;l&gt;</w:t>
      </w:r>
      <w:r>
        <w:t xml:space="preserve"> elements</w:t>
      </w:r>
    </w:p>
    <w:p>
      <w:pPr>
        <w:pStyle w:val="Lista3"/>
      </w:pPr>
      <w:r>
        <w:t>but is added to lines that deviate from the overall template of a stanza, as called for in some subsections of §</w:t>
      </w:r>
      <w:r>
        <w:fldChar w:fldCharType="begin"/>
      </w:r>
      <w:r>
        <w:instrText xml:space="preserve"> REF _Ref225325000 \r \h </w:instrText>
      </w:r>
      <w:r>
        <w:fldChar w:fldCharType="separate"/>
      </w:r>
      <w:r>
        <w:t>3.3.3.1</w:t>
      </w:r>
      <w:r>
        <w:fldChar w:fldCharType="end"/>
      </w:r>
      <w:r>
        <w:t xml:space="preserve"> </w:t>
      </w:r>
    </w:p>
    <w:p>
      <w:pPr>
        <w:pStyle w:val="Lista"/>
      </w:pPr>
      <w:r>
        <w:t xml:space="preserve">typically, the value of </w:t>
      </w:r>
      <w:r>
        <w:rPr>
          <w:rStyle w:val="Codeattribute"/>
        </w:rPr>
        <w:t>@met</w:t>
      </w:r>
      <w:r>
        <w:t xml:space="preserve"> shall be one of the metre names listed in our authority file</w:t>
      </w:r>
    </w:p>
    <w:p>
      <w:pPr>
        <w:pStyle w:val="Lista2"/>
      </w:pPr>
      <w:r>
        <w:t>if you come across a metre to which you can put a name, but that name is not in the authority file,</w:t>
      </w:r>
    </w:p>
    <w:p>
      <w:pPr>
        <w:pStyle w:val="Lista3"/>
      </w:pPr>
      <w:r>
        <w:t>use the name as a value</w:t>
      </w:r>
    </w:p>
    <w:p>
      <w:pPr>
        <w:pStyle w:val="Lista3"/>
      </w:pPr>
      <w:r>
        <w:t>add the name to the authority file, following the instructions in the file itself</w:t>
      </w:r>
    </w:p>
    <w:p>
      <w:pPr>
        <w:pStyle w:val="Lista2"/>
      </w:pPr>
      <w:r>
        <w:t>if the authority file lists more than one name for a template, choose the name most appropriate to the language and/or region of your inscription</w:t>
      </w:r>
    </w:p>
    <w:p>
      <w:pPr>
        <w:pStyle w:val="Lista2"/>
      </w:pPr>
      <w:r>
        <w:t>special values, some of them applicable only to stanzas and some only to lines, are noted in the following subsections</w:t>
      </w:r>
    </w:p>
    <w:p>
      <w:pPr>
        <w:pStyle w:val="Cmsor3"/>
      </w:pPr>
      <w:bookmarkStart w:id="113" w:name="_Ref181701741"/>
      <w:bookmarkStart w:id="114" w:name="_Ref181630354"/>
      <w:bookmarkStart w:id="115" w:name="_Toc242976598"/>
      <w:r>
        <w:t xml:space="preserve">Encoding an actual prosodic realisation with </w:t>
      </w:r>
      <w:r>
        <w:rPr>
          <w:rStyle w:val="Codeattribute"/>
        </w:rPr>
        <w:t>@real</w:t>
      </w:r>
      <w:bookmarkEnd w:id="113"/>
      <w:bookmarkEnd w:id="115"/>
    </w:p>
    <w:p>
      <w:pPr>
        <w:pStyle w:val="Lista"/>
        <w:rPr>
          <w:rStyle w:val="Codeattribute"/>
          <w:rFonts w:ascii="Gentium Plus" w:hAnsi="Gentium Plus" w:cs="Arial Unicode MS"/>
          <w:noProof w:val="0"/>
          <w:color w:val="auto"/>
          <w:shd w:val="clear" w:color="auto" w:fill="auto"/>
        </w:rPr>
      </w:pPr>
      <w:r>
        <w:t xml:space="preserve">when the prosodic realisation of a segment deviates from what is expected on the basis of a metrical template encoded with </w:t>
      </w:r>
      <w:r>
        <w:rPr>
          <w:rStyle w:val="Codeattribute"/>
        </w:rPr>
        <w:t>@met</w:t>
      </w:r>
      <w:r>
        <w:t xml:space="preserve">, the actual prosody of the text can be encoded in the attribute </w:t>
      </w:r>
      <w:r>
        <w:rPr>
          <w:rStyle w:val="Codeattribute"/>
        </w:rPr>
        <w:t>@real</w:t>
      </w:r>
    </w:p>
    <w:p>
      <w:pPr>
        <w:pStyle w:val="Lista"/>
      </w:pPr>
      <w:r>
        <w:t xml:space="preserve">in DHARMA practice, </w:t>
      </w:r>
      <w:r>
        <w:rPr>
          <w:rStyle w:val="Codeattribute"/>
        </w:rPr>
        <w:t>@real</w:t>
      </w:r>
      <w:r>
        <w:t xml:space="preserve"> is only used on </w:t>
      </w:r>
      <w:r>
        <w:rPr>
          <w:rStyle w:val="Code"/>
        </w:rPr>
        <w:t>&lt;l&gt;</w:t>
      </w:r>
      <w:r>
        <w:t xml:space="preserve"> elements, and there only in the specific cases under §</w:t>
      </w:r>
      <w:r>
        <w:fldChar w:fldCharType="begin"/>
      </w:r>
      <w:r>
        <w:instrText xml:space="preserve"> REF _Ref225325358 \r \h </w:instrText>
      </w:r>
      <w:r>
        <w:fldChar w:fldCharType="separate"/>
      </w:r>
      <w:r>
        <w:t>3.3.4</w:t>
      </w:r>
      <w:r>
        <w:fldChar w:fldCharType="end"/>
      </w:r>
      <w:r>
        <w:t xml:space="preserve"> that call for this attribute</w:t>
      </w:r>
    </w:p>
    <w:p>
      <w:pPr>
        <w:pStyle w:val="Lista"/>
      </w:pPr>
      <w:r>
        <w:t>the value of this attribute must be the formula for the specific prosody of the text</w:t>
      </w:r>
    </w:p>
    <w:p>
      <w:pPr>
        <w:pStyle w:val="Lista2"/>
      </w:pPr>
      <w:r>
        <w:t>the formula must be recorded in plaintext notation</w:t>
      </w:r>
    </w:p>
    <w:p>
      <w:pPr>
        <w:pStyle w:val="Lista3"/>
      </w:pPr>
      <w:r>
        <w:t xml:space="preserve">using + for long syllables and - for short syllables (for further details, see </w:t>
      </w:r>
      <w:r>
        <w:rPr>
          <w:highlight w:val="yellow"/>
        </w:rPr>
        <w:t>VG</w:t>
      </w:r>
      <w:r>
        <w:t xml:space="preserve"> §#)</w:t>
      </w:r>
    </w:p>
    <w:p>
      <w:pPr>
        <w:pStyle w:val="Lista4"/>
      </w:pPr>
      <w:r>
        <w:t>since we are concerned with actual realisation here, the = sign for “syllable of indeterminate length” may only be used when the length of a syllable cannot be determined due to legibility issues, but shall not be used for line-final syllables, which are usually understood to be long in prosodic templates, but whose actual length must in this case be recorded</w:t>
      </w:r>
    </w:p>
    <w:p>
      <w:pPr>
        <w:pStyle w:val="Lista2"/>
      </w:pPr>
      <w:r>
        <w:t>if the text contains editorial correction (§</w:t>
      </w:r>
      <w:r>
        <w:fldChar w:fldCharType="begin"/>
      </w:r>
      <w:r>
        <w:instrText xml:space="preserve"> REF _Ref232089210 \r \h </w:instrText>
      </w:r>
      <w:r>
        <w:fldChar w:fldCharType="separate"/>
      </w:r>
      <w:r>
        <w:t>7.7.4</w:t>
      </w:r>
      <w:r>
        <w:fldChar w:fldCharType="end"/>
      </w:r>
      <w:r>
        <w:t xml:space="preserve">), then </w:t>
      </w:r>
      <w:r>
        <w:rPr>
          <w:rStyle w:val="Codeattribute"/>
        </w:rPr>
        <w:t>@real</w:t>
      </w:r>
      <w:r>
        <w:t xml:space="preserve"> must represent the prosody of the corrected text (assumed to be the intent of the verse’s composer) and not the pre-correction text (assumed to result from scribal error)</w:t>
      </w:r>
    </w:p>
    <w:p>
      <w:pPr>
        <w:pStyle w:val="Cmsor3"/>
      </w:pPr>
      <w:bookmarkStart w:id="116" w:name="_Toc242976599"/>
      <w:r>
        <w:t>Metres not associated with a clear name</w:t>
      </w:r>
      <w:bookmarkEnd w:id="116"/>
    </w:p>
    <w:p>
      <w:pPr>
        <w:pStyle w:val="Cmsor4"/>
      </w:pPr>
      <w:bookmarkStart w:id="117" w:name="_Ref224726921"/>
      <w:bookmarkStart w:id="118" w:name="_Ref225324441"/>
      <w:bookmarkStart w:id="119" w:name="_Ref225325000"/>
      <w:r>
        <w:t>Nameless metres</w:t>
      </w:r>
      <w:bookmarkEnd w:id="117"/>
    </w:p>
    <w:p>
      <w:pPr>
        <w:pStyle w:val="Lista"/>
      </w:pPr>
      <w:r>
        <w:t>if a stanza follows a set metrical template, but you cannot put a name to the metre, then</w:t>
      </w:r>
    </w:p>
    <w:p>
      <w:pPr>
        <w:pStyle w:val="Lista2"/>
      </w:pPr>
      <w:r>
        <w:lastRenderedPageBreak/>
        <w:t xml:space="preserve">establish the prosodic template and record it in ASCII notation </w:t>
      </w:r>
      <w:r>
        <w:rPr>
          <w:noProof/>
        </w:rPr>
        <w:t>(</w:t>
      </w:r>
      <w:r>
        <w:t xml:space="preserve">q.v. </w:t>
      </w:r>
      <w:r>
        <w:rPr>
          <w:highlight w:val="yellow"/>
        </w:rPr>
        <w:t>VG</w:t>
      </w:r>
      <w:r>
        <w:t xml:space="preserve"> §#) as the value of </w:t>
      </w:r>
      <w:r>
        <w:rPr>
          <w:rStyle w:val="Codeattribute"/>
        </w:rPr>
        <w:t>@met</w:t>
      </w:r>
      <w:r>
        <w:t xml:space="preserve">, as in </w:t>
      </w:r>
      <w:r>
        <w:fldChar w:fldCharType="begin"/>
      </w:r>
      <w:r>
        <w:instrText xml:space="preserve"> REF _Ref181699675 \h </w:instrText>
      </w:r>
      <w:r>
        <w:fldChar w:fldCharType="separate"/>
      </w:r>
      <w:r>
        <w:t xml:space="preserve">Exhibit </w:t>
      </w:r>
      <w:r>
        <w:rPr>
          <w:noProof/>
        </w:rPr>
        <w:t>3.3</w:t>
      </w:r>
      <w:r>
        <w:t>.</w:t>
      </w:r>
      <w:r>
        <w:rPr>
          <w:noProof/>
        </w:rPr>
        <w:t>A</w:t>
      </w:r>
      <w:r>
        <w:fldChar w:fldCharType="end"/>
      </w:r>
    </w:p>
    <w:p>
      <w:pPr>
        <w:pStyle w:val="Lista"/>
      </w:pPr>
      <w:r>
        <w:t>if conformance to a syllabic template is not absolute, at your discretion</w:t>
      </w:r>
    </w:p>
    <w:p>
      <w:pPr>
        <w:pStyle w:val="Lista2"/>
      </w:pPr>
      <w:r>
        <w:t>establish the template so that it accounts for all of the observed variation (with = for indeterminate syllables and numbers for moraic feet)</w:t>
      </w:r>
    </w:p>
    <w:p>
      <w:pPr>
        <w:pStyle w:val="Lista2"/>
      </w:pPr>
      <w:r>
        <w:t>establish the template (with or without indeterminate syllables and moraic feet) so that it accounts for what you deem to be the standard form of this metre, and encode the metre of deviant lines as per §</w:t>
      </w:r>
      <w:r>
        <w:fldChar w:fldCharType="begin"/>
      </w:r>
      <w:r>
        <w:instrText xml:space="preserve"> REF _Ref224726481 \r \h </w:instrText>
      </w:r>
      <w:r>
        <w:fldChar w:fldCharType="separate"/>
      </w:r>
      <w:r>
        <w:t>3.3.4.2</w:t>
      </w:r>
      <w:r>
        <w:fldChar w:fldCharType="end"/>
      </w:r>
      <w:r>
        <w:t xml:space="preserve"> </w:t>
      </w:r>
    </w:p>
    <w:p>
      <w:pPr>
        <w:pStyle w:val="Lista"/>
      </w:pPr>
      <w:r>
        <w:t>in the unlikely situation where the metre of a stanza is mixed (§</w:t>
      </w:r>
      <w:r>
        <w:fldChar w:fldCharType="begin"/>
      </w:r>
      <w:r>
        <w:instrText xml:space="preserve"> REF _Ref224912448 \r \h </w:instrText>
      </w:r>
      <w:r>
        <w:fldChar w:fldCharType="separate"/>
      </w:r>
      <w:r>
        <w:t>3.3.3.5</w:t>
      </w:r>
      <w:r>
        <w:fldChar w:fldCharType="end"/>
      </w:r>
      <w:r>
        <w:t xml:space="preserve">) and one or more of its lines are in a metre without a known name, this encoding may also be used in </w:t>
      </w:r>
      <w:r>
        <w:rPr>
          <w:rStyle w:val="Codeattribute"/>
        </w:rPr>
        <w:t>@met</w:t>
      </w:r>
      <w:r>
        <w:t xml:space="preserve"> on individual lines</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20" w:name="_Ref181699675"/>
            <w:bookmarkStart w:id="121" w:name="_Ref181699674"/>
            <w:r>
              <w:t xml:space="preserve">Exhibit </w:t>
            </w:r>
            <w:fldSimple w:instr=" STYLEREF 2 \s ">
              <w:r>
                <w:rPr>
                  <w:noProof/>
                </w:rPr>
                <w:t>3.3</w:t>
              </w:r>
            </w:fldSimple>
            <w:r>
              <w:t>.</w:t>
            </w:r>
            <w:fldSimple w:instr=" SEQ Exhibit \* ALPHABETIC \s 2 ">
              <w:r>
                <w:rPr>
                  <w:noProof/>
                </w:rPr>
                <w:t>A</w:t>
              </w:r>
            </w:fldSimple>
            <w:bookmarkEnd w:id="120"/>
            <w:r>
              <w:t>: prosodic template encoded with plaintext notation</w:t>
            </w:r>
            <w:bookmarkEnd w:id="121"/>
          </w:p>
        </w:tc>
      </w:tr>
      <w:tr>
        <w:tc>
          <w:tcPr>
            <w:tcW w:w="5000" w:type="pct"/>
          </w:tcPr>
          <w:p>
            <w:pPr>
              <w:pStyle w:val="CodeParagraph"/>
              <w:keepNext/>
              <w:rPr>
                <w:rStyle w:val="Code"/>
              </w:rPr>
            </w:pPr>
            <w:r>
              <w:rPr>
                <w:rStyle w:val="Code"/>
              </w:rPr>
              <w:t xml:space="preserve">&lt;lg </w:t>
            </w:r>
            <w:r>
              <w:rPr>
                <w:rStyle w:val="Codeattribute"/>
              </w:rPr>
              <w:t>n=</w:t>
            </w:r>
            <w:r>
              <w:rPr>
                <w:rStyle w:val="Codevalue"/>
              </w:rPr>
              <w:t>"6"</w:t>
            </w:r>
            <w:r>
              <w:rPr>
                <w:rStyle w:val="Code"/>
              </w:rPr>
              <w:t xml:space="preserve"> </w:t>
            </w:r>
            <w:r>
              <w:rPr>
                <w:rStyle w:val="Codeattribute"/>
              </w:rPr>
              <w:t>met=</w:t>
            </w:r>
            <w:r>
              <w:rPr>
                <w:rStyle w:val="Codevalue"/>
              </w:rPr>
              <w:t>"+---+---+---+---+---+---+"</w:t>
            </w:r>
            <w:r>
              <w:rPr>
                <w:rStyle w:val="Code"/>
              </w:rPr>
              <w:t>&gt;</w:t>
            </w:r>
          </w:p>
          <w:p>
            <w:pPr>
              <w:pStyle w:val="CodeParagraph"/>
              <w:keepNext/>
              <w:rPr>
                <w:rStyle w:val="Code"/>
              </w:rPr>
            </w:pPr>
            <w:r>
              <w:rPr>
                <w:rStyle w:val="Code"/>
              </w:rPr>
              <w:t xml:space="preserve">  &lt;l </w:t>
            </w:r>
            <w:r>
              <w:rPr>
                <w:rStyle w:val="Codeattribute"/>
              </w:rPr>
              <w:t>n=</w:t>
            </w:r>
            <w:r>
              <w:rPr>
                <w:rStyle w:val="Codevalue"/>
              </w:rPr>
              <w:t>"a"</w:t>
            </w:r>
            <w:r>
              <w:rPr>
                <w:rStyle w:val="Code"/>
              </w:rPr>
              <w:t>&gt;</w:t>
            </w:r>
            <w:r>
              <w:rPr>
                <w:rStyle w:val="Codetext"/>
              </w:rPr>
              <w:t>satya-vacano yama-suro na sa surādhipa-bhayād bhavati satya-vacanaḥ</w:t>
            </w:r>
            <w:r>
              <w:rPr>
                <w:rStyle w:val="Code"/>
              </w:rPr>
              <w:t>&lt;/l&gt;</w:t>
            </w:r>
          </w:p>
          <w:p>
            <w:pPr>
              <w:pStyle w:val="CodeParagraph"/>
              <w:keepNext/>
              <w:rPr>
                <w:rStyle w:val="Code"/>
              </w:rPr>
            </w:pPr>
            <w:r>
              <w:rPr>
                <w:rStyle w:val="Code"/>
              </w:rPr>
              <w:t xml:space="preserve">  &lt;l </w:t>
            </w:r>
            <w:r>
              <w:rPr>
                <w:rStyle w:val="Codeattribute"/>
              </w:rPr>
              <w:t>n=</w:t>
            </w:r>
            <w:r>
              <w:rPr>
                <w:rStyle w:val="Codevalue"/>
              </w:rPr>
              <w:t>"b"</w:t>
            </w:r>
            <w:r>
              <w:rPr>
                <w:rStyle w:val="Code"/>
              </w:rPr>
              <w:t>&gt;</w:t>
            </w:r>
            <w:r>
              <w:rPr>
                <w:rStyle w:val="Codetext"/>
              </w:rPr>
              <w:t>śauryya-guṇavān mr̥gapatir nna sa viveka-matito bhavati śauryya-guṇavāN</w:t>
            </w:r>
            <w:r>
              <w:rPr>
                <w:rStyle w:val="Code"/>
              </w:rPr>
              <w:t>&lt;/l&gt;</w:t>
            </w:r>
          </w:p>
          <w:p>
            <w:pPr>
              <w:pStyle w:val="CodeParagraph"/>
              <w:keepNext/>
              <w:rPr>
                <w:rStyle w:val="Code"/>
              </w:rPr>
            </w:pPr>
            <w:r>
              <w:rPr>
                <w:rStyle w:val="Code"/>
              </w:rPr>
              <w:t xml:space="preserve">  &lt;l </w:t>
            </w:r>
            <w:r>
              <w:rPr>
                <w:rStyle w:val="Codeattribute"/>
              </w:rPr>
              <w:t>n=</w:t>
            </w:r>
            <w:r>
              <w:rPr>
                <w:rStyle w:val="Codevalue"/>
              </w:rPr>
              <w:t>"c"</w:t>
            </w:r>
            <w:r>
              <w:rPr>
                <w:rStyle w:val="Code"/>
              </w:rPr>
              <w:t>&gt;</w:t>
            </w:r>
            <w:r>
              <w:rPr>
                <w:rStyle w:val="Codetext"/>
              </w:rPr>
              <w:t>dāna-vibhavo ravi-suto na sa pati-sva-balato bhavati dāna-vibhavaḥ</w:t>
            </w:r>
            <w:r>
              <w:rPr>
                <w:rStyle w:val="Code"/>
              </w:rPr>
              <w:t>&lt;/l&gt;</w:t>
            </w:r>
          </w:p>
          <w:p>
            <w:pPr>
              <w:pStyle w:val="CodeParagraph"/>
              <w:keepNext/>
            </w:pPr>
            <w:r>
              <w:rPr>
                <w:rStyle w:val="Code"/>
              </w:rPr>
              <w:t xml:space="preserve">  &lt;l </w:t>
            </w:r>
            <w:r>
              <w:rPr>
                <w:rStyle w:val="Codeattribute"/>
              </w:rPr>
              <w:t>n=</w:t>
            </w:r>
            <w:r>
              <w:rPr>
                <w:rStyle w:val="Codevalue"/>
              </w:rPr>
              <w:t>"d"</w:t>
            </w:r>
            <w:r>
              <w:rPr>
                <w:rStyle w:val="Code"/>
              </w:rPr>
              <w:t>&gt;</w:t>
            </w:r>
            <w:r>
              <w:rPr>
                <w:rStyle w:val="Codetext"/>
              </w:rPr>
              <w:t>satya-vara-śauryya-para-dāna-vibhavas tu nr̥pakāma-nr̥patiḥ prakr̥titaḥ</w:t>
            </w:r>
            <w:r>
              <w:rPr>
                <w:rStyle w:val="Code"/>
              </w:rPr>
              <w:t>&lt;/l&gt;</w:t>
            </w:r>
            <w:r>
              <w:t xml:space="preserve"> </w:t>
            </w:r>
          </w:p>
          <w:p>
            <w:pPr>
              <w:pStyle w:val="CodeParagraph"/>
              <w:keepNext/>
              <w:rPr>
                <w:rFonts w:ascii="Consolas" w:hAnsi="Consolas" w:cs="Consolas"/>
                <w:noProof/>
                <w:color w:val="002060"/>
                <w:shd w:val="clear" w:color="auto" w:fill="F2F2F2" w:themeFill="background1" w:themeFillShade="F2"/>
              </w:rPr>
            </w:pPr>
            <w:r>
              <w:rPr>
                <w:rStyle w:val="Code"/>
              </w:rPr>
              <w:t>&lt;/lg&gt;</w:t>
            </w:r>
          </w:p>
        </w:tc>
      </w:tr>
      <w:tr>
        <w:tc>
          <w:tcPr>
            <w:tcW w:w="5000" w:type="pct"/>
          </w:tcPr>
          <w:p>
            <w:pPr>
              <w:pStyle w:val="TableNote"/>
            </w:pPr>
            <w:r>
              <w:t>no conventional name could be associated with the consistent prosodic pattern followed in this stanza</w:t>
            </w:r>
          </w:p>
          <w:p>
            <w:pPr>
              <w:pStyle w:val="TableNote"/>
            </w:pPr>
            <w:r>
              <w:t xml:space="preserve">the </w:t>
            </w:r>
            <w:r>
              <w:rPr>
                <w:rStyle w:val="Codeattribute"/>
              </w:rPr>
              <w:t>@met</w:t>
            </w:r>
            <w:r>
              <w:t xml:space="preserve"> for the stanza is therefore recorded in prosodic notation</w:t>
            </w:r>
          </w:p>
        </w:tc>
      </w:tr>
    </w:tbl>
    <w:p>
      <w:pPr>
        <w:pStyle w:val="Cmsor4"/>
      </w:pPr>
      <w:r>
        <w:t>Uncertain metre identification</w:t>
      </w:r>
    </w:p>
    <w:p>
      <w:pPr>
        <w:pStyle w:val="Lista"/>
      </w:pPr>
      <w:r>
        <w:t xml:space="preserve">if you can only establish a stanza’s metre tentatively because the text is damaged or prosodically </w:t>
      </w:r>
      <w:r>
        <w:rPr>
          <w:noProof/>
        </w:rPr>
        <w:t xml:space="preserve">incorrect, as </w:t>
      </w:r>
      <w:r>
        <w:t xml:space="preserve">in </w:t>
      </w:r>
      <w:r>
        <w:fldChar w:fldCharType="begin"/>
      </w:r>
      <w:r>
        <w:instrText xml:space="preserve"> REF _Ref181707151 \h </w:instrText>
      </w:r>
      <w:r>
        <w:fldChar w:fldCharType="separate"/>
      </w:r>
      <w:r>
        <w:t xml:space="preserve">Exhibit </w:t>
      </w:r>
      <w:r>
        <w:rPr>
          <w:noProof/>
        </w:rPr>
        <w:t>3.3</w:t>
      </w:r>
      <w:r>
        <w:t>.</w:t>
      </w:r>
      <w:r>
        <w:rPr>
          <w:noProof/>
        </w:rPr>
        <w:t>B</w:t>
      </w:r>
      <w:r>
        <w:fldChar w:fldCharType="end"/>
      </w:r>
      <w:r>
        <w:rPr>
          <w:noProof/>
        </w:rPr>
        <w:t>, then</w:t>
      </w:r>
    </w:p>
    <w:p>
      <w:pPr>
        <w:pStyle w:val="Lista2"/>
      </w:pPr>
      <w:r>
        <w:t xml:space="preserve">add the element </w:t>
      </w:r>
      <w:r>
        <w:rPr>
          <w:rStyle w:val="Code"/>
        </w:rPr>
        <w:t xml:space="preserve">&lt;certainty </w:t>
      </w:r>
      <w:r>
        <w:rPr>
          <w:rStyle w:val="Codeattribute"/>
        </w:rPr>
        <w:t>match</w:t>
      </w:r>
      <w:r>
        <w:rPr>
          <w:rStyle w:val="Code"/>
        </w:rPr>
        <w:t>=</w:t>
      </w:r>
      <w:r>
        <w:rPr>
          <w:rStyle w:val="Codevalue"/>
        </w:rPr>
        <w:t xml:space="preserve">"../@met" </w:t>
      </w:r>
      <w:r>
        <w:rPr>
          <w:rStyle w:val="Codeattribute"/>
        </w:rPr>
        <w:t>locus</w:t>
      </w:r>
      <w:r>
        <w:rPr>
          <w:rStyle w:val="Code"/>
        </w:rPr>
        <w:t>=</w:t>
      </w:r>
      <w:r>
        <w:rPr>
          <w:rStyle w:val="Codevalue"/>
        </w:rPr>
        <w:t>"value"</w:t>
      </w:r>
      <w:r>
        <w:rPr>
          <w:rStyle w:val="Code"/>
        </w:rPr>
        <w:t>/&gt;</w:t>
      </w:r>
      <w:r>
        <w:t xml:space="preserve"> directly after the opening </w:t>
      </w:r>
      <w:r>
        <w:rPr>
          <w:rStyle w:val="Code"/>
        </w:rPr>
        <w:t>&lt;lg&gt;</w:t>
      </w:r>
      <w:r>
        <w:t xml:space="preserve"> tag </w:t>
      </w:r>
      <w:r>
        <w:rPr>
          <w:noProof/>
        </w:rPr>
        <w:t>(</w:t>
      </w:r>
      <w:r>
        <w:t xml:space="preserve">before the first </w:t>
      </w:r>
      <w:r>
        <w:rPr>
          <w:rStyle w:val="Code"/>
        </w:rPr>
        <w:t>&lt;l&gt;</w:t>
      </w:r>
      <w:r>
        <w:t xml:space="preserve"> element), where</w:t>
      </w:r>
    </w:p>
    <w:p>
      <w:pPr>
        <w:pStyle w:val="Lista3"/>
      </w:pPr>
      <w:r>
        <w:rPr>
          <w:rStyle w:val="Codeattribute"/>
        </w:rPr>
        <w:t>@match</w:t>
      </w:r>
      <w:r>
        <w:rPr>
          <w:rStyle w:val="Code"/>
        </w:rPr>
        <w:t>=</w:t>
      </w:r>
      <w:r>
        <w:rPr>
          <w:rStyle w:val="Codevalue"/>
        </w:rPr>
        <w:t>"../@met"</w:t>
      </w:r>
      <w:r>
        <w:t xml:space="preserve"> indicates that you are encoding uncertainty</w:t>
      </w:r>
      <w:r>
        <w:rPr>
          <w:rStyle w:val="Lbjegyzet-hivatkozs"/>
        </w:rPr>
        <w:footnoteReference w:id="11"/>
      </w:r>
      <w:r>
        <w:t xml:space="preserve"> regarding the </w:t>
      </w:r>
      <w:r>
        <w:rPr>
          <w:rStyle w:val="Codeattribute"/>
        </w:rPr>
        <w:t>@met</w:t>
      </w:r>
      <w:r>
        <w:t xml:space="preserve"> attribute of the parent element </w:t>
      </w:r>
      <w:r>
        <w:rPr>
          <w:noProof/>
        </w:rPr>
        <w:t>(</w:t>
      </w:r>
      <w:r>
        <w:t xml:space="preserve">i.e. </w:t>
      </w:r>
      <w:r>
        <w:rPr>
          <w:rStyle w:val="Code"/>
        </w:rPr>
        <w:t>&lt;lg&gt;</w:t>
      </w:r>
      <w:r>
        <w:t>), and</w:t>
      </w:r>
    </w:p>
    <w:p>
      <w:pPr>
        <w:pStyle w:val="Lista3"/>
      </w:pPr>
      <w:r>
        <w:rPr>
          <w:rStyle w:val="Codeattribute"/>
        </w:rPr>
        <w:t>@locus</w:t>
      </w:r>
      <w:r>
        <w:rPr>
          <w:rStyle w:val="Code"/>
        </w:rPr>
        <w:t>=</w:t>
      </w:r>
      <w:r>
        <w:rPr>
          <w:rStyle w:val="Codevalue"/>
        </w:rPr>
        <w:t>"value"</w:t>
      </w:r>
      <w:r>
        <w:t xml:space="preserve"> indicates that the uncertainty concerns the value of this attribute </w:t>
      </w:r>
      <w:r>
        <w:rPr>
          <w:noProof/>
        </w:rPr>
        <w:t>(</w:t>
      </w:r>
      <w:r>
        <w:t>i.e. the identification of the metre)</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122" w:name="_Ref181707151"/>
            <w:bookmarkStart w:id="123" w:name="_Ref181707147"/>
            <w:r>
              <w:t xml:space="preserve">Exhibit </w:t>
            </w:r>
            <w:fldSimple w:instr=" STYLEREF 2 \s ">
              <w:r>
                <w:rPr>
                  <w:noProof/>
                </w:rPr>
                <w:t>3.3</w:t>
              </w:r>
            </w:fldSimple>
            <w:r>
              <w:t>.</w:t>
            </w:r>
            <w:fldSimple w:instr=" SEQ Exhibit \* ALPHABETIC \s 2 ">
              <w:r>
                <w:rPr>
                  <w:noProof/>
                </w:rPr>
                <w:t>B</w:t>
              </w:r>
            </w:fldSimple>
            <w:bookmarkEnd w:id="122"/>
            <w:r>
              <w:t>: tentative metre identification</w:t>
            </w:r>
            <w:bookmarkEnd w:id="123"/>
          </w:p>
        </w:tc>
      </w:tr>
      <w:tr>
        <w:tc>
          <w:tcPr>
            <w:tcW w:w="5000" w:type="pct"/>
          </w:tcPr>
          <w:p>
            <w:pPr>
              <w:pStyle w:val="CodeParagraph"/>
              <w:keepNext/>
              <w:keepLines/>
              <w:rPr>
                <w:rStyle w:val="Code"/>
              </w:rPr>
            </w:pPr>
            <w:r>
              <w:rPr>
                <w:rStyle w:val="Code"/>
              </w:rPr>
              <w:t xml:space="preserve">&lt;lg </w:t>
            </w:r>
            <w:r>
              <w:rPr>
                <w:rStyle w:val="Codeattribute"/>
              </w:rPr>
              <w:t>n=</w:t>
            </w:r>
            <w:r>
              <w:rPr>
                <w:rStyle w:val="Codevalue"/>
              </w:rPr>
              <w:t>"26"</w:t>
            </w:r>
            <w:r>
              <w:rPr>
                <w:rStyle w:val="Code"/>
              </w:rPr>
              <w:t xml:space="preserve"> </w:t>
            </w:r>
            <w:r>
              <w:rPr>
                <w:rStyle w:val="Codeattribute"/>
              </w:rPr>
              <w:t>met=</w:t>
            </w:r>
            <w:r>
              <w:rPr>
                <w:rStyle w:val="Codevalue"/>
              </w:rPr>
              <w:t>"gīti"</w:t>
            </w:r>
            <w:r>
              <w:rPr>
                <w:rStyle w:val="Code"/>
              </w:rPr>
              <w:t xml:space="preserve">&gt;&lt;certainty </w:t>
            </w:r>
            <w:r>
              <w:rPr>
                <w:rStyle w:val="Codeattribute"/>
              </w:rPr>
              <w:t>match=</w:t>
            </w:r>
            <w:r>
              <w:rPr>
                <w:rStyle w:val="Codevalue"/>
              </w:rPr>
              <w:t>"../@met" locus="value"</w:t>
            </w:r>
            <w:r>
              <w:rPr>
                <w:rStyle w:val="Code"/>
              </w:rPr>
              <w:t>/&gt;</w:t>
            </w:r>
          </w:p>
          <w:p>
            <w:pPr>
              <w:pStyle w:val="CodeParagraph"/>
              <w:keepNext/>
              <w:keepLines/>
              <w:rPr>
                <w:rStyle w:val="Code"/>
              </w:rPr>
            </w:pPr>
            <w:r>
              <w:rPr>
                <w:rStyle w:val="Code"/>
              </w:rPr>
              <w:t xml:space="preserve">  &lt;l </w:t>
            </w:r>
            <w:r>
              <w:rPr>
                <w:rStyle w:val="Codeattribute"/>
              </w:rPr>
              <w:t>n=</w:t>
            </w:r>
            <w:r>
              <w:rPr>
                <w:rStyle w:val="Codevalue"/>
              </w:rPr>
              <w:t>"ab"</w:t>
            </w:r>
            <w:r>
              <w:rPr>
                <w:rStyle w:val="Code"/>
              </w:rPr>
              <w:t>&gt;</w:t>
            </w:r>
            <w:r>
              <w:rPr>
                <w:rStyle w:val="Codetext"/>
              </w:rPr>
              <w:t xml:space="preserve">Atha vennamayya-nāmnas tasya </w:t>
            </w:r>
            <w:r>
              <w:rPr>
                <w:rStyle w:val="Code"/>
              </w:rPr>
              <w:t xml:space="preserve">&lt;seg </w:t>
            </w:r>
            <w:r>
              <w:rPr>
                <w:rStyle w:val="Codeattribute"/>
              </w:rPr>
              <w:t>met=</w:t>
            </w:r>
            <w:r>
              <w:rPr>
                <w:rStyle w:val="Codevalue"/>
              </w:rPr>
              <w:t>"-"</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"1"</w:t>
            </w:r>
            <w:r>
              <w:rPr>
                <w:rStyle w:val="Code"/>
              </w:rPr>
              <w:t xml:space="preserve"> </w:t>
            </w:r>
            <w:r>
              <w:rPr>
                <w:rStyle w:val="Codeattribute"/>
              </w:rPr>
              <w:t>unit=</w:t>
            </w:r>
            <w:r>
              <w:rPr>
                <w:rStyle w:val="Codevalue"/>
              </w:rPr>
              <w:t>"character"</w:t>
            </w:r>
            <w:r>
              <w:rPr>
                <w:rStyle w:val="Code"/>
              </w:rPr>
              <w:t>/&gt;&lt;/seg&gt;</w:t>
            </w:r>
            <w:r>
              <w:rPr>
                <w:rStyle w:val="Codetext"/>
              </w:rPr>
              <w:t xml:space="preserve">sā </w:t>
            </w:r>
            <w:r>
              <w:rPr>
                <w:rStyle w:val="Code"/>
              </w:rPr>
              <w:t xml:space="preserve">&lt;gap </w:t>
            </w:r>
            <w:r>
              <w:rPr>
                <w:rStyle w:val="Codeattribute"/>
              </w:rPr>
              <w:t>reason=</w:t>
            </w:r>
            <w:r>
              <w:rPr>
                <w:rStyle w:val="Codevalue"/>
              </w:rPr>
              <w:t>"illegible"</w:t>
            </w:r>
            <w:r>
              <w:rPr>
                <w:rStyle w:val="Code"/>
              </w:rPr>
              <w:t xml:space="preserve"> </w:t>
            </w:r>
            <w:r>
              <w:rPr>
                <w:rStyle w:val="Codeattribute"/>
              </w:rPr>
              <w:t>quantity=</w:t>
            </w:r>
            <w:r>
              <w:rPr>
                <w:rStyle w:val="Codevalue"/>
              </w:rPr>
              <w:t>"8"</w:t>
            </w:r>
            <w:r>
              <w:rPr>
                <w:rStyle w:val="Code"/>
              </w:rPr>
              <w:t xml:space="preserve"> </w:t>
            </w:r>
            <w:r>
              <w:rPr>
                <w:rStyle w:val="Codeattribute"/>
              </w:rPr>
              <w:t>unit=</w:t>
            </w:r>
            <w:r>
              <w:rPr>
                <w:rStyle w:val="Codevalue"/>
              </w:rPr>
              <w:t>"character"</w:t>
            </w:r>
            <w:r>
              <w:rPr>
                <w:rStyle w:val="Code"/>
              </w:rPr>
              <w:t xml:space="preserve"> </w:t>
            </w:r>
            <w:r>
              <w:rPr>
                <w:rStyle w:val="Codeattribute"/>
              </w:rPr>
              <w:t>precision=</w:t>
            </w:r>
            <w:r>
              <w:rPr>
                <w:rStyle w:val="Codevalue"/>
              </w:rPr>
              <w:t>"low"</w:t>
            </w:r>
            <w:r>
              <w:rPr>
                <w:rStyle w:val="Code"/>
              </w:rPr>
              <w:t>/&gt;&lt;/l&gt;</w:t>
            </w:r>
          </w:p>
          <w:p>
            <w:pPr>
              <w:pStyle w:val="CodeParagraph"/>
              <w:keepNext/>
              <w:keepLines/>
              <w:rPr>
                <w:rStyle w:val="Code"/>
              </w:rPr>
            </w:pPr>
            <w:r>
              <w:rPr>
                <w:rStyle w:val="Code"/>
              </w:rPr>
              <w:t xml:space="preserve">  &lt;l </w:t>
            </w:r>
            <w:r>
              <w:rPr>
                <w:rStyle w:val="Codeattribute"/>
              </w:rPr>
              <w:t>n=</w:t>
            </w:r>
            <w:r>
              <w:rPr>
                <w:rStyle w:val="Codevalue"/>
              </w:rPr>
              <w:t>"cd"</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"2"</w:t>
            </w:r>
            <w:r>
              <w:rPr>
                <w:rStyle w:val="Code"/>
              </w:rPr>
              <w:t xml:space="preserve"> </w:t>
            </w:r>
            <w:r>
              <w:rPr>
                <w:rStyle w:val="Codeattribute"/>
              </w:rPr>
              <w:t>unit=</w:t>
            </w:r>
            <w:r>
              <w:rPr>
                <w:rStyle w:val="Codevalue"/>
              </w:rPr>
              <w:t>"character"</w:t>
            </w:r>
            <w:r>
              <w:rPr>
                <w:rStyle w:val="Code"/>
              </w:rPr>
              <w:t xml:space="preserve"> </w:t>
            </w:r>
            <w:r>
              <w:rPr>
                <w:rStyle w:val="Codeattribute"/>
              </w:rPr>
              <w:t>precision=</w:t>
            </w:r>
            <w:r>
              <w:rPr>
                <w:rStyle w:val="Codevalue"/>
              </w:rPr>
              <w:t>"low"</w:t>
            </w:r>
            <w:r>
              <w:rPr>
                <w:rStyle w:val="Code"/>
              </w:rPr>
              <w:t>/&gt;</w:t>
            </w:r>
            <w:r>
              <w:rPr>
                <w:rStyle w:val="Codetext"/>
              </w:rPr>
              <w:t>vir vvirājadevana Ity ajani dvija-kulottamas sūnuḥ</w:t>
            </w:r>
            <w:r>
              <w:rPr>
                <w:rStyle w:val="Code"/>
              </w:rPr>
              <w:t>&lt;/l&gt;</w:t>
            </w:r>
          </w:p>
          <w:p>
            <w:pPr>
              <w:pStyle w:val="CodeParagraph"/>
              <w:keepNext/>
              <w:keepLines/>
              <w:rPr>
                <w:rFonts w:ascii="Consolas" w:hAnsi="Consolas" w:cs="Consolas"/>
                <w:noProof/>
                <w:color w:val="002060"/>
                <w:shd w:val="clear" w:color="auto" w:fill="F2F2F2" w:themeFill="background1" w:themeFillShade="F2"/>
              </w:rPr>
            </w:pPr>
            <w:r>
              <w:rPr>
                <w:rStyle w:val="Code"/>
              </w:rPr>
              <w:t>&lt;/lg&gt;</w:t>
            </w:r>
          </w:p>
        </w:tc>
      </w:tr>
      <w:tr>
        <w:tc>
          <w:tcPr>
            <w:tcW w:w="5000" w:type="pct"/>
          </w:tcPr>
          <w:p>
            <w:pPr>
              <w:pStyle w:val="TableNote"/>
            </w:pPr>
            <w:r>
              <w:t xml:space="preserve">due to the extent of lacunae in this stanza, it can only tentatively be identified as a </w:t>
            </w:r>
            <w:r>
              <w:rPr>
                <w:rStyle w:val="Foreign"/>
              </w:rPr>
              <w:t>gīti</w:t>
            </w:r>
          </w:p>
          <w:p>
            <w:pPr>
              <w:pStyle w:val="TableNote"/>
            </w:pPr>
            <w:r>
              <w:t xml:space="preserve">the uncertainty of this identification is indicated with the </w:t>
            </w:r>
            <w:r>
              <w:rPr>
                <w:rStyle w:val="Code"/>
              </w:rPr>
              <w:t>&lt;certainty&gt;</w:t>
            </w:r>
            <w:r>
              <w:t xml:space="preserve"> element</w:t>
            </w:r>
          </w:p>
          <w:p>
            <w:pPr>
              <w:pStyle w:val="TableNote"/>
            </w:pPr>
            <w:r>
              <w:t>for the encoding of lost text with known prosody see §</w:t>
            </w:r>
            <w:r>
              <w:fldChar w:fldCharType="begin"/>
            </w:r>
            <w:r>
              <w:instrText xml:space="preserve"> REF _Ref228275301 \r \h </w:instrText>
            </w:r>
            <w:r>
              <w:fldChar w:fldCharType="separate"/>
            </w:r>
            <w:r>
              <w:t>6.5.2.3</w:t>
            </w:r>
            <w:r>
              <w:fldChar w:fldCharType="end"/>
            </w:r>
          </w:p>
        </w:tc>
      </w:tr>
    </w:tbl>
    <w:p>
      <w:pPr>
        <w:pStyle w:val="Cmsor4"/>
      </w:pPr>
      <w:r>
        <w:t>Unidentifiable metre</w:t>
      </w:r>
    </w:p>
    <w:p>
      <w:pPr>
        <w:pStyle w:val="Lista"/>
      </w:pPr>
      <w:r>
        <w:t>if a part of your text seems with reasonable certainty to be in verse, but it is too heavily damaged to identify the metre even tentatively, then</w:t>
      </w:r>
    </w:p>
    <w:p>
      <w:pPr>
        <w:pStyle w:val="Lista2"/>
      </w:pPr>
      <w:r>
        <w:t xml:space="preserve">tag it as </w:t>
      </w:r>
      <w:r>
        <w:rPr>
          <w:rStyle w:val="Codeattribute"/>
        </w:rPr>
        <w:t>@met</w:t>
      </w:r>
      <w:r>
        <w:rPr>
          <w:rStyle w:val="Code"/>
        </w:rPr>
        <w:t>=</w:t>
      </w:r>
      <w:r>
        <w:rPr>
          <w:rStyle w:val="Codevalue"/>
        </w:rPr>
        <w:t>"uncertain"</w:t>
      </w:r>
    </w:p>
    <w:p>
      <w:pPr>
        <w:pStyle w:val="Lista"/>
      </w:pPr>
      <w:r>
        <w:t xml:space="preserve">conversely, for heavily lacunose verse where the stanza structure itself cannot be established with any certainty, consider wrapping the text in an </w:t>
      </w:r>
      <w:r>
        <w:rPr>
          <w:rStyle w:val="Code"/>
        </w:rPr>
        <w:t>&lt;ab&gt;</w:t>
      </w:r>
      <w:r>
        <w:t xml:space="preserve"> element </w:t>
      </w:r>
      <w:r>
        <w:rPr>
          <w:noProof/>
        </w:rPr>
        <w:t>(</w:t>
      </w:r>
      <w:r>
        <w:t>§</w:t>
      </w:r>
      <w:r>
        <w:fldChar w:fldCharType="begin"/>
      </w:r>
      <w:r>
        <w:instrText xml:space="preserve"> REF _Ref43981028 \r \h  \* MERGEFORMAT </w:instrText>
      </w:r>
      <w:r>
        <w:fldChar w:fldCharType="separate"/>
      </w:r>
      <w:r>
        <w:t>3.2.1.2</w:t>
      </w:r>
      <w:r>
        <w:fldChar w:fldCharType="end"/>
      </w:r>
      <w:r>
        <w:t>) instead of marking it up as verse</w:t>
      </w:r>
    </w:p>
    <w:p>
      <w:pPr>
        <w:pStyle w:val="Cmsor4"/>
      </w:pPr>
      <w:bookmarkStart w:id="124" w:name="_Ref224727363"/>
      <w:r>
        <w:lastRenderedPageBreak/>
        <w:t>Free metre</w:t>
      </w:r>
      <w:bookmarkEnd w:id="124"/>
    </w:p>
    <w:p>
      <w:pPr>
        <w:pStyle w:val="Lista"/>
        <w:rPr>
          <w:lang w:eastAsia="en-US" w:bidi="ar-SA"/>
        </w:rPr>
      </w:pPr>
      <w:r>
        <w:rPr>
          <w:lang w:eastAsia="en-US" w:bidi="ar-SA"/>
        </w:rPr>
        <w:t>for text evidently structured as verse (as indicated by any combination of rhyme and assonance structures, metrical cadences or spatial arrangement) but without a consistent prosodic pattern,</w:t>
      </w:r>
    </w:p>
    <w:p>
      <w:pPr>
        <w:pStyle w:val="Lista2"/>
      </w:pPr>
      <w:r>
        <w:t xml:space="preserve">use </w:t>
      </w:r>
      <w:r>
        <w:rPr>
          <w:rStyle w:val="Codeattribute"/>
        </w:rPr>
        <w:t>@met</w:t>
      </w:r>
      <w:r>
        <w:rPr>
          <w:rStyle w:val="Code"/>
        </w:rPr>
        <w:t>=</w:t>
      </w:r>
      <w:r>
        <w:rPr>
          <w:rStyle w:val="Codevalue"/>
        </w:rPr>
        <w:t>"free"</w:t>
      </w:r>
      <w:r>
        <w:t xml:space="preserve"> on the stanza</w:t>
      </w:r>
    </w:p>
    <w:p>
      <w:pPr>
        <w:pStyle w:val="Lista2"/>
      </w:pPr>
      <w:r>
        <w:t xml:space="preserve">optionally add </w:t>
      </w:r>
      <w:r>
        <w:rPr>
          <w:rStyle w:val="Codeattribute"/>
        </w:rPr>
        <w:t>@real</w:t>
      </w:r>
      <w:r>
        <w:t xml:space="preserve"> to all of the lines</w:t>
      </w:r>
    </w:p>
    <w:p>
      <w:pPr>
        <w:pStyle w:val="Lista2"/>
      </w:pPr>
      <w:r>
        <w:t>the lines of free verse shall normally be numbered with Arabic numbers (§</w:t>
      </w:r>
      <w:r>
        <w:fldChar w:fldCharType="begin"/>
      </w:r>
      <w:r>
        <w:instrText xml:space="preserve"> REF _Ref181706499 \r \h </w:instrText>
      </w:r>
      <w:r>
        <w:fldChar w:fldCharType="separate"/>
      </w:r>
      <w:r>
        <w:t>3.2.2.2</w:t>
      </w:r>
      <w:r>
        <w:fldChar w:fldCharType="end"/>
      </w:r>
      <w:r>
        <w:t>)</w:t>
      </w:r>
    </w:p>
    <w:p>
      <w:pPr>
        <w:pStyle w:val="Cmsor4"/>
      </w:pPr>
      <w:bookmarkStart w:id="125" w:name="_Ref224725813"/>
      <w:bookmarkStart w:id="126" w:name="_Ref224912448"/>
      <w:bookmarkStart w:id="127" w:name="_Ref181609517"/>
      <w:r>
        <w:t>Mixed metre</w:t>
      </w:r>
      <w:bookmarkEnd w:id="125"/>
      <w:bookmarkEnd w:id="126"/>
    </w:p>
    <w:p>
      <w:pPr>
        <w:pStyle w:val="Lista"/>
      </w:pPr>
      <w:r>
        <w:t xml:space="preserve">if one or more lines of a stanza follow a different legitimate metrical template than the others, as in </w:t>
      </w:r>
      <w:r>
        <w:fldChar w:fldCharType="begin"/>
      </w:r>
      <w:r>
        <w:instrText xml:space="preserve"> REF _Ref44077218 \h </w:instrText>
      </w:r>
      <w:r>
        <w:fldChar w:fldCharType="separate"/>
      </w:r>
      <w:r>
        <w:t xml:space="preserve">Exhibit </w:t>
      </w:r>
      <w:r>
        <w:rPr>
          <w:noProof/>
        </w:rPr>
        <w:t>3.3</w:t>
      </w:r>
      <w:r>
        <w:t>.</w:t>
      </w:r>
      <w:r>
        <w:rPr>
          <w:noProof/>
        </w:rPr>
        <w:t>C</w:t>
      </w:r>
      <w:r>
        <w:fldChar w:fldCharType="end"/>
      </w:r>
      <w:r>
        <w:t>, then</w:t>
      </w:r>
    </w:p>
    <w:p>
      <w:pPr>
        <w:pStyle w:val="Lista2"/>
      </w:pPr>
      <w:r>
        <w:t xml:space="preserve">use </w:t>
      </w:r>
      <w:r>
        <w:rPr>
          <w:rStyle w:val="Codeattribute"/>
        </w:rPr>
        <w:t>@met</w:t>
      </w:r>
      <w:r>
        <w:rPr>
          <w:rStyle w:val="Code"/>
        </w:rPr>
        <w:t>=</w:t>
      </w:r>
      <w:r>
        <w:rPr>
          <w:rStyle w:val="Codevalue"/>
        </w:rPr>
        <w:t>"mixed"</w:t>
      </w:r>
      <w:r>
        <w:t xml:space="preserve"> on the stanza</w:t>
      </w:r>
    </w:p>
    <w:p>
      <w:pPr>
        <w:pStyle w:val="Lista2"/>
        <w:rPr>
          <w:rStyle w:val="Codeattribute"/>
          <w:rFonts w:ascii="Gentium" w:hAnsi="Gentium" w:cs="Tiro Devanagari Sanskrit"/>
          <w:noProof w:val="0"/>
          <w:color w:val="auto"/>
          <w:shd w:val="clear" w:color="auto" w:fill="auto"/>
        </w:rPr>
      </w:pPr>
      <w:r>
        <w:t xml:space="preserve">encode the prosodic template separately for each line of the stanza with </w:t>
      </w:r>
      <w:r>
        <w:rPr>
          <w:rStyle w:val="Codeattribute"/>
        </w:rPr>
        <w:t>@met</w:t>
      </w:r>
      <w:r>
        <w:t xml:space="preserve"> </w:t>
      </w:r>
    </w:p>
    <w:p>
      <w:pPr>
        <w:pStyle w:val="Lista3"/>
      </w:pPr>
      <w:r>
        <w:t xml:space="preserve">if necessary, this can be combined with </w:t>
      </w:r>
      <w:r>
        <w:rPr>
          <w:rStyle w:val="Codeattribute"/>
        </w:rPr>
        <w:t>@real</w:t>
      </w:r>
      <w:r>
        <w:t xml:space="preserve"> for lines that were probably intended to match a legitimate template but do not (§</w:t>
      </w:r>
      <w:r>
        <w:fldChar w:fldCharType="begin"/>
      </w:r>
      <w:r>
        <w:instrText xml:space="preserve"> REF _Ref224726906 \r \h </w:instrText>
      </w:r>
      <w:r>
        <w:fldChar w:fldCharType="separate"/>
      </w:r>
      <w:r>
        <w:t>3.3.4.2</w:t>
      </w:r>
      <w:r>
        <w:fldChar w:fldCharType="end"/>
      </w:r>
      <w:r>
        <w:t>)</w:t>
      </w:r>
    </w:p>
    <w:p>
      <w:pPr>
        <w:pStyle w:val="Lista"/>
      </w:pPr>
      <w:r>
        <w:t>note that some metres permit (or require) different prosodic templates for the odd and even lines of a stanza, or for any quarter of a quatrain</w:t>
      </w:r>
    </w:p>
    <w:p>
      <w:pPr>
        <w:pStyle w:val="Lista2"/>
      </w:pPr>
      <w:r>
        <w:t xml:space="preserve">if such a metre has a conventional name recognised in our authority file (e.g. </w:t>
      </w:r>
      <w:r>
        <w:rPr>
          <w:rStyle w:val="Foreign"/>
        </w:rPr>
        <w:t>upajāti</w:t>
      </w:r>
      <w:r>
        <w:t xml:space="preserve">), then it is not a “mixed” metre, so simply encode the name of the metre on the </w:t>
      </w:r>
      <w:r>
        <w:rPr>
          <w:rStyle w:val="Codeattribute"/>
        </w:rPr>
        <w:t>@met</w:t>
      </w:r>
      <w:r>
        <w:t xml:space="preserve"> of the stanza</w:t>
      </w:r>
    </w:p>
    <w:p>
      <w:pPr>
        <w:pStyle w:val="Lista2"/>
      </w:pPr>
      <w:r>
        <w:t xml:space="preserve">whereas </w:t>
      </w:r>
      <w:r>
        <w:rPr>
          <w:rStyle w:val="Codeattribute"/>
        </w:rPr>
        <w:t>@met</w:t>
      </w:r>
      <w:r>
        <w:rPr>
          <w:rStyle w:val="Code"/>
        </w:rPr>
        <w:t>=</w:t>
      </w:r>
      <w:r>
        <w:rPr>
          <w:rStyle w:val="Codevalue"/>
        </w:rPr>
        <w:t>"mixed"</w:t>
      </w:r>
      <w:r>
        <w:t xml:space="preserve"> must be limited to the rare cases for which a stanza-level metre name cannot be identified</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28" w:name="_Ref44077218"/>
            <w:r>
              <w:t xml:space="preserve">Exhibit </w:t>
            </w:r>
            <w:fldSimple w:instr=" STYLEREF 2 \s ">
              <w:r>
                <w:rPr>
                  <w:noProof/>
                </w:rPr>
                <w:t>3.3</w:t>
              </w:r>
            </w:fldSimple>
            <w:r>
              <w:t>.</w:t>
            </w:r>
            <w:fldSimple w:instr=" SEQ Exhibit \* ALPHABETIC \s 2 ">
              <w:r>
                <w:rPr>
                  <w:noProof/>
                </w:rPr>
                <w:t>C</w:t>
              </w:r>
            </w:fldSimple>
            <w:bookmarkEnd w:id="128"/>
            <w:r>
              <w:t>: line with a prosodic template other than the rest of the stanza</w:t>
            </w:r>
          </w:p>
        </w:tc>
      </w:tr>
      <w:tr>
        <w:tc>
          <w:tcPr>
            <w:tcW w:w="5000" w:type="pct"/>
          </w:tcPr>
          <w:p>
            <w:pPr>
              <w:pStyle w:val="CodeParagraph"/>
              <w:keepNext/>
              <w:rPr>
                <w:rStyle w:val="Code"/>
              </w:rPr>
            </w:pPr>
            <w:r>
              <w:rPr>
                <w:rStyle w:val="Code"/>
              </w:rPr>
              <w:t xml:space="preserve">&lt;lg </w:t>
            </w:r>
            <w:r>
              <w:rPr>
                <w:rStyle w:val="Codeattribute"/>
              </w:rPr>
              <w:t>n=</w:t>
            </w:r>
            <w:r>
              <w:rPr>
                <w:rStyle w:val="Codevalue"/>
              </w:rPr>
              <w:t>"9"</w:t>
            </w:r>
            <w:r>
              <w:rPr>
                <w:rStyle w:val="Code"/>
              </w:rPr>
              <w:t xml:space="preserve"> </w:t>
            </w:r>
            <w:r>
              <w:rPr>
                <w:rStyle w:val="Codeattribute"/>
              </w:rPr>
              <w:t>met=</w:t>
            </w:r>
            <w:r>
              <w:rPr>
                <w:rStyle w:val="Codevalue"/>
              </w:rPr>
              <w:t>"mixed"</w:t>
            </w:r>
            <w:r>
              <w:rPr>
                <w:rStyle w:val="Code"/>
              </w:rPr>
              <w:t>&gt;</w:t>
            </w:r>
          </w:p>
          <w:p>
            <w:pPr>
              <w:pStyle w:val="CodeParagraph"/>
              <w:keepNext/>
              <w:rPr>
                <w:rStyle w:val="Code"/>
              </w:rPr>
            </w:pPr>
            <w:r>
              <w:rPr>
                <w:rStyle w:val="Code"/>
              </w:rPr>
              <w:t xml:space="preserve">  &lt;l </w:t>
            </w:r>
            <w:r>
              <w:rPr>
                <w:rStyle w:val="Codeattribute"/>
              </w:rPr>
              <w:t>n=</w:t>
            </w:r>
            <w:r>
              <w:rPr>
                <w:rStyle w:val="Codevalue"/>
              </w:rPr>
              <w:t>"a"</w:t>
            </w:r>
            <w:r>
              <w:rPr>
                <w:rStyle w:val="Code"/>
              </w:rPr>
              <w:t xml:space="preserve"> </w:t>
            </w:r>
            <w:r>
              <w:rPr>
                <w:rStyle w:val="Codeattribute"/>
              </w:rPr>
              <w:t>met=</w:t>
            </w:r>
            <w:r>
              <w:rPr>
                <w:rStyle w:val="Codevalue"/>
              </w:rPr>
              <w:t>"vaṁśastha"</w:t>
            </w:r>
            <w:r>
              <w:rPr>
                <w:rStyle w:val="Code"/>
              </w:rPr>
              <w:t>&gt;</w:t>
            </w:r>
            <w:r>
              <w:rPr>
                <w:rStyle w:val="Codetext"/>
              </w:rPr>
              <w:t>yaśo-vikāśāya vikāśitā diśo</w:t>
            </w:r>
            <w:r>
              <w:rPr>
                <w:rStyle w:val="Code"/>
              </w:rPr>
              <w:t>&lt;/l&gt;</w:t>
            </w:r>
          </w:p>
          <w:p>
            <w:pPr>
              <w:pStyle w:val="CodeParagraph"/>
              <w:keepNext/>
              <w:rPr>
                <w:rStyle w:val="Code"/>
              </w:rPr>
            </w:pPr>
            <w:r>
              <w:rPr>
                <w:rStyle w:val="Code"/>
              </w:rPr>
              <w:t xml:space="preserve">  &lt;l </w:t>
            </w:r>
            <w:r>
              <w:rPr>
                <w:rStyle w:val="Codeattribute"/>
              </w:rPr>
              <w:t>n=</w:t>
            </w:r>
            <w:r>
              <w:rPr>
                <w:rStyle w:val="Codevalue"/>
              </w:rPr>
              <w:t>"b"</w:t>
            </w:r>
            <w:r>
              <w:rPr>
                <w:rStyle w:val="Code"/>
              </w:rPr>
              <w:t xml:space="preserve"> </w:t>
            </w:r>
            <w:r>
              <w:rPr>
                <w:rStyle w:val="Codeattribute"/>
              </w:rPr>
              <w:t>met=</w:t>
            </w:r>
            <w:r>
              <w:rPr>
                <w:rStyle w:val="Codevalue"/>
              </w:rPr>
              <w:t>"upendravajrā"</w:t>
            </w:r>
            <w:r>
              <w:rPr>
                <w:rStyle w:val="Code"/>
              </w:rPr>
              <w:t>&gt;</w:t>
            </w:r>
            <w:r>
              <w:rPr>
                <w:rStyle w:val="Codetext"/>
              </w:rPr>
              <w:t>daśāpi viśvasya pitāmahena</w:t>
            </w:r>
            <w:r>
              <w:rPr>
                <w:rStyle w:val="Code"/>
              </w:rPr>
              <w:t>&lt;/l&gt;</w:t>
            </w:r>
          </w:p>
          <w:p>
            <w:pPr>
              <w:pStyle w:val="CodeParagraph"/>
              <w:keepNext/>
              <w:rPr>
                <w:rStyle w:val="Code"/>
              </w:rPr>
            </w:pPr>
            <w:r>
              <w:rPr>
                <w:rStyle w:val="Code"/>
              </w:rPr>
              <w:t xml:space="preserve">  &lt;l </w:t>
            </w:r>
            <w:r>
              <w:rPr>
                <w:rStyle w:val="Codeattribute"/>
              </w:rPr>
              <w:t>n=</w:t>
            </w:r>
            <w:r>
              <w:rPr>
                <w:rStyle w:val="Codevalue"/>
              </w:rPr>
              <w:t>"c"</w:t>
            </w:r>
            <w:r>
              <w:rPr>
                <w:rStyle w:val="Code"/>
              </w:rPr>
              <w:t xml:space="preserve"> </w:t>
            </w:r>
            <w:r>
              <w:rPr>
                <w:rStyle w:val="Codeattribute"/>
              </w:rPr>
              <w:t>met=</w:t>
            </w:r>
            <w:r>
              <w:rPr>
                <w:rStyle w:val="Codevalue"/>
              </w:rPr>
              <w:t>"upendravajrā"</w:t>
            </w:r>
            <w:r>
              <w:rPr>
                <w:rStyle w:val="Code"/>
              </w:rPr>
              <w:t>&gt;</w:t>
            </w:r>
            <w:r>
              <w:rPr>
                <w:rStyle w:val="Codetext"/>
              </w:rPr>
              <w:t>śriyan nidhāyorasi yasya viṣṇuḥ</w:t>
            </w:r>
            <w:r>
              <w:rPr>
                <w:rStyle w:val="Code"/>
              </w:rPr>
              <w:t>&lt;/l&gt;</w:t>
            </w:r>
          </w:p>
          <w:p>
            <w:pPr>
              <w:pStyle w:val="CodeParagraph"/>
              <w:keepNext/>
            </w:pPr>
            <w:r>
              <w:rPr>
                <w:rStyle w:val="Code"/>
              </w:rPr>
              <w:t xml:space="preserve">  &lt;l </w:t>
            </w:r>
            <w:r>
              <w:rPr>
                <w:rStyle w:val="Codeattribute"/>
              </w:rPr>
              <w:t>n=</w:t>
            </w:r>
            <w:r>
              <w:rPr>
                <w:rStyle w:val="Codevalue"/>
              </w:rPr>
              <w:t>"d"</w:t>
            </w:r>
            <w:r>
              <w:rPr>
                <w:rStyle w:val="Code"/>
              </w:rPr>
              <w:t xml:space="preserve"> </w:t>
            </w:r>
            <w:r>
              <w:rPr>
                <w:rStyle w:val="Codeattribute"/>
              </w:rPr>
              <w:t>met=</w:t>
            </w:r>
            <w:r>
              <w:rPr>
                <w:rStyle w:val="Codevalue"/>
              </w:rPr>
              <w:t>"upendravajrā"</w:t>
            </w:r>
            <w:r>
              <w:rPr>
                <w:rStyle w:val="Code"/>
              </w:rPr>
              <w:t>&gt;</w:t>
            </w:r>
            <w:r>
              <w:rPr>
                <w:rStyle w:val="Codetext"/>
              </w:rPr>
              <w:t>sva-mūrttitāṁ svaṁ ca tapāṁsi tepe</w:t>
            </w:r>
            <w:r>
              <w:rPr>
                <w:rStyle w:val="Code"/>
              </w:rPr>
              <w:t>&lt;/l&gt;</w:t>
            </w:r>
            <w:r>
              <w:t xml:space="preserve"> </w:t>
            </w:r>
          </w:p>
          <w:p>
            <w:pPr>
              <w:pStyle w:val="CodeParagraph"/>
              <w:keepNext/>
              <w:rPr>
                <w:rFonts w:ascii="Consolas" w:hAnsi="Consolas" w:cs="Consolas"/>
                <w:noProof/>
                <w:color w:val="002060"/>
                <w:shd w:val="clear" w:color="auto" w:fill="F2F2F2" w:themeFill="background1" w:themeFillShade="F2"/>
              </w:rPr>
            </w:pPr>
            <w:r>
              <w:rPr>
                <w:rStyle w:val="Code"/>
              </w:rPr>
              <w:t>&lt;/lg&gt;</w:t>
            </w:r>
          </w:p>
        </w:tc>
      </w:tr>
      <w:tr>
        <w:tc>
          <w:tcPr>
            <w:tcW w:w="5000" w:type="pct"/>
          </w:tcPr>
          <w:p>
            <w:pPr>
              <w:pStyle w:val="TableNote"/>
            </w:pPr>
            <w:r>
              <w:t xml:space="preserve">the first </w:t>
            </w:r>
            <w:r>
              <w:rPr>
                <w:rStyle w:val="Foreign"/>
              </w:rPr>
              <w:t>pāda</w:t>
            </w:r>
            <w:r>
              <w:t xml:space="preserve"> follows the </w:t>
            </w:r>
            <w:r>
              <w:rPr>
                <w:rStyle w:val="Foreign"/>
              </w:rPr>
              <w:t>vaṁśastha</w:t>
            </w:r>
            <w:r>
              <w:t xml:space="preserve"> template, while the rest of the lines conform to </w:t>
            </w:r>
            <w:r>
              <w:rPr>
                <w:rStyle w:val="Foreign"/>
              </w:rPr>
              <w:t>upendravajrā</w:t>
            </w:r>
          </w:p>
          <w:p>
            <w:pPr>
              <w:pStyle w:val="TableNote"/>
            </w:pPr>
            <w:r>
              <w:t xml:space="preserve">the metre for the stanza is encoded as mixed, and </w:t>
            </w:r>
            <w:r>
              <w:rPr>
                <w:rStyle w:val="Codeattribute"/>
              </w:rPr>
              <w:t>@met</w:t>
            </w:r>
            <w:r>
              <w:t>, with a pattern name as its value, is added to each line</w:t>
            </w:r>
          </w:p>
        </w:tc>
      </w:tr>
    </w:tbl>
    <w:p>
      <w:pPr>
        <w:pStyle w:val="Cmsor3"/>
      </w:pPr>
      <w:bookmarkStart w:id="129" w:name="_Ref225325358"/>
      <w:bookmarkStart w:id="130" w:name="_Toc242976600"/>
      <w:bookmarkEnd w:id="127"/>
      <w:r>
        <w:t>Metrical complications</w:t>
      </w:r>
      <w:bookmarkEnd w:id="118"/>
      <w:bookmarkEnd w:id="119"/>
      <w:bookmarkEnd w:id="129"/>
      <w:bookmarkEnd w:id="130"/>
    </w:p>
    <w:p>
      <w:pPr>
        <w:pStyle w:val="Cmsor4"/>
      </w:pPr>
      <w:bookmarkStart w:id="131" w:name="_Ref224725166"/>
      <w:bookmarkStart w:id="132" w:name="_Ref224725159"/>
      <w:bookmarkStart w:id="133" w:name="_Ref43980303"/>
      <w:bookmarkEnd w:id="72"/>
      <w:bookmarkEnd w:id="73"/>
      <w:bookmarkEnd w:id="114"/>
      <w:r>
        <w:t>Legitimate metrical variation</w:t>
      </w:r>
      <w:bookmarkEnd w:id="131"/>
    </w:p>
    <w:p>
      <w:pPr>
        <w:pStyle w:val="Lista"/>
      </w:pPr>
      <w:r>
        <w:t xml:space="preserve">when a line conforms to a legitimate variation on a basic stanza template, as in </w:t>
      </w:r>
      <w:r>
        <w:rPr>
          <w:rStyle w:val="Foreign"/>
        </w:rPr>
        <w:t>vipulā anuṣṭubh</w:t>
      </w:r>
      <w:r>
        <w:t xml:space="preserve"> (</w:t>
      </w:r>
      <w:r>
        <w:rPr>
          <w:highlight w:val="yellow"/>
        </w:rPr>
        <w:t>VG</w:t>
      </w:r>
      <w:r>
        <w:t xml:space="preserve"> §#), it is optional but recommended that you encode this as in </w:t>
      </w:r>
      <w:r>
        <w:fldChar w:fldCharType="begin"/>
      </w:r>
      <w:r>
        <w:instrText xml:space="preserve"> REF _Ref181707200 \h </w:instrText>
      </w:r>
      <w:r>
        <w:fldChar w:fldCharType="separate"/>
      </w:r>
      <w:r>
        <w:t xml:space="preserve">Exhibit </w:t>
      </w:r>
      <w:r>
        <w:rPr>
          <w:noProof/>
        </w:rPr>
        <w:t>3.3</w:t>
      </w:r>
      <w:r>
        <w:t>.</w:t>
      </w:r>
      <w:r>
        <w:rPr>
          <w:noProof/>
        </w:rPr>
        <w:t>D</w:t>
      </w:r>
      <w:r>
        <w:fldChar w:fldCharType="end"/>
      </w:r>
      <w:r>
        <w:t>, namely:</w:t>
      </w:r>
    </w:p>
    <w:p>
      <w:pPr>
        <w:pStyle w:val="Lista2"/>
      </w:pPr>
      <w:r>
        <w:t xml:space="preserve">add </w:t>
      </w:r>
      <w:r>
        <w:rPr>
          <w:rStyle w:val="Codeattribute"/>
        </w:rPr>
        <w:t>@met</w:t>
      </w:r>
      <w:r>
        <w:t xml:space="preserve"> to the line concerned, for its value using the name of the </w:t>
      </w:r>
      <w:r>
        <w:rPr>
          <w:rStyle w:val="Foreign"/>
        </w:rPr>
        <w:t>vipulā</w:t>
      </w:r>
      <w:r>
        <w:t xml:space="preserve"> variant as listed in the authority file</w:t>
      </w:r>
    </w:p>
    <w:p>
      <w:pPr>
        <w:pStyle w:val="Lista2"/>
      </w:pPr>
      <w:r>
        <w:t xml:space="preserve">preferably also add </w:t>
      </w:r>
      <w:r>
        <w:rPr>
          <w:rStyle w:val="Codeattribute"/>
        </w:rPr>
        <w:t>@real</w:t>
      </w:r>
      <w:r>
        <w:t xml:space="preserve"> to the </w:t>
      </w:r>
      <w:r>
        <w:rPr>
          <w:rStyle w:val="Code"/>
        </w:rPr>
        <w:t>&lt;l&gt;</w:t>
      </w:r>
      <w:r>
        <w:t xml:space="preserve"> element concerned to record the accurate prosodic realisation of each syllable of the line</w:t>
      </w:r>
    </w:p>
    <w:p>
      <w:pPr>
        <w:pStyle w:val="Lista2"/>
      </w:pPr>
      <w:r>
        <w:t xml:space="preserve">further illustrations of </w:t>
      </w:r>
      <w:r>
        <w:rPr>
          <w:rStyle w:val="Foreign"/>
        </w:rPr>
        <w:t>vipulā anuṣṭubh</w:t>
      </w:r>
      <w:r>
        <w:t xml:space="preserve"> (with other complications) are found in </w:t>
      </w:r>
      <w:r>
        <w:fldChar w:fldCharType="begin"/>
      </w:r>
      <w:r>
        <w:instrText xml:space="preserve"> REF _Ref181628185 \h </w:instrText>
      </w:r>
      <w:r>
        <w:fldChar w:fldCharType="separate"/>
      </w:r>
      <w:r>
        <w:t xml:space="preserve">Exhibit </w:t>
      </w:r>
      <w:r>
        <w:rPr>
          <w:noProof/>
        </w:rPr>
        <w:t>3.2</w:t>
      </w:r>
      <w:r>
        <w:t>.</w:t>
      </w:r>
      <w:r>
        <w:rPr>
          <w:noProof/>
        </w:rPr>
        <w:t>J</w:t>
      </w:r>
      <w:r>
        <w:fldChar w:fldCharType="end"/>
      </w:r>
      <w:r>
        <w:t xml:space="preserve"> and </w:t>
      </w:r>
      <w:r>
        <w:rPr>
          <w:lang w:eastAsia="en-US" w:bidi="ar-SA"/>
        </w:rPr>
        <w:fldChar w:fldCharType="begin"/>
      </w:r>
      <w:r>
        <w:rPr>
          <w:lang w:eastAsia="en-US" w:bidi="ar-SA"/>
        </w:rPr>
        <w:instrText xml:space="preserve"> REF _Ref181627544 \h </w:instrText>
      </w:r>
      <w:r>
        <w:rPr>
          <w:lang w:eastAsia="en-US" w:bidi="ar-SA"/>
        </w:rPr>
      </w:r>
      <w:r>
        <w:rPr>
          <w:lang w:eastAsia="en-US" w:bidi="ar-SA"/>
        </w:rPr>
        <w:fldChar w:fldCharType="separate"/>
      </w:r>
      <w:r>
        <w:t xml:space="preserve">Exhibit </w:t>
      </w:r>
      <w:r>
        <w:rPr>
          <w:noProof/>
        </w:rPr>
        <w:t>3.2</w:t>
      </w:r>
      <w:r>
        <w:t>.</w:t>
      </w:r>
      <w:r>
        <w:rPr>
          <w:noProof/>
        </w:rPr>
        <w:t>M</w:t>
      </w:r>
      <w:r>
        <w:rPr>
          <w:lang w:eastAsia="en-US" w:bidi="ar-SA"/>
        </w:rPr>
        <w:fldChar w:fldCharType="end"/>
      </w:r>
    </w:p>
    <w:p>
      <w:pPr>
        <w:pStyle w:val="Lista2"/>
      </w:pPr>
      <w:bookmarkStart w:id="134" w:name="_Ref181610917"/>
      <w:r>
        <w:t xml:space="preserve">note that the </w:t>
      </w:r>
      <w:r>
        <w:rPr>
          <w:rStyle w:val="Foreign"/>
        </w:rPr>
        <w:t>vipulā āryā</w:t>
      </w:r>
      <w:r>
        <w:t xml:space="preserve"> (</w:t>
      </w:r>
      <w:r>
        <w:rPr>
          <w:highlight w:val="yellow"/>
        </w:rPr>
        <w:t>VG</w:t>
      </w:r>
      <w:r>
        <w:t>) is not recognised as a distinct metre in our authority file, but may be optionally encoded with an unobserved caesura as per §</w:t>
      </w:r>
      <w:r>
        <w:fldChar w:fldCharType="begin"/>
      </w:r>
      <w:r>
        <w:instrText xml:space="preserve"> REF _Ref224730076 \r \h </w:instrText>
      </w:r>
      <w:r>
        <w:fldChar w:fldCharType="separate"/>
      </w:r>
      <w:r>
        <w:t>3.3.4.3</w:t>
      </w:r>
      <w:r>
        <w:fldChar w:fldCharType="end"/>
      </w:r>
      <w:r>
        <w:t xml:space="preserve"> and </w:t>
      </w:r>
      <w:r>
        <w:fldChar w:fldCharType="begin"/>
      </w:r>
      <w:r>
        <w:instrText xml:space="preserve"> REF _Ref44077259 \h </w:instrText>
      </w:r>
      <w:r>
        <w:fldChar w:fldCharType="separate"/>
      </w:r>
      <w:r>
        <w:t xml:space="preserve">Exhibit </w:t>
      </w:r>
      <w:r>
        <w:rPr>
          <w:noProof/>
        </w:rPr>
        <w:t>3.3</w:t>
      </w:r>
      <w:r>
        <w:t>.</w:t>
      </w:r>
      <w:r>
        <w:rPr>
          <w:noProof/>
        </w:rPr>
        <w:t>G</w:t>
      </w:r>
      <w:r>
        <w:fldChar w:fldCharType="end"/>
      </w:r>
    </w:p>
    <w:p>
      <w:pPr>
        <w:pStyle w:val="Lista"/>
      </w:pPr>
      <w:r>
        <w:t>when the stanza template is only loosely constrained, as in pre-classical trimeter (</w:t>
      </w:r>
      <w:r>
        <w:rPr>
          <w:highlight w:val="yellow"/>
        </w:rPr>
        <w:t>Appendix B</w:t>
      </w:r>
      <w:r>
        <w:t>)</w:t>
      </w:r>
    </w:p>
    <w:p>
      <w:pPr>
        <w:pStyle w:val="Lista2"/>
      </w:pPr>
      <w:r>
        <w:t xml:space="preserve">optionally add </w:t>
      </w:r>
      <w:r>
        <w:rPr>
          <w:rStyle w:val="Codeattribute"/>
        </w:rPr>
        <w:t>@real</w:t>
      </w:r>
      <w:r>
        <w:t xml:space="preserve"> to all </w:t>
      </w:r>
      <w:r>
        <w:rPr>
          <w:rStyle w:val="Code"/>
        </w:rPr>
        <w:t>&lt;l&gt;</w:t>
      </w:r>
      <w:r>
        <w:t xml:space="preserve"> elements to record the accurate prosodic realisation</w:t>
      </w:r>
    </w:p>
    <w:p>
      <w:pPr>
        <w:pStyle w:val="Lista"/>
      </w:pPr>
      <w:r>
        <w:t xml:space="preserve">conformance to a recognised constraint on a lenient stanza template, as in </w:t>
      </w:r>
      <w:r>
        <w:rPr>
          <w:rStyle w:val="Foreign"/>
        </w:rPr>
        <w:t>capalā āryā</w:t>
      </w:r>
      <w:r>
        <w:t xml:space="preserve"> (</w:t>
      </w:r>
      <w:r>
        <w:rPr>
          <w:highlight w:val="yellow"/>
        </w:rPr>
        <w:t>Appendix B</w:t>
      </w:r>
      <w:r>
        <w:t>) may be optionally marked up as follows</w:t>
      </w:r>
    </w:p>
    <w:p>
      <w:pPr>
        <w:pStyle w:val="Lista2"/>
      </w:pPr>
      <w:r>
        <w:t xml:space="preserve">add </w:t>
      </w:r>
      <w:r>
        <w:rPr>
          <w:rStyle w:val="Codeattribute"/>
        </w:rPr>
        <w:t>@real</w:t>
      </w:r>
      <w:r>
        <w:t xml:space="preserve"> to the </w:t>
      </w:r>
      <w:r>
        <w:rPr>
          <w:rStyle w:val="Code"/>
        </w:rPr>
        <w:t>&lt;l&gt;</w:t>
      </w:r>
      <w:r>
        <w:t xml:space="preserve"> element concerned to describe its prosodic realisation accurately</w:t>
      </w:r>
    </w:p>
    <w:p>
      <w:pPr>
        <w:pStyle w:val="Lista2"/>
      </w:pPr>
      <w:r>
        <w:t xml:space="preserve">because recognising </w:t>
      </w:r>
      <w:r>
        <w:rPr>
          <w:rStyle w:val="Foreign"/>
        </w:rPr>
        <w:t>capalā āryā</w:t>
      </w:r>
      <w:r>
        <w:t xml:space="preserve"> forms requires practice most of us lack, we have chosen not to distinguish them in our authority file, so </w:t>
      </w:r>
      <w:r>
        <w:rPr>
          <w:rStyle w:val="Codeattribute"/>
        </w:rPr>
        <w:t>@met</w:t>
      </w:r>
      <w:r>
        <w:t xml:space="preserve"> shall not be used on </w:t>
      </w:r>
      <w:r>
        <w:rPr>
          <w:rStyle w:val="Foreign"/>
        </w:rPr>
        <w:t>capalā</w:t>
      </w:r>
      <w:r>
        <w:t xml:space="preserve"> lines</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35" w:name="_Ref181707200"/>
            <w:r>
              <w:lastRenderedPageBreak/>
              <w:t xml:space="preserve">Exhibit </w:t>
            </w:r>
            <w:fldSimple w:instr=" STYLEREF 2 \s ">
              <w:r>
                <w:rPr>
                  <w:noProof/>
                </w:rPr>
                <w:t>3.3</w:t>
              </w:r>
            </w:fldSimple>
            <w:r>
              <w:t>.</w:t>
            </w:r>
            <w:fldSimple w:instr=" SEQ Exhibit \* ALPHABETIC \s 2 ">
              <w:r>
                <w:rPr>
                  <w:noProof/>
                </w:rPr>
                <w:t>D</w:t>
              </w:r>
            </w:fldSimple>
            <w:bookmarkEnd w:id="135"/>
            <w:r>
              <w:t xml:space="preserve">: </w:t>
            </w:r>
            <w:r>
              <w:rPr>
                <w:rStyle w:val="Foreign"/>
              </w:rPr>
              <w:t>vipulā anuṣṭubh</w:t>
            </w:r>
          </w:p>
        </w:tc>
      </w:tr>
      <w:tr>
        <w:tc>
          <w:tcPr>
            <w:tcW w:w="5000" w:type="pct"/>
          </w:tcPr>
          <w:p>
            <w:pPr>
              <w:pStyle w:val="CodeParagraph"/>
            </w:pPr>
            <w:r>
              <w:rPr>
                <w:rStyle w:val="Code"/>
              </w:rPr>
              <w:t xml:space="preserve">&lt;lg </w:t>
            </w:r>
            <w:r>
              <w:rPr>
                <w:rStyle w:val="Codeattribute"/>
              </w:rPr>
              <w:t>n</w:t>
            </w:r>
            <w:r>
              <w:rPr>
                <w:rStyle w:val="Code"/>
              </w:rPr>
              <w:t>=</w:t>
            </w:r>
            <w:r>
              <w:rPr>
                <w:rStyle w:val="Codevalue"/>
              </w:rPr>
              <w:t>"9"</w:t>
            </w:r>
            <w:r>
              <w:rPr>
                <w:rStyle w:val="Code"/>
              </w:rPr>
              <w:t xml:space="preserve"> </w:t>
            </w:r>
            <w:r>
              <w:rPr>
                <w:rStyle w:val="Codeattribute"/>
              </w:rPr>
              <w:t>met</w:t>
            </w:r>
            <w:r>
              <w:rPr>
                <w:rStyle w:val="Code"/>
              </w:rPr>
              <w:t>=</w:t>
            </w:r>
            <w:r>
              <w:rPr>
                <w:rStyle w:val="Codevalue"/>
              </w:rPr>
              <w:t>"anuṣṭubh"</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 xml:space="preserve">"a" </w:t>
            </w:r>
            <w:r>
              <w:rPr>
                <w:rStyle w:val="Codeattribute"/>
              </w:rPr>
              <w:t>met</w:t>
            </w:r>
            <w:r>
              <w:rPr>
                <w:rStyle w:val="Code"/>
              </w:rPr>
              <w:t>=</w:t>
            </w:r>
            <w:r>
              <w:rPr>
                <w:rStyle w:val="Codevalue"/>
              </w:rPr>
              <w:t>"na-vipulā"</w:t>
            </w:r>
            <w:r>
              <w:rPr>
                <w:rStyle w:val="Code"/>
              </w:rPr>
              <w:t xml:space="preserve"> </w:t>
            </w:r>
            <w:r>
              <w:rPr>
                <w:rStyle w:val="Codeattribute"/>
              </w:rPr>
              <w:t>real</w:t>
            </w:r>
            <w:r>
              <w:rPr>
                <w:rStyle w:val="Code"/>
              </w:rPr>
              <w:t>=</w:t>
            </w:r>
            <w:r>
              <w:rPr>
                <w:rStyle w:val="Codevalue"/>
              </w:rPr>
              <w:t>"+-++---+"</w:t>
            </w:r>
            <w:r>
              <w:rPr>
                <w:rStyle w:val="Code"/>
              </w:rPr>
              <w:t>&gt;</w:t>
            </w:r>
            <w:r>
              <w:rPr>
                <w:rStyle w:val="Codetext"/>
              </w:rPr>
              <w:t>śaurya-satya-vrata-dharo</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"b"</w:t>
            </w:r>
            <w:r>
              <w:rPr>
                <w:rStyle w:val="Code"/>
              </w:rPr>
              <w:t>&gt;</w:t>
            </w:r>
            <w:r>
              <w:rPr>
                <w:rStyle w:val="Codetext"/>
              </w:rPr>
              <w:t>yaḥ prayāga-gato dhanī</w:t>
            </w:r>
            <w:r>
              <w:rPr>
                <w:rStyle w:val="Code"/>
              </w:rPr>
              <w:t>&lt;/l&gt;</w:t>
            </w:r>
            <w:r>
              <w:rPr>
                <w:rStyle w:val="Codetext"/>
              </w:rPr>
              <w:br/>
              <w:t xml:space="preserve">  ...</w:t>
            </w:r>
            <w:r>
              <w:rPr>
                <w:rStyle w:val="Codetext"/>
              </w:rPr>
              <w:br/>
            </w:r>
            <w:r>
              <w:rPr>
                <w:rStyle w:val="Code"/>
              </w:rPr>
              <w:t>&lt;/lg&gt;</w:t>
            </w:r>
          </w:p>
        </w:tc>
      </w:tr>
    </w:tbl>
    <w:p>
      <w:pPr>
        <w:pStyle w:val="Cmsor4"/>
      </w:pPr>
      <w:bookmarkStart w:id="136" w:name="_Ref224726481"/>
      <w:bookmarkStart w:id="137" w:name="_Ref224726906"/>
      <w:bookmarkEnd w:id="134"/>
      <w:r>
        <w:t>Deviant verse lines</w:t>
      </w:r>
      <w:bookmarkEnd w:id="132"/>
      <w:bookmarkEnd w:id="136"/>
      <w:bookmarkEnd w:id="137"/>
    </w:p>
    <w:p>
      <w:pPr>
        <w:pStyle w:val="Lista"/>
      </w:pPr>
      <w:r>
        <w:t xml:space="preserve">when a line deviates idiosyncratically from the metre of the rest of the stanza without conforming to a different recognised metre, it is optional but recommended that you add </w:t>
      </w:r>
      <w:r>
        <w:rPr>
          <w:rStyle w:val="Codeattribute"/>
        </w:rPr>
        <w:t>@real</w:t>
      </w:r>
      <w:r>
        <w:t xml:space="preserve"> to the line with unexpected metre</w:t>
      </w:r>
    </w:p>
    <w:p>
      <w:pPr>
        <w:pStyle w:val="Lista2"/>
      </w:pPr>
      <w:r>
        <w:t>this encoding is applicable regardless of whether the deviation is deemed to be a deliberate poetic device or a compositional mistake, including the following cases:</w:t>
      </w:r>
    </w:p>
    <w:p>
      <w:pPr>
        <w:pStyle w:val="Lista3"/>
      </w:pPr>
      <w:r>
        <w:t xml:space="preserve">lines with anomalous metre, including hypermetrical and hypometrical lines, as in </w:t>
      </w:r>
      <w:r>
        <w:fldChar w:fldCharType="begin"/>
      </w:r>
      <w:r>
        <w:instrText xml:space="preserve"> REF _Ref44077220 \h </w:instrText>
      </w:r>
      <w:r>
        <w:fldChar w:fldCharType="separate"/>
      </w:r>
      <w:r>
        <w:t xml:space="preserve">Exhibit </w:t>
      </w:r>
      <w:r>
        <w:rPr>
          <w:noProof/>
        </w:rPr>
        <w:t>3.3</w:t>
      </w:r>
      <w:r>
        <w:t>.</w:t>
      </w:r>
      <w:r>
        <w:rPr>
          <w:noProof/>
        </w:rPr>
        <w:t>E</w:t>
      </w:r>
      <w:r>
        <w:fldChar w:fldCharType="end"/>
      </w:r>
    </w:p>
    <w:p>
      <w:pPr>
        <w:pStyle w:val="Lista3"/>
      </w:pPr>
      <w:r>
        <w:t xml:space="preserve">presumable poetic licence, such as treating a short vowel followed by a stop and a semivowel as a short syllable </w:t>
      </w:r>
      <w:r>
        <w:rPr>
          <w:noProof/>
        </w:rPr>
        <w:t>(</w:t>
      </w:r>
      <w:r>
        <w:rPr>
          <w:rStyle w:val="Foreign"/>
        </w:rPr>
        <w:t>muta cum liquida</w:t>
      </w:r>
      <w:r>
        <w:t xml:space="preserve"> in classical European prosody), as in </w:t>
      </w:r>
      <w:r>
        <w:fldChar w:fldCharType="begin"/>
      </w:r>
      <w:r>
        <w:instrText xml:space="preserve"> REF _Ref44077213 \h </w:instrText>
      </w:r>
      <w:r>
        <w:fldChar w:fldCharType="separate"/>
      </w:r>
      <w:r>
        <w:t xml:space="preserve">Exhibit </w:t>
      </w:r>
      <w:r>
        <w:rPr>
          <w:noProof/>
        </w:rPr>
        <w:t>3.3</w:t>
      </w:r>
      <w:r>
        <w:t>.</w:t>
      </w:r>
      <w:r>
        <w:rPr>
          <w:noProof/>
        </w:rPr>
        <w:t>F</w:t>
      </w:r>
      <w:r>
        <w:fldChar w:fldCharType="end"/>
      </w:r>
    </w:p>
    <w:p>
      <w:pPr>
        <w:pStyle w:val="Lista2"/>
      </w:pPr>
      <w:r>
        <w:t>however, if the anomaly results from scribal error which you as editor correct and thereby restore the metre to what the composer had presumably intended, this does not count as a deviant line (§</w:t>
      </w:r>
      <w:r>
        <w:fldChar w:fldCharType="begin"/>
      </w:r>
      <w:r>
        <w:instrText xml:space="preserve"> REF _Ref225323861 \r \h </w:instrText>
      </w:r>
      <w:r>
        <w:fldChar w:fldCharType="separate"/>
      </w:r>
      <w:r>
        <w:t>3.3.1</w:t>
      </w:r>
      <w:r>
        <w:fldChar w:fldCharType="end"/>
      </w:r>
      <w:r>
        <w:t>)</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38" w:name="_Ref44077220"/>
            <w:r>
              <w:t xml:space="preserve">Exhibit </w:t>
            </w:r>
            <w:fldSimple w:instr=" STYLEREF 2 \s ">
              <w:r>
                <w:rPr>
                  <w:noProof/>
                </w:rPr>
                <w:t>3.3</w:t>
              </w:r>
            </w:fldSimple>
            <w:r>
              <w:t>.</w:t>
            </w:r>
            <w:fldSimple w:instr=" SEQ Exhibit \* ALPHABETIC \s 2 ">
              <w:r>
                <w:rPr>
                  <w:noProof/>
                </w:rPr>
                <w:t>E</w:t>
              </w:r>
            </w:fldSimple>
            <w:bookmarkEnd w:id="138"/>
            <w:r>
              <w:t>: anomalous metre</w:t>
            </w:r>
          </w:p>
        </w:tc>
      </w:tr>
      <w:tr>
        <w:tc>
          <w:tcPr>
            <w:tcW w:w="5000" w:type="pct"/>
          </w:tcPr>
          <w:p>
            <w:pPr>
              <w:pStyle w:val="CodeParagraph"/>
              <w:keepNext/>
            </w:pP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"āryā"</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"ab"</w:t>
            </w:r>
            <w:r>
              <w:rPr>
                <w:rStyle w:val="Code"/>
              </w:rPr>
              <w:t xml:space="preserve"> </w:t>
            </w:r>
            <w:r>
              <w:rPr>
                <w:rStyle w:val="Codeattribute"/>
              </w:rPr>
              <w:t>real</w:t>
            </w:r>
            <w:r>
              <w:rPr>
                <w:rStyle w:val="Code"/>
              </w:rPr>
              <w:t>=</w:t>
            </w:r>
            <w:r>
              <w:rPr>
                <w:rStyle w:val="Codevalue"/>
              </w:rPr>
              <w:t>"----+-+-+--+--------+++"</w:t>
            </w:r>
            <w:r>
              <w:rPr>
                <w:rStyle w:val="Code"/>
              </w:rPr>
              <w:t>&gt;</w:t>
            </w:r>
            <w:r>
              <w:rPr>
                <w:rStyle w:val="Codetext"/>
              </w:rPr>
              <w:t>jayati vibhuś catur-bhujaś catur-arṇṇava-vipula-salila-paryyaṅkaḥ</w:t>
            </w:r>
            <w:r>
              <w:rPr>
                <w:rStyle w:val="Code"/>
              </w:rPr>
              <w:t>&lt;/l&gt;</w:t>
            </w:r>
            <w:r>
              <w:rPr>
                <w:rStyle w:val="Codetext"/>
              </w:rPr>
              <w:br/>
              <w:t xml:space="preserve">  ...</w:t>
            </w:r>
            <w:r>
              <w:rPr>
                <w:rStyle w:val="Codetext"/>
              </w:rPr>
              <w:br/>
            </w:r>
            <w:r>
              <w:rPr>
                <w:rStyle w:val="Code"/>
              </w:rPr>
              <w:t>&lt;/lg&gt;</w:t>
            </w:r>
          </w:p>
        </w:tc>
      </w:tr>
      <w:tr>
        <w:tc>
          <w:tcPr>
            <w:tcW w:w="5000" w:type="pct"/>
          </w:tcPr>
          <w:p>
            <w:pPr>
              <w:pStyle w:val="TableNote"/>
            </w:pPr>
            <w:r>
              <w:t xml:space="preserve">there is syncopation from the second to the third foot: the foot boundary ought to be halfway through the long syllable </w:t>
            </w:r>
            <w:r>
              <w:rPr>
                <w:rStyle w:val="Foreign"/>
              </w:rPr>
              <w:t>tu</w:t>
            </w:r>
          </w:p>
          <w:p>
            <w:pPr>
              <w:pStyle w:val="TableNote"/>
            </w:pPr>
            <w:r>
              <w:t xml:space="preserve">mentally, the author’s pronunciation may have been </w:t>
            </w:r>
            <w:r>
              <w:rPr>
                <w:rStyle w:val="Foreign"/>
              </w:rPr>
              <w:t>caturabhujaś</w:t>
            </w:r>
            <w:r>
              <w:t xml:space="preserve">, which would scan correctly: should be </w:t>
            </w:r>
            <w:r>
              <w:rPr>
                <w:rStyle w:val="Foreign"/>
              </w:rPr>
              <w:t>jayati vi|bhuś catu|ra-bhujaś…</w:t>
            </w:r>
          </w:p>
          <w:p>
            <w:pPr>
              <w:pStyle w:val="TableNote"/>
            </w:pPr>
            <w:r>
              <w:t xml:space="preserve">deviation from the expected pattern has been recorded in </w:t>
            </w:r>
            <w:r>
              <w:rPr>
                <w:rStyle w:val="Codeattribute"/>
              </w:rPr>
              <w:t>@real</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39" w:name="_Ref44077213"/>
            <w:bookmarkStart w:id="140" w:name="_Ref44077183"/>
            <w:r>
              <w:t xml:space="preserve">Exhibit </w:t>
            </w:r>
            <w:fldSimple w:instr=" STYLEREF 2 \s ">
              <w:r>
                <w:rPr>
                  <w:noProof/>
                </w:rPr>
                <w:t>3.3</w:t>
              </w:r>
            </w:fldSimple>
            <w:r>
              <w:t>.</w:t>
            </w:r>
            <w:fldSimple w:instr=" SEQ Exhibit \* ALPHABETIC \s 2 ">
              <w:r>
                <w:rPr>
                  <w:noProof/>
                </w:rPr>
                <w:t>F</w:t>
              </w:r>
            </w:fldSimple>
            <w:bookmarkEnd w:id="139"/>
            <w:r>
              <w:t xml:space="preserve">: </w:t>
            </w:r>
            <w:r>
              <w:rPr>
                <w:rStyle w:val="Foreign"/>
              </w:rPr>
              <w:t>muta cum liquida</w:t>
            </w:r>
            <w:r>
              <w:t xml:space="preserve"> licence</w:t>
            </w:r>
            <w:bookmarkEnd w:id="140"/>
          </w:p>
        </w:tc>
      </w:tr>
      <w:tr>
        <w:tc>
          <w:tcPr>
            <w:tcW w:w="5000" w:type="pct"/>
          </w:tcPr>
          <w:p>
            <w:pPr>
              <w:pStyle w:val="CodeParagraph"/>
              <w:keepNext/>
            </w:pPr>
            <w:r>
              <w:rPr>
                <w:rStyle w:val="Code"/>
              </w:rPr>
              <w:t xml:space="preserve">&lt;lg </w:t>
            </w:r>
            <w:r>
              <w:rPr>
                <w:rStyle w:val="Codeattribute"/>
              </w:rPr>
              <w:t>n</w:t>
            </w:r>
            <w:r>
              <w:rPr>
                <w:rStyle w:val="Code"/>
              </w:rPr>
              <w:t>=</w:t>
            </w:r>
            <w:r>
              <w:rPr>
                <w:rStyle w:val="Codevalue"/>
              </w:rPr>
              <w:t>"12"</w:t>
            </w:r>
            <w:r>
              <w:rPr>
                <w:rStyle w:val="Code"/>
              </w:rPr>
              <w:t xml:space="preserve"> </w:t>
            </w:r>
            <w:r>
              <w:rPr>
                <w:rStyle w:val="Codeattribute"/>
              </w:rPr>
              <w:t>met</w:t>
            </w:r>
            <w:r>
              <w:rPr>
                <w:rStyle w:val="Code"/>
              </w:rPr>
              <w:t>=</w:t>
            </w:r>
            <w:r>
              <w:rPr>
                <w:rStyle w:val="Codevalue"/>
              </w:rPr>
              <w:t>"anuṣṭubh"</w:t>
            </w:r>
            <w:r>
              <w:rPr>
                <w:rStyle w:val="Code"/>
              </w:rPr>
              <w:t>&gt;</w:t>
            </w:r>
            <w:r>
              <w:rPr>
                <w:rStyle w:val="Codetext"/>
              </w:rPr>
              <w:br/>
              <w:t xml:space="preserve">  ...</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 xml:space="preserve"> </w:t>
            </w:r>
            <w:r>
              <w:rPr>
                <w:rStyle w:val="Codeattribute"/>
              </w:rPr>
              <w:t>real</w:t>
            </w:r>
            <w:r>
              <w:rPr>
                <w:rStyle w:val="Code"/>
              </w:rPr>
              <w:t>=</w:t>
            </w:r>
            <w:r>
              <w:rPr>
                <w:rStyle w:val="Codevalue"/>
              </w:rPr>
              <w:t>"+-+++++-"</w:t>
            </w:r>
            <w:r>
              <w:rPr>
                <w:rStyle w:val="Code"/>
              </w:rPr>
              <w:t>&gt;</w:t>
            </w:r>
            <w:r>
              <w:rPr>
                <w:rStyle w:val="Codetext"/>
              </w:rPr>
              <w:t>yasya vittaṁ ca prāṇāś ca</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&gt;</w:t>
            </w:r>
            <w:r>
              <w:rPr>
                <w:rStyle w:val="Codetext"/>
              </w:rPr>
              <w:t>deva-brāhmaṇasād gatāḥ</w:t>
            </w:r>
            <w:r>
              <w:rPr>
                <w:rStyle w:val="Code"/>
              </w:rPr>
              <w:t>&lt;/l&gt;</w:t>
            </w:r>
            <w:r>
              <w:rPr>
                <w:rStyle w:val="Codetext"/>
              </w:rPr>
              <w:br/>
            </w:r>
            <w:r>
              <w:rPr>
                <w:rStyle w:val="Code"/>
              </w:rPr>
              <w:t>&lt;/lg&gt;</w:t>
            </w:r>
          </w:p>
        </w:tc>
      </w:tr>
      <w:tr>
        <w:tc>
          <w:tcPr>
            <w:tcW w:w="5000" w:type="pct"/>
          </w:tcPr>
          <w:p>
            <w:pPr>
              <w:pStyle w:val="TableNote"/>
            </w:pPr>
            <w:r>
              <w:t xml:space="preserve">the first </w:t>
            </w:r>
            <w:r>
              <w:rPr>
                <w:i/>
                <w:iCs/>
              </w:rPr>
              <w:t>ca</w:t>
            </w:r>
            <w:r>
              <w:t xml:space="preserve"> in </w:t>
            </w:r>
            <w:r>
              <w:rPr>
                <w:rStyle w:val="Foreign"/>
              </w:rPr>
              <w:t>pāda</w:t>
            </w:r>
            <w:r>
              <w:t xml:space="preserve"> </w:t>
            </w:r>
            <w:r>
              <w:rPr>
                <w:rStyle w:val="Foreign"/>
              </w:rPr>
              <w:t>c</w:t>
            </w:r>
            <w:r>
              <w:t xml:space="preserve"> is expected to be a short syllable, but by regular prosodic rules it is positionally long</w:t>
            </w:r>
          </w:p>
          <w:p>
            <w:pPr>
              <w:pStyle w:val="TableNote"/>
            </w:pPr>
            <w:r>
              <w:t xml:space="preserve">deviation from the expected pattern has been recorded in </w:t>
            </w:r>
            <w:r>
              <w:rPr>
                <w:rStyle w:val="Codeattribute"/>
              </w:rPr>
              <w:t>@real</w:t>
            </w:r>
          </w:p>
        </w:tc>
      </w:tr>
    </w:tbl>
    <w:p>
      <w:pPr>
        <w:pStyle w:val="Cmsor4"/>
      </w:pPr>
      <w:bookmarkStart w:id="141" w:name="_Ref224729838"/>
      <w:bookmarkStart w:id="142" w:name="_Ref224730076"/>
      <w:r>
        <w:t>Failure to observe the caesura</w:t>
      </w:r>
      <w:bookmarkEnd w:id="141"/>
      <w:bookmarkEnd w:id="142"/>
    </w:p>
    <w:p>
      <w:r>
        <w:t xml:space="preserve">Caesuras </w:t>
      </w:r>
      <w:r>
        <w:rPr>
          <w:noProof/>
        </w:rPr>
        <w:t>(</w:t>
      </w:r>
      <w:r>
        <w:rPr>
          <w:rStyle w:val="Foreign"/>
        </w:rPr>
        <w:t>yati</w:t>
      </w:r>
      <w:r>
        <w:t>) shall not be marked up in quantitative verse.</w:t>
      </w:r>
      <w:r>
        <w:rPr>
          <w:rStyle w:val="Lbjegyzet-hivatkozs"/>
        </w:rPr>
        <w:footnoteReference w:id="12"/>
      </w:r>
      <w:r>
        <w:t xml:space="preserve"> However, if you notice a caesura that was disregarded by the composer or involves sandhi that blurs its location, you may optionally encode this as follows:</w:t>
      </w:r>
    </w:p>
    <w:p>
      <w:pPr>
        <w:pStyle w:val="Lista"/>
        <w:rPr>
          <w:rStyle w:val="Code"/>
          <w:rFonts w:ascii="Gentium Plus" w:hAnsi="Gentium Plus" w:cs="Arial Unicode MS"/>
          <w:noProof w:val="0"/>
          <w:color w:val="auto"/>
          <w:shd w:val="clear" w:color="auto" w:fill="auto"/>
        </w:rPr>
      </w:pPr>
      <w:r>
        <w:rPr>
          <w:rStyle w:val="Code"/>
        </w:rPr>
        <w:t xml:space="preserve">&lt;milestone </w:t>
      </w:r>
      <w:r>
        <w:rPr>
          <w:rStyle w:val="Codeattribute"/>
        </w:rPr>
        <w:t>type</w:t>
      </w:r>
      <w:r>
        <w:rPr>
          <w:rStyle w:val="Code"/>
        </w:rPr>
        <w:t>=</w:t>
      </w:r>
      <w:r>
        <w:rPr>
          <w:rStyle w:val="Codevalue"/>
        </w:rPr>
        <w:t>"yati"</w:t>
      </w:r>
      <w:r>
        <w:rPr>
          <w:rStyle w:val="Code"/>
        </w:rPr>
        <w:t xml:space="preserve"> </w:t>
      </w:r>
      <w:r>
        <w:rPr>
          <w:rStyle w:val="Codeattribute"/>
        </w:rPr>
        <w:t>break</w:t>
      </w:r>
      <w:r>
        <w:rPr>
          <w:rStyle w:val="Code"/>
        </w:rPr>
        <w:t>=</w:t>
      </w:r>
      <w:r>
        <w:rPr>
          <w:rStyle w:val="Codevalue"/>
        </w:rPr>
        <w:t>"no"</w:t>
      </w:r>
      <w:r>
        <w:rPr>
          <w:rStyle w:val="Code"/>
        </w:rPr>
        <w:t>&gt;</w:t>
      </w:r>
    </w:p>
    <w:p>
      <w:pPr>
        <w:pStyle w:val="Lista"/>
      </w:pPr>
      <w:r>
        <w:t xml:space="preserve">illustrated in </w:t>
      </w:r>
      <w:r>
        <w:fldChar w:fldCharType="begin"/>
      </w:r>
      <w:r>
        <w:instrText xml:space="preserve"> REF _Ref44077259 \h </w:instrText>
      </w:r>
      <w:r>
        <w:fldChar w:fldCharType="separate"/>
      </w:r>
      <w:r>
        <w:t xml:space="preserve">Exhibit </w:t>
      </w:r>
      <w:r>
        <w:rPr>
          <w:noProof/>
        </w:rPr>
        <w:t>3.3</w:t>
      </w:r>
      <w:r>
        <w:t>.</w:t>
      </w:r>
      <w:r>
        <w:rPr>
          <w:noProof/>
        </w:rPr>
        <w:t>G</w:t>
      </w:r>
      <w:r>
        <w:fldChar w:fldCharType="end"/>
      </w:r>
      <w:r>
        <w:t xml:space="preserve"> and </w:t>
      </w:r>
      <w:r>
        <w:fldChar w:fldCharType="begin"/>
      </w:r>
      <w:r>
        <w:instrText xml:space="preserve"> REF _Ref44077336 \h </w:instrText>
      </w:r>
      <w:r>
        <w:fldChar w:fldCharType="separate"/>
      </w:r>
      <w:r>
        <w:t xml:space="preserve">Exhibit </w:t>
      </w:r>
      <w:r>
        <w:rPr>
          <w:noProof/>
        </w:rPr>
        <w:t>3.3</w:t>
      </w:r>
      <w:r>
        <w:t>.</w:t>
      </w:r>
      <w:r>
        <w:rPr>
          <w:noProof/>
        </w:rPr>
        <w:t>H</w:t>
      </w:r>
      <w:r>
        <w:fldChar w:fldCharType="end"/>
      </w:r>
    </w:p>
    <w:p>
      <w:bookmarkStart w:id="143" w:name="_l3elgprsa6k8" w:colFirst="0" w:colLast="0"/>
      <w:bookmarkEnd w:id="133"/>
      <w:bookmarkEnd w:id="143"/>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44" w:name="_Ref44077259"/>
            <w:r>
              <w:lastRenderedPageBreak/>
              <w:t xml:space="preserve">Exhibit </w:t>
            </w:r>
            <w:fldSimple w:instr=" STYLEREF 2 \s ">
              <w:r>
                <w:rPr>
                  <w:noProof/>
                </w:rPr>
                <w:t>3.3</w:t>
              </w:r>
            </w:fldSimple>
            <w:r>
              <w:t>.</w:t>
            </w:r>
            <w:fldSimple w:instr=" SEQ Exhibit \* ALPHABETIC \s 2 ">
              <w:r>
                <w:rPr>
                  <w:noProof/>
                </w:rPr>
                <w:t>G</w:t>
              </w:r>
            </w:fldSimple>
            <w:bookmarkEnd w:id="144"/>
            <w:r>
              <w:t xml:space="preserve">: moraic verse </w:t>
            </w:r>
            <w:r>
              <w:rPr>
                <w:noProof/>
              </w:rPr>
              <w:t>(</w:t>
            </w:r>
            <w:r>
              <w:rPr>
                <w:rStyle w:val="Foreign"/>
              </w:rPr>
              <w:t>vipulā āryā</w:t>
            </w:r>
            <w:r>
              <w:t>) with unobserved caesura and enjambement</w:t>
            </w:r>
          </w:p>
        </w:tc>
      </w:tr>
      <w:tr>
        <w:tc>
          <w:tcPr>
            <w:tcW w:w="5000" w:type="pct"/>
          </w:tcPr>
          <w:p>
            <w:pPr>
              <w:pStyle w:val="CodeParagraph"/>
              <w:keepNext/>
            </w:pPr>
            <w:r>
              <w:rPr>
                <w:rStyle w:val="Code"/>
              </w:rPr>
              <w:t xml:space="preserve">&lt;lg </w:t>
            </w:r>
            <w:r>
              <w:rPr>
                <w:rStyle w:val="Codeattribute"/>
              </w:rPr>
              <w:t>n</w:t>
            </w:r>
            <w:r>
              <w:rPr>
                <w:rStyle w:val="Code"/>
              </w:rPr>
              <w:t>=</w:t>
            </w:r>
            <w:r>
              <w:rPr>
                <w:rStyle w:val="Codevalue"/>
              </w:rPr>
              <w:t>"33"</w:t>
            </w:r>
            <w:r>
              <w:rPr>
                <w:rStyle w:val="Code"/>
              </w:rPr>
              <w:t xml:space="preserve"> </w:t>
            </w:r>
            <w:r>
              <w:rPr>
                <w:rStyle w:val="Codeattribute"/>
              </w:rPr>
              <w:t>met</w:t>
            </w:r>
            <w:r>
              <w:rPr>
                <w:rStyle w:val="Code"/>
              </w:rPr>
              <w:t>=</w:t>
            </w:r>
            <w:r>
              <w:rPr>
                <w:rStyle w:val="Codevalue"/>
              </w:rPr>
              <w:t>"āryā"</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"ab"</w:t>
            </w:r>
            <w:r>
              <w:rPr>
                <w:rStyle w:val="Code"/>
              </w:rPr>
              <w:t xml:space="preserve"> </w:t>
            </w:r>
            <w:r>
              <w:rPr>
                <w:rStyle w:val="Codeattribute"/>
              </w:rPr>
              <w:t>enjamb</w:t>
            </w:r>
            <w:r>
              <w:rPr>
                <w:rStyle w:val="Code"/>
              </w:rPr>
              <w:t>=</w:t>
            </w:r>
            <w:r>
              <w:rPr>
                <w:rStyle w:val="Codevalue"/>
              </w:rPr>
              <w:t>"yes"</w:t>
            </w:r>
            <w:r>
              <w:rPr>
                <w:rStyle w:val="Code"/>
              </w:rPr>
              <w:t>&gt;</w:t>
            </w:r>
            <w:r>
              <w:rPr>
                <w:rStyle w:val="Codetext"/>
              </w:rPr>
              <w:t>smara-vaśaga-taruṇa-jana-va</w:t>
            </w:r>
            <w:r>
              <w:rPr>
                <w:rStyle w:val="Code"/>
              </w:rPr>
              <w:t xml:space="preserve">&lt;milestone </w:t>
            </w:r>
            <w:r>
              <w:rPr>
                <w:rStyle w:val="Codeattribute"/>
              </w:rPr>
              <w:t>type</w:t>
            </w:r>
            <w:r>
              <w:rPr>
                <w:rStyle w:val="Code"/>
              </w:rPr>
              <w:t>=</w:t>
            </w:r>
            <w:r>
              <w:rPr>
                <w:rStyle w:val="Codevalue"/>
              </w:rPr>
              <w:t>"yati"</w:t>
            </w:r>
            <w:r>
              <w:rPr>
                <w:rStyle w:val="Code"/>
              </w:rPr>
              <w:t xml:space="preserve"> </w:t>
            </w:r>
            <w:r>
              <w:rPr>
                <w:rStyle w:val="Codeattribute"/>
              </w:rPr>
              <w:t>break</w:t>
            </w:r>
            <w:r>
              <w:rPr>
                <w:rStyle w:val="Code"/>
              </w:rPr>
              <w:t>=</w:t>
            </w:r>
            <w:r>
              <w:rPr>
                <w:rStyle w:val="Codevalue"/>
              </w:rPr>
              <w:t>"no"</w:t>
            </w:r>
            <w:r>
              <w:rPr>
                <w:rStyle w:val="Code"/>
              </w:rPr>
              <w:t>&gt;</w:t>
            </w:r>
            <w:r>
              <w:rPr>
                <w:rStyle w:val="Codetext"/>
              </w:rPr>
              <w:t>llabhāṅganā-vipula-kānta-pīnoru|</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"cd"</w:t>
            </w:r>
            <w:r>
              <w:rPr>
                <w:rStyle w:val="Code"/>
              </w:rPr>
              <w:t>&gt;-</w:t>
            </w:r>
            <w:r>
              <w:rPr>
                <w:rStyle w:val="Codetext"/>
              </w:rPr>
              <w:t>stana-jaghana-ghanāliṅgana-nirbhartsita-tuhina-hima-pāte||</w:t>
            </w:r>
            <w:r>
              <w:rPr>
                <w:rStyle w:val="Code"/>
              </w:rPr>
              <w:t>&lt;/l&gt;</w:t>
            </w:r>
            <w:r>
              <w:rPr>
                <w:rStyle w:val="Codetext"/>
              </w:rPr>
              <w:br/>
            </w:r>
            <w:r>
              <w:rPr>
                <w:rStyle w:val="Code"/>
              </w:rPr>
              <w:t>&lt;/lg&gt;</w:t>
            </w:r>
          </w:p>
        </w:tc>
      </w:tr>
      <w:tr>
        <w:tc>
          <w:tcPr>
            <w:tcW w:w="5000" w:type="pct"/>
          </w:tcPr>
          <w:p>
            <w:pPr>
              <w:pStyle w:val="TableNote"/>
            </w:pPr>
            <w:r>
              <w:t>the unobserved caesura is optionally encoded as per §</w:t>
            </w:r>
            <w:r>
              <w:fldChar w:fldCharType="begin"/>
            </w:r>
            <w:r>
              <w:instrText xml:space="preserve"> REF _Ref224729838 \r \h </w:instrText>
            </w:r>
            <w:r>
              <w:fldChar w:fldCharType="separate"/>
            </w:r>
            <w:r>
              <w:t>3.3.4.3</w:t>
            </w:r>
            <w:r>
              <w:fldChar w:fldCharType="end"/>
            </w:r>
            <w:r>
              <w:t xml:space="preserve"> </w:t>
            </w:r>
          </w:p>
          <w:p>
            <w:pPr>
              <w:pStyle w:val="TableNote"/>
              <w:rPr>
                <w:rStyle w:val="Code"/>
                <w:rFonts w:ascii="Calibri" w:hAnsi="Calibri" w:cs="Arial Unicode MS"/>
                <w:noProof w:val="0"/>
                <w:color w:val="auto"/>
                <w:shd w:val="clear" w:color="auto" w:fill="auto"/>
              </w:rPr>
            </w:pPr>
            <w:r>
              <w:t xml:space="preserve">since the hemistich boundary is within a compound, </w:t>
            </w:r>
            <w:r>
              <w:rPr>
                <w:rStyle w:val="Codeattribute"/>
              </w:rPr>
              <w:t>@enjamb</w:t>
            </w:r>
            <w:r>
              <w:t xml:space="preserve"> is added to the first </w:t>
            </w:r>
            <w:r>
              <w:rPr>
                <w:rStyle w:val="Foreign"/>
              </w:rPr>
              <w:t>pāda</w:t>
            </w:r>
            <w:r>
              <w:t xml:space="preserve"> as per §</w:t>
            </w:r>
            <w:r>
              <w:fldChar w:fldCharType="begin"/>
            </w:r>
            <w:r>
              <w:instrText xml:space="preserve"> REF _Ref225326474 \r \h </w:instrText>
            </w:r>
            <w:r>
              <w:fldChar w:fldCharType="separate"/>
            </w:r>
            <w:r>
              <w:t>3.2.4.1</w:t>
            </w:r>
            <w:r>
              <w:fldChar w:fldCharType="end"/>
            </w:r>
            <w:r>
              <w:rPr>
                <w:rStyle w:val="Code"/>
                <w:rFonts w:ascii="Calibri" w:hAnsi="Calibri" w:cs="Arial Unicode MS"/>
                <w:noProof w:val="0"/>
                <w:color w:val="auto"/>
                <w:shd w:val="clear" w:color="auto" w:fill="auto"/>
              </w:rPr>
              <w:t xml:space="preserve"> </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45" w:name="_Ref44077336"/>
            <w:r>
              <w:t xml:space="preserve">Exhibit </w:t>
            </w:r>
            <w:fldSimple w:instr=" STYLEREF 2 \s ">
              <w:r>
                <w:rPr>
                  <w:noProof/>
                </w:rPr>
                <w:t>3.3</w:t>
              </w:r>
            </w:fldSimple>
            <w:r>
              <w:t>.</w:t>
            </w:r>
            <w:fldSimple w:instr=" SEQ Exhibit \* ALPHABETIC \s 2 ">
              <w:r>
                <w:rPr>
                  <w:noProof/>
                </w:rPr>
                <w:t>H</w:t>
              </w:r>
            </w:fldSimple>
            <w:bookmarkEnd w:id="145"/>
            <w:r>
              <w:t xml:space="preserve">: </w:t>
            </w:r>
            <w:r>
              <w:rPr>
                <w:rStyle w:val="Foreign"/>
              </w:rPr>
              <w:t>varṇavr̥tta</w:t>
            </w:r>
            <w:r>
              <w:t xml:space="preserve"> verse with unobserved caesura and enjambement</w:t>
            </w:r>
          </w:p>
        </w:tc>
      </w:tr>
      <w:tr>
        <w:tc>
          <w:tcPr>
            <w:tcW w:w="5000" w:type="pct"/>
          </w:tcPr>
          <w:p>
            <w:pPr>
              <w:pStyle w:val="CodeParagraph"/>
              <w:keepNext/>
            </w:pP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"pr̥thvī"</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w:t>
            </w:r>
            <w:r>
              <w:rPr>
                <w:rStyle w:val="Code"/>
              </w:rPr>
              <w:t>&gt;</w:t>
            </w:r>
            <w:r>
              <w:rPr>
                <w:rStyle w:val="Codetext"/>
              </w:rPr>
              <w:t>pradāna-bhuja-vikkrama-praśama-śāstra-vākyodayair</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"b"</w:t>
            </w:r>
            <w:r>
              <w:rPr>
                <w:rStyle w:val="Code"/>
              </w:rPr>
              <w:t>&gt;</w:t>
            </w:r>
            <w:r>
              <w:rPr>
                <w:rStyle w:val="Codetext"/>
              </w:rPr>
              <w:t>uparyyupari-sañcayocchritam aneka-mārggaṁ yaśaḥ</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 xml:space="preserve"> </w:t>
            </w:r>
            <w:r>
              <w:rPr>
                <w:rStyle w:val="Codeattribute"/>
              </w:rPr>
              <w:t>enjamb</w:t>
            </w:r>
            <w:r>
              <w:rPr>
                <w:rStyle w:val="Code"/>
              </w:rPr>
              <w:t>=</w:t>
            </w:r>
            <w:r>
              <w:rPr>
                <w:rStyle w:val="Codevalue"/>
              </w:rPr>
              <w:t>"yes"</w:t>
            </w:r>
            <w:r>
              <w:rPr>
                <w:rStyle w:val="Code"/>
              </w:rPr>
              <w:t>&gt;</w:t>
            </w:r>
            <w:r>
              <w:rPr>
                <w:rStyle w:val="Codetext"/>
              </w:rPr>
              <w:t>punāti bhuvana-trayaṁ paśupater jjaṭāntar-guhā</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&gt;</w:t>
            </w:r>
            <w:r>
              <w:rPr>
                <w:rStyle w:val="Codetext"/>
              </w:rPr>
              <w:t>-nirodha-parimokṣa-śī</w:t>
            </w:r>
            <w:r>
              <w:rPr>
                <w:rStyle w:val="Code"/>
              </w:rPr>
              <w:t xml:space="preserve">&lt;milestone </w:t>
            </w:r>
            <w:r>
              <w:rPr>
                <w:rStyle w:val="Codeattribute"/>
              </w:rPr>
              <w:t>type</w:t>
            </w:r>
            <w:r>
              <w:rPr>
                <w:rStyle w:val="Code"/>
              </w:rPr>
              <w:t>=</w:t>
            </w:r>
            <w:r>
              <w:rPr>
                <w:rStyle w:val="Codevalue"/>
              </w:rPr>
              <w:t>"yati"</w:t>
            </w:r>
            <w:r>
              <w:rPr>
                <w:rStyle w:val="Code"/>
              </w:rPr>
              <w:t xml:space="preserve"> </w:t>
            </w:r>
            <w:r>
              <w:rPr>
                <w:rStyle w:val="Codeattribute"/>
              </w:rPr>
              <w:t>break</w:t>
            </w:r>
            <w:r>
              <w:rPr>
                <w:rStyle w:val="Code"/>
              </w:rPr>
              <w:t>=</w:t>
            </w:r>
            <w:r>
              <w:rPr>
                <w:rStyle w:val="Codevalue"/>
              </w:rPr>
              <w:t>"no"</w:t>
            </w:r>
            <w:r>
              <w:rPr>
                <w:rStyle w:val="Code"/>
              </w:rPr>
              <w:t>&gt;</w:t>
            </w:r>
            <w:r>
              <w:rPr>
                <w:rStyle w:val="Codetext"/>
              </w:rPr>
              <w:t>ghram iva pāṇḍu gāṅgaṁ payaḥ</w:t>
            </w:r>
            <w:r>
              <w:rPr>
                <w:rStyle w:val="Code"/>
              </w:rPr>
              <w:t>&lt;/l&gt;</w:t>
            </w:r>
            <w:r>
              <w:rPr>
                <w:rStyle w:val="Codetext"/>
              </w:rPr>
              <w:br/>
            </w:r>
            <w:r>
              <w:rPr>
                <w:rStyle w:val="Code"/>
              </w:rPr>
              <w:t>&lt;/lg&gt;</w:t>
            </w:r>
          </w:p>
        </w:tc>
      </w:tr>
      <w:tr>
        <w:tc>
          <w:tcPr>
            <w:tcW w:w="5000" w:type="pct"/>
          </w:tcPr>
          <w:p>
            <w:pPr>
              <w:pStyle w:val="TableNote"/>
            </w:pPr>
            <w:r>
              <w:t>the unobserved caesura is optionally encoded as per §</w:t>
            </w:r>
            <w:r>
              <w:fldChar w:fldCharType="begin"/>
            </w:r>
            <w:r>
              <w:instrText xml:space="preserve"> REF _Ref224729838 \r \h </w:instrText>
            </w:r>
            <w:r>
              <w:fldChar w:fldCharType="separate"/>
            </w:r>
            <w:r>
              <w:t>3.3.4.3</w:t>
            </w:r>
            <w:r>
              <w:fldChar w:fldCharType="end"/>
            </w:r>
            <w:r>
              <w:t xml:space="preserve"> </w:t>
            </w:r>
          </w:p>
          <w:p>
            <w:pPr>
              <w:pStyle w:val="TableNote"/>
              <w:rPr>
                <w:rStyle w:val="Code"/>
                <w:rFonts w:ascii="Calibri" w:hAnsi="Calibri" w:cs="Arial Unicode MS"/>
                <w:noProof w:val="0"/>
                <w:color w:val="auto"/>
                <w:shd w:val="clear" w:color="auto" w:fill="auto"/>
              </w:rPr>
            </w:pPr>
            <w:r>
              <w:t xml:space="preserve">since the boundary of the third and fourth </w:t>
            </w:r>
            <w:r>
              <w:rPr>
                <w:rStyle w:val="Foreign"/>
              </w:rPr>
              <w:t>pāda</w:t>
            </w:r>
            <w:r>
              <w:rPr>
                <w:rStyle w:val="Foreign"/>
                <w:i w:val="0"/>
                <w:iCs w:val="0"/>
              </w:rPr>
              <w:t>s</w:t>
            </w:r>
            <w:r>
              <w:t xml:space="preserve"> is within a compound, </w:t>
            </w:r>
            <w:r>
              <w:rPr>
                <w:rStyle w:val="Codeattribute"/>
              </w:rPr>
              <w:t>@enjamb</w:t>
            </w:r>
            <w:r>
              <w:t xml:space="preserve"> is added to the third line as per §</w:t>
            </w:r>
            <w:r>
              <w:fldChar w:fldCharType="begin"/>
            </w:r>
            <w:r>
              <w:instrText xml:space="preserve"> REF _Ref225326474 \r \h </w:instrText>
            </w:r>
            <w:r>
              <w:fldChar w:fldCharType="separate"/>
            </w:r>
            <w:r>
              <w:t>3.2.4.1</w:t>
            </w:r>
            <w:r>
              <w:fldChar w:fldCharType="end"/>
            </w:r>
            <w:r>
              <w:rPr>
                <w:rStyle w:val="Code"/>
                <w:rFonts w:ascii="Calibri" w:hAnsi="Calibri" w:cs="Arial Unicode MS"/>
                <w:noProof w:val="0"/>
                <w:color w:val="auto"/>
                <w:shd w:val="clear" w:color="auto" w:fill="auto"/>
              </w:rPr>
              <w:t xml:space="preserve"> </w:t>
            </w:r>
          </w:p>
        </w:tc>
      </w:tr>
    </w:tbl>
    <w:p>
      <w:pPr>
        <w:pStyle w:val="Cmsor1"/>
      </w:pPr>
      <w:bookmarkStart w:id="146" w:name="_u75tldno8fkf" w:colFirst="0" w:colLast="0"/>
      <w:bookmarkStart w:id="147" w:name="_Ref225261475"/>
      <w:bookmarkEnd w:id="146"/>
      <w:r>
        <w:lastRenderedPageBreak/>
        <w:t>Extrinsic structure</w:t>
      </w:r>
      <w:bookmarkEnd w:id="147"/>
    </w:p>
    <w:p>
      <w:pPr>
        <w:pStyle w:val="Cmsor2"/>
      </w:pPr>
      <w:bookmarkStart w:id="148" w:name="_Ref182923075"/>
      <w:bookmarkStart w:id="149" w:name="_Ref225155416"/>
      <w:r>
        <w:t>Representing extrinsic structure</w:t>
      </w:r>
      <w:bookmarkEnd w:id="148"/>
    </w:p>
    <w:p>
      <w:r>
        <w:t xml:space="preserve">Of the various parallel, and more or less hierarchical, structures present in a written text, two are particularly relevant to encoding in the DHARMA scheme. </w:t>
      </w:r>
      <w:r>
        <w:rPr>
          <w:i/>
          <w:iCs/>
        </w:rPr>
        <w:t>Extrinsic structure</w:t>
      </w:r>
      <w:r>
        <w:t xml:space="preserve"> refers to the physical structure of a text “as document” in the terminology of </w:t>
      </w:r>
      <w:r>
        <w:rPr>
          <w:noProof/>
        </w:rPr>
        <w:t>Tanselle</w:t>
      </w:r>
      <w:r>
        <w:t xml:space="preserve"> (1989), i.e. the text in a particular, tangible manifestation. This is contrasted with </w:t>
      </w:r>
      <w:r>
        <w:rPr>
          <w:i/>
          <w:iCs/>
        </w:rPr>
        <w:t>intrinsic structure</w:t>
      </w:r>
      <w:r>
        <w:t xml:space="preserve"> (§</w:t>
      </w:r>
      <w:r>
        <w:fldChar w:fldCharType="begin"/>
      </w:r>
      <w:r>
        <w:instrText xml:space="preserve"> REF _Ref43978632 \r \h </w:instrText>
      </w:r>
      <w:r>
        <w:fldChar w:fldCharType="separate"/>
      </w:r>
      <w:r>
        <w:t>3</w:t>
      </w:r>
      <w:r>
        <w:fldChar w:fldCharType="end"/>
      </w:r>
      <w:r>
        <w:t xml:space="preserve">), which is the structure of the text “as work,” viewed as an abstract, intangible entity. In a quintessential book, extrinsic structure might comprise a number of fascicles or gatherings, each containing a number of pages, each containing a number of lines. The extrinsic structure of inscriptions is comprised, at the minimum, of an inscribed field (also called a </w:t>
      </w:r>
      <w:r>
        <w:rPr>
          <w:rStyle w:val="Foreign"/>
        </w:rPr>
        <w:t>campus</w:t>
      </w:r>
      <w:r>
        <w:t>), within which there is at least one line, but usually several lines of inscribed text. In more complex cases, the inscribed field may consist of physically distinct subfields (such as pages in a set of copper plates, the faces of a stele, or different limbs of a statue), each of which contain one or more lines. Such hierarchical divisions of extrinsic structure may coincide with breaks in intrinsic structure (for example: verse lines may be printed as physical lines; new chapters can begin on new pages, etc.), but they do not necessarily do so; indeed, in the actual practice of the documents we edit, they usually do not. Extrinsic structure can also involve non-hierarchical divisions, less typical in codicology but fairly common in inscriptions which may, for example, be written on a three-dimensional support so that some or all lines continue across a number of distinct surfaces such as the faces of a polygonal pillar or a series of masonry blocks in a wall, or may come to us in fragments.</w:t>
      </w:r>
    </w:p>
    <w:p>
      <w:pPr>
        <w:pStyle w:val="Normlbehzs"/>
      </w:pPr>
      <w:r>
        <w:t xml:space="preserve">In order to encode the extrinsic structure of any inscription consisting of more than one distinct zone, you must determine the nature of the boundary between those zones. We refer to such boundaries as </w:t>
      </w:r>
      <w:r>
        <w:rPr>
          <w:i/>
          <w:iCs/>
        </w:rPr>
        <w:t>partitions</w:t>
      </w:r>
      <w:r>
        <w:t xml:space="preserve">, and classify them into three categories on the basis of their rank in the hierarchy of extrinsic structure and their relation to the hierarchy of intrinsic structure. The possible patterns of this interaction, abstracted from physical layout, are illustrated in </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 xml:space="preserve">, which represents zones with light blue rectangles, lines with dark blue oblongs, and the linear flow of the text with a red line. Zones are shown as being side by side and identical in size and shape, and lines are shown as one below another, again identical in size and shape, but this is only for schematic representation. The actual topology of the zones laid out on the support is completely irrelevant to this classification, and the same functional patterns can be present in zones and lines of any size, shape and arrangement. The question to ask yourself while choosing the right encoding for a partition is this: </w:t>
      </w:r>
      <w:r>
        <w:rPr>
          <w:i/>
          <w:iCs/>
        </w:rPr>
        <w:t>what does the text do as it reaches the boundary of a zone?</w:t>
      </w:r>
    </w:p>
    <w:tbl>
      <w:tblPr>
        <w:tblStyle w:val="FigureTable"/>
        <w:tblW w:w="5000" w:type="pct"/>
        <w:tblLook w:val="04A0" w:firstRow="1" w:lastRow="0" w:firstColumn="1" w:lastColumn="0" w:noHBand="0" w:noVBand="1"/>
      </w:tblPr>
      <w:tblGrid>
        <w:gridCol w:w="3210"/>
        <w:gridCol w:w="3210"/>
        <w:gridCol w:w="3208"/>
      </w:tblGrid>
      <w:tr>
        <w:trPr>
          <w:cnfStyle w:val="100000000000" w:firstRow="1" w:lastRow="0" w:firstColumn="0" w:lastColumn="0" w:oddVBand="0" w:evenVBand="0" w:oddHBand="0" w:evenHBand="0" w:firstRowFirstColumn="0" w:firstRowLastColumn="0" w:lastRowFirstColumn="0" w:lastRowLastColumn="0"/>
        </w:trPr>
        <w:tc>
          <w:tcPr>
            <w:tcW w:w="5000" w:type="pct"/>
            <w:gridSpan w:val="3"/>
          </w:tcPr>
          <w:p>
            <w:pPr>
              <w:pStyle w:val="Kpalrs"/>
            </w:pPr>
            <w:bookmarkStart w:id="150" w:name="_Ref224742060"/>
            <w:bookmarkStart w:id="151" w:name="_Ref224742059"/>
            <w:r>
              <w:t xml:space="preserve">Exhibit </w:t>
            </w:r>
            <w:fldSimple w:instr=" STYLEREF 2 \s ">
              <w:r>
                <w:rPr>
                  <w:noProof/>
                </w:rPr>
                <w:t>4.1</w:t>
              </w:r>
            </w:fldSimple>
            <w:r>
              <w:t>.</w:t>
            </w:r>
            <w:fldSimple w:instr=" SEQ Exhibit \* ALPHABETIC \s 2 ">
              <w:r>
                <w:rPr>
                  <w:noProof/>
                </w:rPr>
                <w:t>A</w:t>
              </w:r>
            </w:fldSimple>
            <w:bookmarkEnd w:id="150"/>
            <w:r>
              <w:t>. Functional patterns of partitions interacting with intrinsic structure and lines</w:t>
            </w:r>
            <w:bookmarkEnd w:id="151"/>
          </w:p>
        </w:tc>
      </w:tr>
      <w:tr>
        <w:tc>
          <w:tcPr>
            <w:tcW w:w="1667" w:type="pct"/>
          </w:tcPr>
          <w:p>
            <w:pPr>
              <w:pStyle w:val="Image"/>
            </w:pPr>
            <w:r>
              <w:t>1</w:t>
            </w:r>
          </w:p>
        </w:tc>
        <w:tc>
          <w:tcPr>
            <w:tcW w:w="1667" w:type="pct"/>
          </w:tcPr>
          <w:p>
            <w:pPr>
              <w:pStyle w:val="Image"/>
            </w:pPr>
            <w:r>
              <w:t>2</w:t>
            </w:r>
          </w:p>
        </w:tc>
        <w:tc>
          <w:tcPr>
            <w:tcW w:w="1666" w:type="pct"/>
          </w:tcPr>
          <w:p>
            <w:pPr>
              <w:pStyle w:val="Image"/>
            </w:pPr>
            <w:r>
              <w:t>3</w:t>
            </w:r>
          </w:p>
        </w:tc>
      </w:tr>
      <w:tr>
        <w:tc>
          <w:tcPr>
            <w:tcW w:w="1667" w:type="pct"/>
          </w:tcPr>
          <w:p>
            <w:pPr>
              <w:pStyle w:val="Image"/>
            </w:pPr>
            <w:r>
              <w:drawing>
                <wp:inline distT="0" distB="0" distL="0" distR="0">
                  <wp:extent cx="1557412" cy="911853"/>
                  <wp:effectExtent l="0" t="0" r="5080" b="3175"/>
                  <wp:docPr id="5" name="image8.png"/>
                  <wp:cNvGraphicFramePr/>
                  <a:graphic xmlns:a="http://schemas.openxmlformats.org/drawingml/2006/main">
                    <a:graphicData uri="http://schemas.openxmlformats.org/drawingml/2006/picture">
                      <pic:pic xmlns:pic="http://schemas.openxmlformats.org/drawingml/2006/picture">
                        <pic:nvPicPr>
                          <pic:cNvPr id="5" name="image8.png"/>
                          <pic:cNvPicPr preferRelativeResize="0"/>
                        </pic:nvPicPr>
                        <pic:blipFill>
                          <a:blip r:embed="rId13"/>
                          <a:stretch>
                            <a:fillRect/>
                          </a:stretch>
                        </pic:blipFill>
                        <pic:spPr>
                          <a:xfrm>
                            <a:off x="0" y="0"/>
                            <a:ext cx="1557412" cy="911853"/>
                          </a:xfrm>
                          <a:prstGeom prst="rect">
                            <a:avLst/>
                          </a:prstGeom>
                          <a:ln/>
                        </pic:spPr>
                      </pic:pic>
                    </a:graphicData>
                  </a:graphic>
                </wp:inline>
              </w:drawing>
            </w:r>
          </w:p>
        </w:tc>
        <w:tc>
          <w:tcPr>
            <w:tcW w:w="1667" w:type="pct"/>
          </w:tcPr>
          <w:p>
            <w:pPr>
              <w:pStyle w:val="Image"/>
            </w:pPr>
            <w:r>
              <w:drawing>
                <wp:inline distT="0" distB="0" distL="0" distR="0">
                  <wp:extent cx="1731600" cy="914400"/>
                  <wp:effectExtent l="0" t="0" r="2540" b="0"/>
                  <wp:docPr id="28" name="image23.png"/>
                  <wp:cNvGraphicFramePr/>
                  <a:graphic xmlns:a="http://schemas.openxmlformats.org/drawingml/2006/main">
                    <a:graphicData uri="http://schemas.openxmlformats.org/drawingml/2006/picture">
                      <pic:pic xmlns:pic="http://schemas.openxmlformats.org/drawingml/2006/picture">
                        <pic:nvPicPr>
                          <pic:cNvPr id="28" name="image23.png"/>
                          <pic:cNvPicPr preferRelativeResize="0"/>
                        </pic:nvPicPr>
                        <pic:blipFill>
                          <a:blip r:embed="rId14"/>
                          <a:srcRect t="4904" b="4904"/>
                          <a:stretch>
                            <a:fillRect/>
                          </a:stretch>
                        </pic:blipFill>
                        <pic:spPr>
                          <a:xfrm>
                            <a:off x="0" y="0"/>
                            <a:ext cx="1731600" cy="914400"/>
                          </a:xfrm>
                          <a:prstGeom prst="rect">
                            <a:avLst/>
                          </a:prstGeom>
                          <a:ln/>
                        </pic:spPr>
                      </pic:pic>
                    </a:graphicData>
                  </a:graphic>
                </wp:inline>
              </w:drawing>
            </w:r>
          </w:p>
        </w:tc>
        <w:tc>
          <w:tcPr>
            <w:tcW w:w="1666" w:type="pct"/>
          </w:tcPr>
          <w:p>
            <w:pPr>
              <w:pStyle w:val="Image"/>
            </w:pPr>
            <w:r>
              <w:drawing>
                <wp:inline distT="0" distB="0" distL="0" distR="0">
                  <wp:extent cx="1557412" cy="911853"/>
                  <wp:effectExtent l="0" t="0" r="5080" b="3175"/>
                  <wp:docPr id="19" name="image4.png"/>
                  <wp:cNvGraphicFramePr/>
                  <a:graphic xmlns:a="http://schemas.openxmlformats.org/drawingml/2006/main">
                    <a:graphicData uri="http://schemas.openxmlformats.org/drawingml/2006/picture">
                      <pic:pic xmlns:pic="http://schemas.openxmlformats.org/drawingml/2006/picture">
                        <pic:nvPicPr>
                          <pic:cNvPr id="19" name="image4.png"/>
                          <pic:cNvPicPr preferRelativeResize="0"/>
                        </pic:nvPicPr>
                        <pic:blipFill>
                          <a:blip r:embed="rId15"/>
                          <a:stretch>
                            <a:fillRect/>
                          </a:stretch>
                        </pic:blipFill>
                        <pic:spPr>
                          <a:xfrm>
                            <a:off x="0" y="0"/>
                            <a:ext cx="1557412" cy="911853"/>
                          </a:xfrm>
                          <a:prstGeom prst="rect">
                            <a:avLst/>
                          </a:prstGeom>
                          <a:ln/>
                        </pic:spPr>
                      </pic:pic>
                    </a:graphicData>
                  </a:graphic>
                </wp:inline>
              </w:drawing>
            </w:r>
          </w:p>
        </w:tc>
      </w:tr>
      <w:tr>
        <w:tc>
          <w:tcPr>
            <w:tcW w:w="1667" w:type="pct"/>
          </w:tcPr>
          <w:p>
            <w:pPr>
              <w:pStyle w:val="Tabletext"/>
              <w:keepNext/>
              <w:jc w:val="center"/>
            </w:pPr>
            <w:r>
              <w:t>text ends</w:t>
            </w:r>
          </w:p>
        </w:tc>
        <w:tc>
          <w:tcPr>
            <w:tcW w:w="1667" w:type="pct"/>
          </w:tcPr>
          <w:p>
            <w:pPr>
              <w:pStyle w:val="Tabletext"/>
              <w:keepNext/>
              <w:jc w:val="center"/>
            </w:pPr>
            <w:r>
              <w:t>texts flows on</w:t>
            </w:r>
          </w:p>
        </w:tc>
        <w:tc>
          <w:tcPr>
            <w:tcW w:w="1666" w:type="pct"/>
          </w:tcPr>
          <w:p>
            <w:pPr>
              <w:pStyle w:val="Tabletext"/>
              <w:keepNext/>
              <w:jc w:val="center"/>
            </w:pPr>
            <w:r>
              <w:t>text runs across</w:t>
            </w:r>
          </w:p>
        </w:tc>
      </w:tr>
      <w:tr>
        <w:tc>
          <w:tcPr>
            <w:tcW w:w="1667" w:type="pct"/>
          </w:tcPr>
          <w:p>
            <w:pPr>
              <w:pStyle w:val="Tabletext"/>
              <w:keepNext/>
              <w:jc w:val="center"/>
            </w:pPr>
            <w:r>
              <w:t>boxlike partition, §</w:t>
            </w:r>
            <w:r>
              <w:fldChar w:fldCharType="begin"/>
            </w:r>
            <w:r>
              <w:instrText xml:space="preserve"> REF _Ref225155416 \r \h </w:instrText>
            </w:r>
            <w:r>
              <w:fldChar w:fldCharType="separate"/>
            </w:r>
            <w:r>
              <w:t>4.1</w:t>
            </w:r>
            <w:r>
              <w:fldChar w:fldCharType="end"/>
            </w:r>
            <w:r>
              <w:t xml:space="preserve"> </w:t>
            </w:r>
          </w:p>
        </w:tc>
        <w:tc>
          <w:tcPr>
            <w:tcW w:w="1667" w:type="pct"/>
          </w:tcPr>
          <w:p>
            <w:pPr>
              <w:pStyle w:val="Tabletext"/>
              <w:keepNext/>
              <w:jc w:val="center"/>
            </w:pPr>
            <w:r>
              <w:t>pagelike partition, §</w:t>
            </w:r>
            <w:r>
              <w:fldChar w:fldCharType="begin"/>
            </w:r>
            <w:r>
              <w:instrText xml:space="preserve"> REF _Ref233982406 \r \h </w:instrText>
            </w:r>
            <w:r>
              <w:fldChar w:fldCharType="separate"/>
            </w:r>
            <w:r>
              <w:t>4.4</w:t>
            </w:r>
            <w:r>
              <w:fldChar w:fldCharType="end"/>
            </w:r>
          </w:p>
        </w:tc>
        <w:tc>
          <w:tcPr>
            <w:tcW w:w="1666" w:type="pct"/>
          </w:tcPr>
          <w:p>
            <w:pPr>
              <w:pStyle w:val="Tabletext"/>
              <w:keepNext/>
              <w:jc w:val="center"/>
            </w:pPr>
            <w:r>
              <w:t>gridlike partition, §</w:t>
            </w:r>
            <w:r>
              <w:fldChar w:fldCharType="begin"/>
            </w:r>
            <w:r>
              <w:instrText xml:space="preserve"> REF _Ref43984651 \w \h  \* MERGEFORMAT </w:instrText>
            </w:r>
            <w:r>
              <w:fldChar w:fldCharType="separate"/>
            </w:r>
            <w:r>
              <w:t>4.6</w:t>
            </w:r>
            <w:r>
              <w:fldChar w:fldCharType="end"/>
            </w:r>
          </w:p>
        </w:tc>
      </w:tr>
    </w:tbl>
    <w:p/>
    <w:p>
      <w:r>
        <w:t>If the text progresses through all lines of a zone and ends there (</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 xml:space="preserve">/1), with the first zone comprising an integral and complete semantic unit and the text essentially starting anew in the second zone as an independent, likewise integral and complete semantic unit, then you have a </w:t>
      </w:r>
      <w:r>
        <w:rPr>
          <w:b/>
          <w:bCs/>
        </w:rPr>
        <w:t>boxlike partition</w:t>
      </w:r>
      <w:r>
        <w:t xml:space="preserve">. Boxlike partitions are thus like chapters in a book — especially short stories in an anthology or scholarly articles in a compiled volume — that together comprise a whole, and may not need to be read in a particular sequence. Another applicable book analogy is the relation of the title page, the front matter, the actual book content </w:t>
      </w:r>
      <w:r>
        <w:lastRenderedPageBreak/>
        <w:t>and the blurb. We call such a partition boxlike because each one is a functional box enclosing a discrete segment of text that is complete in itself. In terms of structural hierarchies, a boxlike partition occurs when units of extrinsic and intrinsic structure coincide, so that a physical boundary coincides with a semantic boundary. In the extrinsic hierarchy itself, a boxlike partition is the uppermost tier.</w:t>
      </w:r>
    </w:p>
    <w:p>
      <w:pPr>
        <w:pStyle w:val="Normlbehzs"/>
      </w:pPr>
      <w:r>
        <w:t xml:space="preserve">If the text progresses through all lines of a zone and then flows on to the next zone </w:t>
      </w:r>
      <w:r>
        <w:rPr>
          <w:noProof/>
        </w:rPr>
        <w:t>(</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 xml:space="preserve">/2), without the necessary presence of a major semantic break, then you have a </w:t>
      </w:r>
      <w:r>
        <w:rPr>
          <w:b/>
          <w:bCs/>
        </w:rPr>
        <w:t>pagelike partition</w:t>
      </w:r>
      <w:r>
        <w:t>. A pagelike partition is, unsurprisingly, like that of pages within a single chapter of a book, or of columns on a newspaper page. Each zone is physically distinct, but the units of intrinsic structure do not necessarily coincide with the zones. Thus, the partition normally occurs inside a block-level element of intrinsic structure, although it may — incidentally — be at a break in intrinsic structure. In terms of structural hierarchies, a pagelike partition is purely a feature of extrinsic structure, and its position in the extrinsic hierarchy is above that of lines, so that each pagelike zone is constituted of a number of lines.</w:t>
      </w:r>
    </w:p>
    <w:p>
      <w:pPr>
        <w:pStyle w:val="Normlbehzs"/>
      </w:pPr>
      <w:r>
        <w:t xml:space="preserve">Finally, if one or more lines of the text run across from one zone into the next </w:t>
      </w:r>
      <w:r>
        <w:rPr>
          <w:noProof/>
        </w:rPr>
        <w:t>(</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 xml:space="preserve">/3) before continuing to the next line in the first zone, then you have a </w:t>
      </w:r>
      <w:r>
        <w:rPr>
          <w:b/>
          <w:bCs/>
        </w:rPr>
        <w:t>gridlike partition</w:t>
      </w:r>
      <w:r>
        <w:t>. A gridlike partition is like the grid of a table where each row consists of a number of cells. Line after line, the text carries seamlessly on through the grid, although here too, partitions may in some cases coincide with boundaries of the intrinsic structure, for example in the case of verse laid out in a columnlike structure (§</w:t>
      </w:r>
      <w:r>
        <w:fldChar w:fldCharType="begin"/>
      </w:r>
      <w:r>
        <w:instrText xml:space="preserve"> REF _Ref225865506 \r \h </w:instrText>
      </w:r>
      <w:r>
        <w:fldChar w:fldCharType="separate"/>
      </w:r>
      <w:r>
        <w:t>4.7.5.3</w:t>
      </w:r>
      <w:r>
        <w:fldChar w:fldCharType="end"/>
      </w:r>
      <w:r>
        <w:t>). In terms of structural hierarchies, a gridlike partition is again purely a feature of extrinsic structure, but it is independent of the hierarchy constituted of lines, subfields and the campus. It does, however, affect the hierarchy of extrinsic structure because it may cut across the units of that hierarchy, including lines, and thus effectively create a subdivision below the level of lines, so that each line is constituted of a number of gridlike zones.</w:t>
      </w:r>
    </w:p>
    <w:p>
      <w:pPr>
        <w:pStyle w:val="Normlbehzs"/>
      </w:pPr>
      <w:r>
        <w:t>Because XML cannot include overlapping hierarchies (§</w:t>
      </w:r>
      <w:r>
        <w:fldChar w:fldCharType="begin"/>
      </w:r>
      <w:r>
        <w:instrText xml:space="preserve"> REF _Ref224893456 \r \h </w:instrText>
      </w:r>
      <w:r>
        <w:fldChar w:fldCharType="separate"/>
      </w:r>
      <w:r>
        <w:t>2.2.4</w:t>
      </w:r>
      <w:r>
        <w:fldChar w:fldCharType="end"/>
      </w:r>
      <w:r>
        <w:t>) and the hierarchy of XML elements in our edition is dedicated to the representation of intrinsic structure (§</w:t>
      </w:r>
      <w:r>
        <w:fldChar w:fldCharType="begin"/>
      </w:r>
      <w:r>
        <w:instrText xml:space="preserve"> REF _Ref225153755 \r \h </w:instrText>
      </w:r>
      <w:r>
        <w:fldChar w:fldCharType="separate"/>
      </w:r>
      <w:r>
        <w:t>3.1</w:t>
      </w:r>
      <w:r>
        <w:fldChar w:fldCharType="end"/>
      </w:r>
      <w:r>
        <w:t>), we cannot use block-level elements for representing units of extrinsic structure unless they are units which, by nature, always coincide with units of intrinsic structure. As evident from the above classification, this is true of boxlike partitions. These are thus encoded as textpart divisions, which are also the uppermost tier in the encoding of intrinsic structure. However, the hierarchically lower units of extrinsic structure do not consistently correspond to units of intrinsic structure, so they necessitate a different encoding approach. This employs empty elements (§</w:t>
      </w:r>
      <w:r>
        <w:fldChar w:fldCharType="begin"/>
      </w:r>
      <w:r>
        <w:instrText xml:space="preserve"> REF _Ref224893557 \r \h </w:instrText>
      </w:r>
      <w:r>
        <w:fldChar w:fldCharType="separate"/>
      </w:r>
      <w:r>
        <w:t>2.2.2</w:t>
      </w:r>
      <w:r>
        <w:fldChar w:fldCharType="end"/>
      </w:r>
      <w:r>
        <w:t>) corresponding to points of transition, rather than text-containing elements corresponding to structural units. This kind of element is called a milestone (§</w:t>
      </w:r>
      <w:r>
        <w:fldChar w:fldCharType="begin"/>
      </w:r>
      <w:r>
        <w:instrText xml:space="preserve"> REF _Ref225327729 \r \h </w:instrText>
      </w:r>
      <w:r>
        <w:fldChar w:fldCharType="separate"/>
      </w:r>
      <w:r>
        <w:t>4.3</w:t>
      </w:r>
      <w:r>
        <w:fldChar w:fldCharType="end"/>
      </w:r>
      <w:r>
        <w:t xml:space="preserve">). Whereas for intrinsic structure, the start-tag and end-tag of a container enclose a unit such as a paragraph, for extrinsic structure we encode a single milestone at the beginning of each unit such as a line. The encoding hierarchy of extrinsic structure is illustrated in </w:t>
      </w:r>
      <w:r>
        <w:fldChar w:fldCharType="begin"/>
      </w:r>
      <w:r>
        <w:instrText xml:space="preserve"> REF _Ref224829834 \h </w:instrText>
      </w:r>
      <w:r>
        <w:fldChar w:fldCharType="separate"/>
      </w:r>
      <w:r>
        <w:t xml:space="preserve">Exhibit </w:t>
      </w:r>
      <w:r>
        <w:rPr>
          <w:noProof/>
        </w:rPr>
        <w:t>4.1</w:t>
      </w:r>
      <w:r>
        <w:t>.</w:t>
      </w:r>
      <w:r>
        <w:rPr>
          <w:noProof/>
        </w:rPr>
        <w:t>B</w:t>
      </w:r>
      <w:r>
        <w:fldChar w:fldCharType="end"/>
      </w:r>
      <w:r>
        <w:t>, where saturated colours (green, blue and yellow) represent mandatory components of an edition, and pastel colours (light green, lavender and aqua) represent non-mandatory components. The labels in the Exhibit are shown in angle brackets to indicate that they correspond to XML elements, but the actual XML elements are introduced in the sections discussing their encoding.</w:t>
      </w:r>
    </w:p>
    <w:p/>
    <w:tbl>
      <w:tblPr>
        <w:tblStyle w:val="FigureTable"/>
        <w:tblW w:w="0" w:type="auto"/>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9628" w:type="dxa"/>
          </w:tcPr>
          <w:p>
            <w:pPr>
              <w:pStyle w:val="Kpalrs"/>
            </w:pPr>
            <w:bookmarkStart w:id="152" w:name="_Ref224829834"/>
            <w:r>
              <w:lastRenderedPageBreak/>
              <w:t xml:space="preserve">Exhibit </w:t>
            </w:r>
            <w:fldSimple w:instr=" STYLEREF 2 \s ">
              <w:r>
                <w:rPr>
                  <w:noProof/>
                </w:rPr>
                <w:t>4.1</w:t>
              </w:r>
            </w:fldSimple>
            <w:r>
              <w:t>.</w:t>
            </w:r>
            <w:fldSimple w:instr=" SEQ Exhibit \* ALPHABETIC \s 2 ">
              <w:r>
                <w:rPr>
                  <w:noProof/>
                </w:rPr>
                <w:t>B</w:t>
              </w:r>
            </w:fldSimple>
            <w:bookmarkEnd w:id="152"/>
            <w:r>
              <w:t>. the encoding hierarchy of extrinsic structure</w:t>
            </w:r>
          </w:p>
        </w:tc>
      </w:tr>
      <w:tr>
        <w:tc>
          <w:tcPr>
            <w:tcW w:w="9628" w:type="dxa"/>
          </w:tcPr>
          <w:tbl>
            <w:tblPr>
              <w:tblStyle w:val="Rcsostblzat"/>
              <w:tblW w:w="0" w:type="auto"/>
              <w:jc w:val="center"/>
              <w:tblBorders>
                <w:top w:val="double" w:sz="4" w:space="0" w:color="auto"/>
                <w:left w:val="double" w:sz="4" w:space="0" w:color="auto"/>
                <w:bottom w:val="double" w:sz="4" w:space="0" w:color="auto"/>
                <w:right w:val="double" w:sz="4"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284"/>
              <w:gridCol w:w="284"/>
              <w:gridCol w:w="284"/>
              <w:gridCol w:w="1701"/>
              <w:gridCol w:w="1701"/>
              <w:gridCol w:w="1134"/>
              <w:gridCol w:w="1701"/>
              <w:gridCol w:w="1134"/>
              <w:gridCol w:w="284"/>
              <w:gridCol w:w="284"/>
            </w:tblGrid>
            <w:tr>
              <w:trPr>
                <w:trHeight w:hRule="exact" w:val="397"/>
                <w:jc w:val="center"/>
              </w:trPr>
              <w:tc>
                <w:tcPr>
                  <w:tcW w:w="8791" w:type="dxa"/>
                  <w:gridSpan w:val="10"/>
                  <w:tcBorders>
                    <w:top w:val="double" w:sz="12" w:space="0" w:color="auto"/>
                    <w:left w:val="double" w:sz="12" w:space="0" w:color="auto"/>
                    <w:right w:val="double" w:sz="12" w:space="0" w:color="auto"/>
                  </w:tcBorders>
                  <w:shd w:val="clear" w:color="auto" w:fill="92D050"/>
                </w:tcPr>
                <w:p>
                  <w:pPr>
                    <w:pStyle w:val="Tabletext"/>
                    <w:keepNext/>
                    <w:keepLines/>
                    <w:ind w:firstLine="0"/>
                  </w:pPr>
                  <w:r>
                    <w:t>&lt;edition&gt; contains</w:t>
                  </w:r>
                </w:p>
              </w:tc>
            </w:tr>
            <w:tr>
              <w:trPr>
                <w:trHeight w:hRule="exact" w:val="284"/>
                <w:jc w:val="center"/>
              </w:trPr>
              <w:tc>
                <w:tcPr>
                  <w:tcW w:w="284" w:type="dxa"/>
                  <w:vMerge w:val="restart"/>
                  <w:tcBorders>
                    <w:top w:val="nil"/>
                    <w:left w:val="double" w:sz="12" w:space="0" w:color="auto"/>
                    <w:right w:val="double" w:sz="4" w:space="0" w:color="auto"/>
                  </w:tcBorders>
                  <w:shd w:val="clear" w:color="auto" w:fill="92D050"/>
                </w:tcPr>
                <w:p>
                  <w:pPr>
                    <w:pStyle w:val="Tabletext"/>
                    <w:keepNext/>
                    <w:keepLines/>
                    <w:ind w:firstLine="0"/>
                  </w:pPr>
                </w:p>
              </w:tc>
              <w:tc>
                <w:tcPr>
                  <w:tcW w:w="8223" w:type="dxa"/>
                  <w:gridSpan w:val="8"/>
                  <w:tcBorders>
                    <w:top w:val="double" w:sz="4" w:space="0" w:color="auto"/>
                    <w:left w:val="double" w:sz="4" w:space="0" w:color="auto"/>
                    <w:bottom w:val="nil"/>
                    <w:right w:val="double" w:sz="4" w:space="0" w:color="auto"/>
                  </w:tcBorders>
                  <w:shd w:val="clear" w:color="auto" w:fill="CCFFCC"/>
                </w:tcPr>
                <w:p>
                  <w:pPr>
                    <w:pStyle w:val="Tabletext"/>
                    <w:keepNext/>
                    <w:keepLines/>
                    <w:ind w:firstLine="0"/>
                  </w:pPr>
                  <w:r>
                    <w:t>&lt;textpart A&gt; contains</w:t>
                  </w:r>
                </w:p>
              </w:tc>
              <w:tc>
                <w:tcPr>
                  <w:tcW w:w="284" w:type="dxa"/>
                  <w:vMerge w:val="restart"/>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284" w:type="dxa"/>
                  <w:tcBorders>
                    <w:top w:val="nil"/>
                    <w:left w:val="double" w:sz="4" w:space="0" w:color="auto"/>
                    <w:right w:val="single" w:sz="4" w:space="0" w:color="auto"/>
                  </w:tcBorders>
                  <w:shd w:val="clear" w:color="auto" w:fill="CCFFCC"/>
                </w:tcPr>
                <w:p>
                  <w:pPr>
                    <w:pStyle w:val="Tabletext"/>
                    <w:keepNext/>
                    <w:keepLines/>
                    <w:ind w:firstLine="0"/>
                  </w:pPr>
                </w:p>
              </w:tc>
              <w:tc>
                <w:tcPr>
                  <w:tcW w:w="7655" w:type="dxa"/>
                  <w:gridSpan w:val="6"/>
                  <w:tcBorders>
                    <w:top w:val="single" w:sz="4" w:space="0" w:color="auto"/>
                    <w:left w:val="single" w:sz="4" w:space="0" w:color="auto"/>
                    <w:bottom w:val="nil"/>
                    <w:right w:val="single" w:sz="4" w:space="0" w:color="auto"/>
                  </w:tcBorders>
                  <w:shd w:val="clear" w:color="auto" w:fill="CCCCFF"/>
                </w:tcPr>
                <w:p>
                  <w:pPr>
                    <w:pStyle w:val="Tabletext"/>
                    <w:keepNext/>
                    <w:keepLines/>
                    <w:ind w:firstLine="0"/>
                  </w:pPr>
                  <w:r>
                    <w:t>&lt;page 1&gt; “contains”</w:t>
                  </w:r>
                </w:p>
              </w:tc>
              <w:tc>
                <w:tcPr>
                  <w:tcW w:w="284" w:type="dxa"/>
                  <w:vMerge w:val="restart"/>
                  <w:tcBorders>
                    <w:top w:val="nil"/>
                    <w:left w:val="single" w:sz="4" w:space="0" w:color="auto"/>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284" w:type="dxa"/>
                  <w:tcBorders>
                    <w:left w:val="double" w:sz="4" w:space="0" w:color="auto"/>
                    <w:right w:val="single" w:sz="4" w:space="0" w:color="auto"/>
                  </w:tcBorders>
                  <w:shd w:val="clear" w:color="auto" w:fill="CCFFCC"/>
                </w:tcPr>
                <w:p>
                  <w:pPr>
                    <w:pStyle w:val="Tabletext"/>
                    <w:keepNext/>
                    <w:keepLines/>
                    <w:ind w:firstLine="0"/>
                  </w:pPr>
                </w:p>
              </w:tc>
              <w:tc>
                <w:tcPr>
                  <w:tcW w:w="284" w:type="dxa"/>
                  <w:vMerge w:val="restart"/>
                  <w:tcBorders>
                    <w:top w:val="nil"/>
                    <w:left w:val="single" w:sz="4" w:space="0" w:color="auto"/>
                    <w:bottom w:val="dashed" w:sz="4" w:space="0" w:color="auto"/>
                    <w:right w:val="dashed" w:sz="4" w:space="0" w:color="auto"/>
                  </w:tcBorders>
                  <w:shd w:val="clear" w:color="auto" w:fill="CCCCFF"/>
                </w:tcPr>
                <w:p>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pPr>
                    <w:pStyle w:val="Tabletext"/>
                    <w:keepNext/>
                    <w:keepLines/>
                    <w:ind w:firstLine="0"/>
                  </w:pPr>
                  <w:r>
                    <w:t>&lt;line 1&gt;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pPr>
                    <w:pStyle w:val="Tabletext"/>
                    <w:keepNext/>
                    <w:keepLines/>
                    <w:ind w:firstLine="0"/>
                    <w:jc w:val="center"/>
                    <w:rPr>
                      <w:i/>
                      <w:iCs/>
                    </w:rPr>
                  </w:pPr>
                  <w:r>
                    <w:rPr>
                      <w:i/>
                      <w:iCs/>
                    </w:rPr>
                    <w:t>…text a…</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pPr>
                    <w:pStyle w:val="Tabletext"/>
                    <w:keepNext/>
                    <w:keepLines/>
                    <w:ind w:firstLine="0"/>
                    <w:jc w:val="center"/>
                    <w:rPr>
                      <w:i/>
                      <w:iCs/>
                    </w:rPr>
                  </w:pPr>
                  <w:r>
                    <w:rPr>
                      <w:i/>
                      <w:iCs/>
                    </w:rPr>
                    <w:t>…text b…</w:t>
                  </w:r>
                </w:p>
              </w:tc>
              <w:tc>
                <w:tcPr>
                  <w:tcW w:w="284" w:type="dxa"/>
                  <w:vMerge/>
                  <w:tcBorders>
                    <w:left w:val="single" w:sz="4" w:space="0" w:color="auto"/>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284" w:type="dxa"/>
                  <w:tcBorders>
                    <w:left w:val="double" w:sz="4" w:space="0" w:color="auto"/>
                    <w:right w:val="single" w:sz="4" w:space="0" w:color="auto"/>
                  </w:tcBorders>
                  <w:shd w:val="clear" w:color="auto" w:fill="CCFFCC"/>
                </w:tcPr>
                <w:p>
                  <w:pPr>
                    <w:pStyle w:val="Tabletext"/>
                    <w:keepNext/>
                    <w:keepLines/>
                    <w:ind w:firstLine="0"/>
                  </w:pPr>
                </w:p>
              </w:tc>
              <w:tc>
                <w:tcPr>
                  <w:tcW w:w="284" w:type="dxa"/>
                  <w:vMerge/>
                  <w:tcBorders>
                    <w:top w:val="single" w:sz="4" w:space="0" w:color="auto"/>
                    <w:left w:val="single" w:sz="4" w:space="0" w:color="auto"/>
                    <w:bottom w:val="dashed" w:sz="4" w:space="0" w:color="auto"/>
                    <w:right w:val="dashed" w:sz="4" w:space="0" w:color="auto"/>
                  </w:tcBorders>
                  <w:shd w:val="clear" w:color="auto" w:fill="CCCCFF"/>
                </w:tcPr>
                <w:p>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pPr>
                    <w:pStyle w:val="Tabletext"/>
                    <w:keepNext/>
                    <w:keepLines/>
                    <w:ind w:firstLine="0"/>
                  </w:pPr>
                  <w:r>
                    <w:t>&lt;line 2&gt;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pPr>
                    <w:pStyle w:val="Tabletext"/>
                    <w:keepNext/>
                    <w:keepLines/>
                    <w:ind w:firstLine="0"/>
                    <w:jc w:val="center"/>
                    <w:rPr>
                      <w:i/>
                      <w:iCs/>
                    </w:rPr>
                  </w:pPr>
                  <w:r>
                    <w:rPr>
                      <w:i/>
                      <w:iCs/>
                    </w:rPr>
                    <w:t>…text c…</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pPr>
                    <w:pStyle w:val="Tabletext"/>
                    <w:keepNext/>
                    <w:keepLines/>
                    <w:ind w:firstLine="0"/>
                    <w:jc w:val="center"/>
                    <w:rPr>
                      <w:i/>
                      <w:iCs/>
                    </w:rPr>
                  </w:pPr>
                  <w:r>
                    <w:rPr>
                      <w:i/>
                      <w:iCs/>
                    </w:rPr>
                    <w:t>…text d…</w:t>
                  </w:r>
                </w:p>
              </w:tc>
              <w:tc>
                <w:tcPr>
                  <w:tcW w:w="284" w:type="dxa"/>
                  <w:vMerge/>
                  <w:tcBorders>
                    <w:left w:val="single" w:sz="4" w:space="0" w:color="auto"/>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284" w:type="dxa"/>
                  <w:tcBorders>
                    <w:left w:val="double" w:sz="4" w:space="0" w:color="auto"/>
                    <w:right w:val="single" w:sz="4" w:space="0" w:color="auto"/>
                  </w:tcBorders>
                  <w:shd w:val="clear" w:color="auto" w:fill="CCFFCC"/>
                </w:tcPr>
                <w:p>
                  <w:pPr>
                    <w:pStyle w:val="Tabletext"/>
                    <w:keepNext/>
                    <w:keepLines/>
                    <w:ind w:firstLine="0"/>
                  </w:pPr>
                </w:p>
              </w:tc>
              <w:tc>
                <w:tcPr>
                  <w:tcW w:w="284" w:type="dxa"/>
                  <w:vMerge/>
                  <w:tcBorders>
                    <w:top w:val="single" w:sz="4" w:space="0" w:color="auto"/>
                    <w:left w:val="single" w:sz="4" w:space="0" w:color="auto"/>
                    <w:bottom w:val="dashed" w:sz="4" w:space="0" w:color="auto"/>
                    <w:right w:val="dashed" w:sz="4" w:space="0" w:color="auto"/>
                  </w:tcBorders>
                  <w:shd w:val="clear" w:color="auto" w:fill="CCCCFF"/>
                </w:tcPr>
                <w:p>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pPr>
                    <w:pStyle w:val="Tabletext"/>
                    <w:keepNext/>
                    <w:keepLines/>
                    <w:ind w:firstLine="0"/>
                  </w:pPr>
                  <w:r>
                    <w:t>&lt;line 3&gt;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pPr>
                    <w:pStyle w:val="Tabletext"/>
                    <w:keepNext/>
                    <w:keepLines/>
                    <w:ind w:firstLine="0"/>
                    <w:jc w:val="center"/>
                    <w:rPr>
                      <w:i/>
                      <w:iCs/>
                    </w:rPr>
                  </w:pPr>
                  <w:r>
                    <w:rPr>
                      <w:i/>
                      <w:iCs/>
                    </w:rPr>
                    <w:t>…text e…</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pPr>
                    <w:pStyle w:val="Tabletext"/>
                    <w:keepNext/>
                    <w:keepLines/>
                    <w:ind w:firstLine="0"/>
                    <w:jc w:val="center"/>
                    <w:rPr>
                      <w:i/>
                      <w:iCs/>
                    </w:rPr>
                  </w:pPr>
                  <w:r>
                    <w:rPr>
                      <w:i/>
                      <w:iCs/>
                    </w:rPr>
                    <w:t>…text f…</w:t>
                  </w:r>
                </w:p>
              </w:tc>
              <w:tc>
                <w:tcPr>
                  <w:tcW w:w="284" w:type="dxa"/>
                  <w:vMerge/>
                  <w:tcBorders>
                    <w:left w:val="single" w:sz="4" w:space="0" w:color="auto"/>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284" w:type="dxa"/>
                  <w:tcBorders>
                    <w:left w:val="double" w:sz="4" w:space="0" w:color="auto"/>
                    <w:right w:val="single" w:sz="4" w:space="0" w:color="auto"/>
                  </w:tcBorders>
                  <w:shd w:val="clear" w:color="auto" w:fill="CCFFCC"/>
                </w:tcPr>
                <w:p>
                  <w:pPr>
                    <w:pStyle w:val="Tabletext"/>
                    <w:keepNext/>
                    <w:keepLines/>
                    <w:ind w:firstLine="0"/>
                  </w:pPr>
                </w:p>
              </w:tc>
              <w:tc>
                <w:tcPr>
                  <w:tcW w:w="7655" w:type="dxa"/>
                  <w:gridSpan w:val="6"/>
                  <w:tcBorders>
                    <w:top w:val="nil"/>
                    <w:left w:val="single" w:sz="4" w:space="0" w:color="auto"/>
                    <w:bottom w:val="nil"/>
                    <w:right w:val="single" w:sz="4" w:space="0" w:color="auto"/>
                  </w:tcBorders>
                  <w:shd w:val="clear" w:color="auto" w:fill="CCCCFF"/>
                </w:tcPr>
                <w:p>
                  <w:pPr>
                    <w:pStyle w:val="Tabletext"/>
                    <w:keepNext/>
                    <w:keepLines/>
                    <w:ind w:firstLine="0"/>
                  </w:pPr>
                  <w:r>
                    <w:t>&lt;page 2&gt; “contains”</w:t>
                  </w:r>
                </w:p>
              </w:tc>
              <w:tc>
                <w:tcPr>
                  <w:tcW w:w="284" w:type="dxa"/>
                  <w:vMerge/>
                  <w:tcBorders>
                    <w:left w:val="single" w:sz="4" w:space="0" w:color="auto"/>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284" w:type="dxa"/>
                  <w:tcBorders>
                    <w:left w:val="double" w:sz="4" w:space="0" w:color="auto"/>
                    <w:right w:val="single" w:sz="4" w:space="0" w:color="auto"/>
                  </w:tcBorders>
                  <w:shd w:val="clear" w:color="auto" w:fill="CCFFCC"/>
                </w:tcPr>
                <w:p>
                  <w:pPr>
                    <w:pStyle w:val="Tabletext"/>
                    <w:keepNext/>
                    <w:keepLines/>
                    <w:ind w:firstLine="0"/>
                  </w:pPr>
                </w:p>
              </w:tc>
              <w:tc>
                <w:tcPr>
                  <w:tcW w:w="284" w:type="dxa"/>
                  <w:vMerge w:val="restart"/>
                  <w:tcBorders>
                    <w:top w:val="nil"/>
                    <w:left w:val="single" w:sz="4" w:space="0" w:color="auto"/>
                    <w:bottom w:val="single" w:sz="4" w:space="0" w:color="auto"/>
                    <w:right w:val="dashed" w:sz="4" w:space="0" w:color="auto"/>
                  </w:tcBorders>
                  <w:shd w:val="clear" w:color="auto" w:fill="CCCCFF"/>
                </w:tcPr>
                <w:p>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pPr>
                    <w:pStyle w:val="Tabletext"/>
                    <w:keepNext/>
                    <w:keepLines/>
                    <w:ind w:firstLine="0"/>
                  </w:pPr>
                  <w:r>
                    <w:t>&lt;line 4&gt;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C&gt;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pPr>
                    <w:pStyle w:val="Tabletext"/>
                    <w:keepNext/>
                    <w:keepLines/>
                    <w:ind w:firstLine="0"/>
                    <w:jc w:val="center"/>
                    <w:rPr>
                      <w:i/>
                      <w:iCs/>
                    </w:rPr>
                  </w:pPr>
                  <w:r>
                    <w:rPr>
                      <w:i/>
                      <w:iCs/>
                    </w:rPr>
                    <w:t>…text g…</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D&gt;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pPr>
                    <w:pStyle w:val="Tabletext"/>
                    <w:keepNext/>
                    <w:keepLines/>
                    <w:ind w:firstLine="0"/>
                    <w:jc w:val="center"/>
                    <w:rPr>
                      <w:i/>
                      <w:iCs/>
                    </w:rPr>
                  </w:pPr>
                  <w:r>
                    <w:rPr>
                      <w:i/>
                      <w:iCs/>
                    </w:rPr>
                    <w:t>…text h…</w:t>
                  </w:r>
                </w:p>
              </w:tc>
              <w:tc>
                <w:tcPr>
                  <w:tcW w:w="284" w:type="dxa"/>
                  <w:vMerge/>
                  <w:tcBorders>
                    <w:left w:val="single" w:sz="4" w:space="0" w:color="auto"/>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284" w:type="dxa"/>
                  <w:tcBorders>
                    <w:left w:val="double" w:sz="4" w:space="0" w:color="auto"/>
                    <w:right w:val="single" w:sz="4" w:space="0" w:color="auto"/>
                  </w:tcBorders>
                  <w:shd w:val="clear" w:color="auto" w:fill="CCFFCC"/>
                </w:tcPr>
                <w:p>
                  <w:pPr>
                    <w:pStyle w:val="Tabletext"/>
                    <w:keepNext/>
                    <w:keepLines/>
                    <w:ind w:firstLine="0"/>
                  </w:pPr>
                </w:p>
              </w:tc>
              <w:tc>
                <w:tcPr>
                  <w:tcW w:w="284" w:type="dxa"/>
                  <w:vMerge/>
                  <w:tcBorders>
                    <w:top w:val="nil"/>
                    <w:left w:val="single" w:sz="4" w:space="0" w:color="auto"/>
                    <w:bottom w:val="single" w:sz="4" w:space="0" w:color="auto"/>
                    <w:right w:val="dashed" w:sz="4" w:space="0" w:color="auto"/>
                  </w:tcBorders>
                  <w:shd w:val="clear" w:color="auto" w:fill="CCCCFF"/>
                </w:tcPr>
                <w:p>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pPr>
                    <w:pStyle w:val="Tabletext"/>
                    <w:keepNext/>
                    <w:keepLines/>
                    <w:ind w:firstLine="0"/>
                  </w:pPr>
                  <w:r>
                    <w:t>&lt;line 5&gt;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C&gt;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pPr>
                    <w:pStyle w:val="Tabletext"/>
                    <w:keepNext/>
                    <w:keepLines/>
                    <w:ind w:firstLine="0"/>
                    <w:jc w:val="center"/>
                    <w:rPr>
                      <w:i/>
                      <w:iCs/>
                    </w:rPr>
                  </w:pPr>
                  <w:r>
                    <w:rPr>
                      <w:i/>
                      <w:iCs/>
                    </w:rPr>
                    <w:t xml:space="preserve">…text </w:t>
                  </w:r>
                  <w:r>
                    <w:rPr>
                      <w:i/>
                      <w:iCs/>
                      <w:noProof/>
                    </w:rPr>
                    <w:t>i</w:t>
                  </w:r>
                  <w:r>
                    <w:rPr>
                      <w:i/>
                      <w:iCs/>
                    </w:rPr>
                    <w:t>…</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D&gt;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pPr>
                    <w:pStyle w:val="Tabletext"/>
                    <w:keepNext/>
                    <w:keepLines/>
                    <w:ind w:firstLine="0"/>
                    <w:jc w:val="center"/>
                    <w:rPr>
                      <w:i/>
                      <w:iCs/>
                    </w:rPr>
                  </w:pPr>
                  <w:r>
                    <w:rPr>
                      <w:i/>
                      <w:iCs/>
                    </w:rPr>
                    <w:t>…text j…</w:t>
                  </w:r>
                </w:p>
              </w:tc>
              <w:tc>
                <w:tcPr>
                  <w:tcW w:w="284" w:type="dxa"/>
                  <w:vMerge/>
                  <w:tcBorders>
                    <w:left w:val="single" w:sz="4" w:space="0" w:color="auto"/>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284" w:type="dxa"/>
                  <w:tcBorders>
                    <w:left w:val="double" w:sz="4" w:space="0" w:color="auto"/>
                    <w:bottom w:val="nil"/>
                    <w:right w:val="single" w:sz="4" w:space="0" w:color="auto"/>
                  </w:tcBorders>
                  <w:shd w:val="clear" w:color="auto" w:fill="CCFFCC"/>
                </w:tcPr>
                <w:p>
                  <w:pPr>
                    <w:pStyle w:val="Tabletext"/>
                    <w:keepNext/>
                    <w:keepLines/>
                    <w:ind w:firstLine="0"/>
                  </w:pPr>
                </w:p>
              </w:tc>
              <w:tc>
                <w:tcPr>
                  <w:tcW w:w="284" w:type="dxa"/>
                  <w:vMerge/>
                  <w:tcBorders>
                    <w:top w:val="nil"/>
                    <w:left w:val="single" w:sz="4" w:space="0" w:color="auto"/>
                    <w:bottom w:val="single" w:sz="4" w:space="0" w:color="auto"/>
                    <w:right w:val="dashed" w:sz="4" w:space="0" w:color="auto"/>
                  </w:tcBorders>
                  <w:shd w:val="clear" w:color="auto" w:fill="CCCCFF"/>
                </w:tcPr>
                <w:p>
                  <w:pPr>
                    <w:pStyle w:val="Tabletext"/>
                    <w:keepNext/>
                    <w:keepLines/>
                    <w:ind w:firstLine="0"/>
                  </w:pPr>
                </w:p>
              </w:tc>
              <w:tc>
                <w:tcPr>
                  <w:tcW w:w="1701" w:type="dxa"/>
                  <w:tcBorders>
                    <w:top w:val="dashed" w:sz="4" w:space="0" w:color="auto"/>
                    <w:left w:val="dashed" w:sz="4" w:space="0" w:color="auto"/>
                    <w:bottom w:val="single" w:sz="4" w:space="0" w:color="auto"/>
                    <w:right w:val="dashed" w:sz="4" w:space="0" w:color="auto"/>
                  </w:tcBorders>
                  <w:shd w:val="clear" w:color="auto" w:fill="00B0F0"/>
                </w:tcPr>
                <w:p>
                  <w:pPr>
                    <w:pStyle w:val="Tabletext"/>
                    <w:keepNext/>
                    <w:keepLines/>
                    <w:ind w:firstLine="0"/>
                  </w:pPr>
                  <w:r>
                    <w:t>&lt;line 6&gt; “contains”</w:t>
                  </w:r>
                </w:p>
              </w:tc>
              <w:tc>
                <w:tcPr>
                  <w:tcW w:w="1701" w:type="dxa"/>
                  <w:tcBorders>
                    <w:top w:val="dashed" w:sz="4" w:space="0" w:color="auto"/>
                    <w:left w:val="dashed" w:sz="4" w:space="0" w:color="auto"/>
                    <w:bottom w:val="single" w:sz="4" w:space="0" w:color="auto"/>
                    <w:right w:val="dashed" w:sz="4" w:space="0" w:color="auto"/>
                  </w:tcBorders>
                  <w:shd w:val="clear" w:color="auto" w:fill="CCFFFF"/>
                </w:tcPr>
                <w:p>
                  <w:pPr>
                    <w:pStyle w:val="Tabletext"/>
                    <w:keepNext/>
                    <w:keepLines/>
                    <w:ind w:firstLine="0"/>
                  </w:pPr>
                  <w:r>
                    <w:t>&lt;cell C&gt; “contains”</w:t>
                  </w:r>
                </w:p>
              </w:tc>
              <w:tc>
                <w:tcPr>
                  <w:tcW w:w="1134" w:type="dxa"/>
                  <w:tcBorders>
                    <w:top w:val="dashed" w:sz="4" w:space="0" w:color="auto"/>
                    <w:left w:val="dashed" w:sz="4" w:space="0" w:color="auto"/>
                    <w:bottom w:val="single" w:sz="4" w:space="0" w:color="auto"/>
                    <w:right w:val="dashed" w:sz="4" w:space="0" w:color="auto"/>
                  </w:tcBorders>
                  <w:shd w:val="clear" w:color="auto" w:fill="FFFF00"/>
                </w:tcPr>
                <w:p>
                  <w:pPr>
                    <w:pStyle w:val="Tabletext"/>
                    <w:keepNext/>
                    <w:keepLines/>
                    <w:ind w:firstLine="0"/>
                    <w:jc w:val="center"/>
                    <w:rPr>
                      <w:i/>
                      <w:iCs/>
                    </w:rPr>
                  </w:pPr>
                  <w:r>
                    <w:rPr>
                      <w:i/>
                      <w:iCs/>
                    </w:rPr>
                    <w:t>…text k…</w:t>
                  </w:r>
                </w:p>
              </w:tc>
              <w:tc>
                <w:tcPr>
                  <w:tcW w:w="1701" w:type="dxa"/>
                  <w:tcBorders>
                    <w:top w:val="dashed" w:sz="4" w:space="0" w:color="auto"/>
                    <w:left w:val="dashed" w:sz="4" w:space="0" w:color="auto"/>
                    <w:bottom w:val="single" w:sz="4" w:space="0" w:color="auto"/>
                    <w:right w:val="dashed" w:sz="4" w:space="0" w:color="auto"/>
                  </w:tcBorders>
                  <w:shd w:val="clear" w:color="auto" w:fill="CCFFFF"/>
                </w:tcPr>
                <w:p>
                  <w:pPr>
                    <w:pStyle w:val="Tabletext"/>
                    <w:keepNext/>
                    <w:keepLines/>
                    <w:ind w:firstLine="0"/>
                  </w:pPr>
                  <w:r>
                    <w:t>&lt;cell D&gt; “contains”</w:t>
                  </w:r>
                </w:p>
              </w:tc>
              <w:tc>
                <w:tcPr>
                  <w:tcW w:w="1134" w:type="dxa"/>
                  <w:tcBorders>
                    <w:top w:val="dashed" w:sz="4" w:space="0" w:color="auto"/>
                    <w:left w:val="dashed" w:sz="4" w:space="0" w:color="auto"/>
                    <w:bottom w:val="single" w:sz="4" w:space="0" w:color="auto"/>
                    <w:right w:val="single" w:sz="4" w:space="0" w:color="auto"/>
                  </w:tcBorders>
                  <w:shd w:val="clear" w:color="auto" w:fill="FFFF00"/>
                </w:tcPr>
                <w:p>
                  <w:pPr>
                    <w:pStyle w:val="Tabletext"/>
                    <w:keepNext/>
                    <w:keepLines/>
                    <w:ind w:firstLine="0"/>
                    <w:jc w:val="center"/>
                    <w:rPr>
                      <w:i/>
                      <w:iCs/>
                    </w:rPr>
                  </w:pPr>
                  <w:r>
                    <w:rPr>
                      <w:i/>
                      <w:iCs/>
                    </w:rPr>
                    <w:t>…text l…</w:t>
                  </w:r>
                </w:p>
              </w:tc>
              <w:tc>
                <w:tcPr>
                  <w:tcW w:w="284" w:type="dxa"/>
                  <w:vMerge/>
                  <w:tcBorders>
                    <w:left w:val="single" w:sz="4" w:space="0" w:color="auto"/>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8223" w:type="dxa"/>
                  <w:gridSpan w:val="8"/>
                  <w:tcBorders>
                    <w:top w:val="nil"/>
                    <w:left w:val="double" w:sz="4" w:space="0" w:color="auto"/>
                    <w:bottom w:val="double" w:sz="4" w:space="0" w:color="auto"/>
                    <w:right w:val="double" w:sz="4" w:space="0" w:color="auto"/>
                  </w:tcBorders>
                  <w:shd w:val="clear" w:color="auto" w:fill="CCFFCC"/>
                </w:tcPr>
                <w:p>
                  <w:pPr>
                    <w:pStyle w:val="Tabletext"/>
                    <w:keepNext/>
                    <w:keepLines/>
                    <w:ind w:firstLine="0"/>
                  </w:pPr>
                </w:p>
                <w:p>
                  <w:pPr>
                    <w:pStyle w:val="Tabletext"/>
                    <w:keepNext/>
                    <w:keepLines/>
                    <w:ind w:firstLine="0"/>
                  </w:pPr>
                  <w:r>
                    <w:t>a</w:t>
                  </w:r>
                </w:p>
                <w:p>
                  <w:pPr>
                    <w:pStyle w:val="Tabletext"/>
                    <w:keepNext/>
                    <w:keepLines/>
                    <w:ind w:firstLine="0"/>
                  </w:pPr>
                  <w:r>
                    <w:t>a</w:t>
                  </w:r>
                </w:p>
                <w:p>
                  <w:pPr>
                    <w:pStyle w:val="Tabletext"/>
                    <w:keepNext/>
                    <w:keepLines/>
                    <w:ind w:firstLine="0"/>
                  </w:pPr>
                  <w:r>
                    <w:t>a</w:t>
                  </w:r>
                </w:p>
                <w:p>
                  <w:pPr>
                    <w:pStyle w:val="Tabletext"/>
                    <w:keepNext/>
                    <w:keepLines/>
                    <w:ind w:firstLine="0"/>
                  </w:pPr>
                  <w:r>
                    <w:t>a</w:t>
                  </w:r>
                </w:p>
                <w:p>
                  <w:pPr>
                    <w:pStyle w:val="Tabletext"/>
                    <w:keepNext/>
                    <w:keepLines/>
                    <w:ind w:firstLine="0"/>
                  </w:pPr>
                  <w:r>
                    <w:t>a</w:t>
                  </w: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8223" w:type="dxa"/>
                  <w:gridSpan w:val="8"/>
                  <w:tcBorders>
                    <w:top w:val="nil"/>
                    <w:left w:val="double" w:sz="4" w:space="0" w:color="auto"/>
                    <w:bottom w:val="nil"/>
                    <w:right w:val="double" w:sz="4" w:space="0" w:color="auto"/>
                  </w:tcBorders>
                  <w:shd w:val="clear" w:color="auto" w:fill="CCFFCC"/>
                </w:tcPr>
                <w:p>
                  <w:pPr>
                    <w:pStyle w:val="Tabletext"/>
                    <w:keepNext/>
                    <w:keepLines/>
                    <w:ind w:firstLine="0"/>
                  </w:pPr>
                  <w:r>
                    <w:t>&lt;textpart B&gt; contains</w:t>
                  </w: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284" w:type="dxa"/>
                  <w:vMerge w:val="restart"/>
                  <w:tcBorders>
                    <w:top w:val="nil"/>
                    <w:left w:val="double" w:sz="4" w:space="0" w:color="auto"/>
                    <w:right w:val="single" w:sz="4" w:space="0" w:color="auto"/>
                  </w:tcBorders>
                  <w:shd w:val="clear" w:color="auto" w:fill="CCFFCC"/>
                </w:tcPr>
                <w:p>
                  <w:pPr>
                    <w:pStyle w:val="Tabletext"/>
                    <w:keepNext/>
                    <w:keepLines/>
                    <w:ind w:firstLine="0"/>
                  </w:pPr>
                </w:p>
              </w:tc>
              <w:tc>
                <w:tcPr>
                  <w:tcW w:w="7655" w:type="dxa"/>
                  <w:gridSpan w:val="6"/>
                  <w:tcBorders>
                    <w:top w:val="single" w:sz="4" w:space="0" w:color="auto"/>
                    <w:left w:val="single" w:sz="4" w:space="0" w:color="auto"/>
                    <w:bottom w:val="nil"/>
                    <w:right w:val="single" w:sz="4" w:space="0" w:color="auto"/>
                  </w:tcBorders>
                  <w:shd w:val="clear" w:color="auto" w:fill="CCCCFF"/>
                </w:tcPr>
                <w:p>
                  <w:pPr>
                    <w:pStyle w:val="Tabletext"/>
                    <w:keepNext/>
                    <w:keepLines/>
                    <w:ind w:firstLine="0"/>
                  </w:pPr>
                  <w:r>
                    <w:t>&lt;page 1&gt; “contains”</w:t>
                  </w:r>
                </w:p>
              </w:tc>
              <w:tc>
                <w:tcPr>
                  <w:tcW w:w="284" w:type="dxa"/>
                  <w:vMerge w:val="restart"/>
                  <w:tcBorders>
                    <w:top w:val="nil"/>
                    <w:left w:val="single" w:sz="4" w:space="0" w:color="auto"/>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284" w:type="dxa"/>
                  <w:vMerge/>
                  <w:tcBorders>
                    <w:left w:val="double" w:sz="4" w:space="0" w:color="auto"/>
                    <w:right w:val="single" w:sz="4" w:space="0" w:color="auto"/>
                  </w:tcBorders>
                  <w:shd w:val="clear" w:color="auto" w:fill="CCFFCC"/>
                </w:tcPr>
                <w:p>
                  <w:pPr>
                    <w:pStyle w:val="Tabletext"/>
                    <w:keepNext/>
                    <w:keepLines/>
                    <w:ind w:firstLine="0"/>
                  </w:pPr>
                </w:p>
              </w:tc>
              <w:tc>
                <w:tcPr>
                  <w:tcW w:w="284" w:type="dxa"/>
                  <w:vMerge w:val="restart"/>
                  <w:tcBorders>
                    <w:top w:val="nil"/>
                    <w:left w:val="single" w:sz="4" w:space="0" w:color="auto"/>
                    <w:bottom w:val="dashed" w:sz="4" w:space="0" w:color="auto"/>
                    <w:right w:val="dashed" w:sz="4" w:space="0" w:color="auto"/>
                  </w:tcBorders>
                  <w:shd w:val="clear" w:color="auto" w:fill="CCCCFF"/>
                </w:tcPr>
                <w:p>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pPr>
                    <w:pStyle w:val="Tabletext"/>
                    <w:keepNext/>
                    <w:keepLines/>
                    <w:ind w:firstLine="0"/>
                  </w:pPr>
                  <w:r>
                    <w:t>&lt;line 1&gt;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pPr>
                    <w:pStyle w:val="Tabletext"/>
                    <w:keepNext/>
                    <w:keepLines/>
                    <w:ind w:firstLine="0"/>
                    <w:jc w:val="center"/>
                    <w:rPr>
                      <w:i/>
                      <w:iCs/>
                    </w:rPr>
                  </w:pPr>
                  <w:r>
                    <w:rPr>
                      <w:i/>
                      <w:iCs/>
                    </w:rPr>
                    <w:t>…text m…</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pPr>
                    <w:pStyle w:val="Tabletext"/>
                    <w:keepNext/>
                    <w:keepLines/>
                    <w:ind w:firstLine="0"/>
                    <w:jc w:val="center"/>
                    <w:rPr>
                      <w:i/>
                      <w:iCs/>
                    </w:rPr>
                  </w:pPr>
                  <w:r>
                    <w:rPr>
                      <w:i/>
                      <w:iCs/>
                    </w:rPr>
                    <w:t>…text n…</w:t>
                  </w:r>
                </w:p>
              </w:tc>
              <w:tc>
                <w:tcPr>
                  <w:tcW w:w="284" w:type="dxa"/>
                  <w:vMerge/>
                  <w:tcBorders>
                    <w:left w:val="single" w:sz="4" w:space="0" w:color="auto"/>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284" w:type="dxa"/>
                  <w:vMerge/>
                  <w:tcBorders>
                    <w:left w:val="double" w:sz="4" w:space="0" w:color="auto"/>
                    <w:right w:val="single" w:sz="4" w:space="0" w:color="auto"/>
                  </w:tcBorders>
                  <w:shd w:val="clear" w:color="auto" w:fill="CCFFCC"/>
                </w:tcPr>
                <w:p>
                  <w:pPr>
                    <w:pStyle w:val="Tabletext"/>
                    <w:keepNext/>
                    <w:keepLines/>
                    <w:ind w:firstLine="0"/>
                  </w:pPr>
                </w:p>
              </w:tc>
              <w:tc>
                <w:tcPr>
                  <w:tcW w:w="284" w:type="dxa"/>
                  <w:vMerge/>
                  <w:tcBorders>
                    <w:top w:val="nil"/>
                    <w:left w:val="single" w:sz="4" w:space="0" w:color="auto"/>
                    <w:bottom w:val="dashed" w:sz="4" w:space="0" w:color="auto"/>
                    <w:right w:val="dashed" w:sz="4" w:space="0" w:color="auto"/>
                  </w:tcBorders>
                  <w:shd w:val="clear" w:color="auto" w:fill="CCCCFF"/>
                </w:tcPr>
                <w:p>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pPr>
                    <w:pStyle w:val="Tabletext"/>
                    <w:keepNext/>
                    <w:keepLines/>
                    <w:ind w:firstLine="0"/>
                  </w:pPr>
                  <w:r>
                    <w:t>&lt;line 2&gt;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pPr>
                    <w:pStyle w:val="Tabletext"/>
                    <w:keepNext/>
                    <w:keepLines/>
                    <w:ind w:firstLine="0"/>
                    <w:jc w:val="center"/>
                    <w:rPr>
                      <w:i/>
                      <w:iCs/>
                    </w:rPr>
                  </w:pPr>
                  <w:r>
                    <w:rPr>
                      <w:i/>
                      <w:iCs/>
                    </w:rPr>
                    <w:t>…text o…</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pPr>
                    <w:pStyle w:val="Tabletext"/>
                    <w:keepNext/>
                    <w:keepLines/>
                    <w:ind w:firstLine="0"/>
                    <w:jc w:val="center"/>
                    <w:rPr>
                      <w:i/>
                      <w:iCs/>
                    </w:rPr>
                  </w:pPr>
                  <w:r>
                    <w:rPr>
                      <w:i/>
                      <w:iCs/>
                    </w:rPr>
                    <w:t>…text p…</w:t>
                  </w:r>
                </w:p>
              </w:tc>
              <w:tc>
                <w:tcPr>
                  <w:tcW w:w="284" w:type="dxa"/>
                  <w:vMerge/>
                  <w:tcBorders>
                    <w:left w:val="single" w:sz="4" w:space="0" w:color="auto"/>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284" w:type="dxa"/>
                  <w:vMerge/>
                  <w:tcBorders>
                    <w:left w:val="double" w:sz="4" w:space="0" w:color="auto"/>
                    <w:right w:val="single" w:sz="4" w:space="0" w:color="auto"/>
                  </w:tcBorders>
                  <w:shd w:val="clear" w:color="auto" w:fill="CCFFCC"/>
                </w:tcPr>
                <w:p>
                  <w:pPr>
                    <w:pStyle w:val="Tabletext"/>
                    <w:keepNext/>
                    <w:keepLines/>
                    <w:ind w:firstLine="0"/>
                  </w:pPr>
                </w:p>
              </w:tc>
              <w:tc>
                <w:tcPr>
                  <w:tcW w:w="284" w:type="dxa"/>
                  <w:vMerge/>
                  <w:tcBorders>
                    <w:top w:val="nil"/>
                    <w:left w:val="single" w:sz="4" w:space="0" w:color="auto"/>
                    <w:bottom w:val="dashed" w:sz="4" w:space="0" w:color="auto"/>
                    <w:right w:val="dashed" w:sz="4" w:space="0" w:color="auto"/>
                  </w:tcBorders>
                  <w:shd w:val="clear" w:color="auto" w:fill="CCCCFF"/>
                </w:tcPr>
                <w:p>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pPr>
                    <w:pStyle w:val="Tabletext"/>
                    <w:keepNext/>
                    <w:keepLines/>
                    <w:ind w:firstLine="0"/>
                  </w:pPr>
                  <w:r>
                    <w:t>&lt;line 3&gt;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pPr>
                    <w:pStyle w:val="Tabletext"/>
                    <w:keepNext/>
                    <w:keepLines/>
                    <w:ind w:firstLine="0"/>
                    <w:jc w:val="center"/>
                    <w:rPr>
                      <w:i/>
                      <w:iCs/>
                    </w:rPr>
                  </w:pPr>
                  <w:r>
                    <w:rPr>
                      <w:i/>
                      <w:iCs/>
                    </w:rPr>
                    <w:t>…text q…</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pPr>
                    <w:pStyle w:val="Tabletext"/>
                    <w:keepNext/>
                    <w:keepLines/>
                    <w:ind w:firstLine="0"/>
                    <w:jc w:val="center"/>
                    <w:rPr>
                      <w:i/>
                      <w:iCs/>
                    </w:rPr>
                  </w:pPr>
                  <w:r>
                    <w:rPr>
                      <w:i/>
                      <w:iCs/>
                    </w:rPr>
                    <w:t>…text r…</w:t>
                  </w:r>
                </w:p>
              </w:tc>
              <w:tc>
                <w:tcPr>
                  <w:tcW w:w="284" w:type="dxa"/>
                  <w:vMerge/>
                  <w:tcBorders>
                    <w:left w:val="single" w:sz="4" w:space="0" w:color="auto"/>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284" w:type="dxa"/>
                  <w:vMerge/>
                  <w:tcBorders>
                    <w:left w:val="double" w:sz="4" w:space="0" w:color="auto"/>
                    <w:right w:val="single" w:sz="4" w:space="0" w:color="auto"/>
                  </w:tcBorders>
                  <w:shd w:val="clear" w:color="auto" w:fill="CCFFCC"/>
                </w:tcPr>
                <w:p>
                  <w:pPr>
                    <w:pStyle w:val="Tabletext"/>
                    <w:keepNext/>
                    <w:keepLines/>
                    <w:ind w:firstLine="0"/>
                  </w:pPr>
                </w:p>
              </w:tc>
              <w:tc>
                <w:tcPr>
                  <w:tcW w:w="7655" w:type="dxa"/>
                  <w:gridSpan w:val="6"/>
                  <w:tcBorders>
                    <w:top w:val="nil"/>
                    <w:left w:val="single" w:sz="4" w:space="0" w:color="auto"/>
                    <w:bottom w:val="nil"/>
                    <w:right w:val="single" w:sz="4" w:space="0" w:color="auto"/>
                  </w:tcBorders>
                  <w:shd w:val="clear" w:color="auto" w:fill="CCCCFF"/>
                </w:tcPr>
                <w:p>
                  <w:pPr>
                    <w:pStyle w:val="Tabletext"/>
                    <w:keepNext/>
                    <w:keepLines/>
                    <w:ind w:firstLine="0"/>
                    <w:rPr>
                      <w:i/>
                      <w:iCs/>
                    </w:rPr>
                  </w:pPr>
                  <w:r>
                    <w:t>&lt;page 2&gt; “contains”</w:t>
                  </w:r>
                </w:p>
              </w:tc>
              <w:tc>
                <w:tcPr>
                  <w:tcW w:w="284" w:type="dxa"/>
                  <w:vMerge/>
                  <w:tcBorders>
                    <w:left w:val="single" w:sz="4" w:space="0" w:color="auto"/>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284" w:type="dxa"/>
                  <w:vMerge/>
                  <w:tcBorders>
                    <w:left w:val="double" w:sz="4" w:space="0" w:color="auto"/>
                    <w:right w:val="single" w:sz="4" w:space="0" w:color="auto"/>
                  </w:tcBorders>
                  <w:shd w:val="clear" w:color="auto" w:fill="CCFFCC"/>
                </w:tcPr>
                <w:p>
                  <w:pPr>
                    <w:pStyle w:val="Tabletext"/>
                    <w:keepNext/>
                    <w:keepLines/>
                    <w:ind w:firstLine="0"/>
                  </w:pPr>
                </w:p>
              </w:tc>
              <w:tc>
                <w:tcPr>
                  <w:tcW w:w="284" w:type="dxa"/>
                  <w:vMerge w:val="restart"/>
                  <w:tcBorders>
                    <w:top w:val="nil"/>
                    <w:left w:val="single" w:sz="4" w:space="0" w:color="auto"/>
                    <w:bottom w:val="single" w:sz="4" w:space="0" w:color="auto"/>
                    <w:right w:val="dashed" w:sz="4" w:space="0" w:color="auto"/>
                  </w:tcBorders>
                  <w:shd w:val="clear" w:color="auto" w:fill="CCCCFF"/>
                </w:tcPr>
                <w:p>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pPr>
                    <w:pStyle w:val="Tabletext"/>
                    <w:keepNext/>
                    <w:keepLines/>
                    <w:ind w:firstLine="0"/>
                  </w:pPr>
                  <w:r>
                    <w:t>&lt;line 4&gt;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C&gt;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pPr>
                    <w:pStyle w:val="Tabletext"/>
                    <w:keepNext/>
                    <w:keepLines/>
                    <w:ind w:firstLine="0"/>
                    <w:jc w:val="center"/>
                    <w:rPr>
                      <w:i/>
                      <w:iCs/>
                    </w:rPr>
                  </w:pPr>
                  <w:r>
                    <w:rPr>
                      <w:i/>
                      <w:iCs/>
                    </w:rPr>
                    <w:t>…text 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D&gt;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pPr>
                    <w:pStyle w:val="Tabletext"/>
                    <w:keepNext/>
                    <w:keepLines/>
                    <w:ind w:firstLine="0"/>
                    <w:jc w:val="center"/>
                    <w:rPr>
                      <w:i/>
                      <w:iCs/>
                    </w:rPr>
                  </w:pPr>
                  <w:r>
                    <w:rPr>
                      <w:i/>
                      <w:iCs/>
                    </w:rPr>
                    <w:t>…text t…</w:t>
                  </w:r>
                </w:p>
              </w:tc>
              <w:tc>
                <w:tcPr>
                  <w:tcW w:w="284" w:type="dxa"/>
                  <w:vMerge/>
                  <w:tcBorders>
                    <w:left w:val="single" w:sz="4" w:space="0" w:color="auto"/>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284" w:type="dxa"/>
                  <w:vMerge/>
                  <w:tcBorders>
                    <w:left w:val="double" w:sz="4" w:space="0" w:color="auto"/>
                    <w:right w:val="single" w:sz="4" w:space="0" w:color="auto"/>
                  </w:tcBorders>
                  <w:shd w:val="clear" w:color="auto" w:fill="CCFFCC"/>
                </w:tcPr>
                <w:p>
                  <w:pPr>
                    <w:pStyle w:val="Tabletext"/>
                    <w:keepNext/>
                    <w:keepLines/>
                    <w:ind w:firstLine="0"/>
                  </w:pPr>
                </w:p>
              </w:tc>
              <w:tc>
                <w:tcPr>
                  <w:tcW w:w="284" w:type="dxa"/>
                  <w:vMerge/>
                  <w:tcBorders>
                    <w:top w:val="single" w:sz="4" w:space="0" w:color="auto"/>
                    <w:left w:val="single" w:sz="4" w:space="0" w:color="auto"/>
                    <w:bottom w:val="single" w:sz="4" w:space="0" w:color="auto"/>
                    <w:right w:val="dashed" w:sz="4" w:space="0" w:color="auto"/>
                  </w:tcBorders>
                  <w:shd w:val="clear" w:color="auto" w:fill="CCCCFF"/>
                </w:tcPr>
                <w:p>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pPr>
                    <w:pStyle w:val="Tabletext"/>
                    <w:keepNext/>
                    <w:keepLines/>
                    <w:ind w:firstLine="0"/>
                  </w:pPr>
                  <w:r>
                    <w:t>&lt;line 5&gt;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C&gt;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pPr>
                    <w:pStyle w:val="Tabletext"/>
                    <w:keepNext/>
                    <w:keepLines/>
                    <w:ind w:firstLine="0"/>
                    <w:jc w:val="center"/>
                    <w:rPr>
                      <w:i/>
                      <w:iCs/>
                    </w:rPr>
                  </w:pPr>
                  <w:r>
                    <w:rPr>
                      <w:i/>
                      <w:iCs/>
                    </w:rPr>
                    <w:t>…text u…</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pPr>
                    <w:pStyle w:val="Tabletext"/>
                    <w:keepNext/>
                    <w:keepLines/>
                    <w:ind w:firstLine="0"/>
                  </w:pPr>
                  <w:r>
                    <w:t>&lt;cell D&gt;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pPr>
                    <w:pStyle w:val="Tabletext"/>
                    <w:keepNext/>
                    <w:keepLines/>
                    <w:ind w:firstLine="0"/>
                    <w:jc w:val="center"/>
                    <w:rPr>
                      <w:i/>
                      <w:iCs/>
                    </w:rPr>
                  </w:pPr>
                  <w:r>
                    <w:rPr>
                      <w:i/>
                      <w:iCs/>
                    </w:rPr>
                    <w:t>…text v…</w:t>
                  </w:r>
                </w:p>
              </w:tc>
              <w:tc>
                <w:tcPr>
                  <w:tcW w:w="284" w:type="dxa"/>
                  <w:vMerge/>
                  <w:tcBorders>
                    <w:left w:val="single" w:sz="4" w:space="0" w:color="auto"/>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right w:val="double" w:sz="4" w:space="0" w:color="auto"/>
                  </w:tcBorders>
                  <w:shd w:val="clear" w:color="auto" w:fill="92D050"/>
                </w:tcPr>
                <w:p>
                  <w:pPr>
                    <w:pStyle w:val="Tabletext"/>
                    <w:keepNext/>
                    <w:keepLines/>
                    <w:ind w:firstLine="0"/>
                  </w:pPr>
                </w:p>
              </w:tc>
              <w:tc>
                <w:tcPr>
                  <w:tcW w:w="284" w:type="dxa"/>
                  <w:vMerge/>
                  <w:tcBorders>
                    <w:left w:val="double" w:sz="4" w:space="0" w:color="auto"/>
                    <w:bottom w:val="nil"/>
                    <w:right w:val="single" w:sz="4" w:space="0" w:color="auto"/>
                  </w:tcBorders>
                  <w:shd w:val="clear" w:color="auto" w:fill="CCFFCC"/>
                </w:tcPr>
                <w:p>
                  <w:pPr>
                    <w:pStyle w:val="Tabletext"/>
                    <w:keepNext/>
                    <w:keepLines/>
                    <w:ind w:firstLine="0"/>
                  </w:pPr>
                </w:p>
              </w:tc>
              <w:tc>
                <w:tcPr>
                  <w:tcW w:w="284" w:type="dxa"/>
                  <w:vMerge/>
                  <w:tcBorders>
                    <w:top w:val="single" w:sz="4" w:space="0" w:color="auto"/>
                    <w:left w:val="single" w:sz="4" w:space="0" w:color="auto"/>
                    <w:bottom w:val="single" w:sz="4" w:space="0" w:color="auto"/>
                    <w:right w:val="dashed" w:sz="4" w:space="0" w:color="auto"/>
                  </w:tcBorders>
                  <w:shd w:val="clear" w:color="auto" w:fill="CCCCFF"/>
                </w:tcPr>
                <w:p>
                  <w:pPr>
                    <w:pStyle w:val="Tabletext"/>
                    <w:keepNext/>
                    <w:keepLines/>
                    <w:ind w:firstLine="0"/>
                  </w:pPr>
                </w:p>
              </w:tc>
              <w:tc>
                <w:tcPr>
                  <w:tcW w:w="1701" w:type="dxa"/>
                  <w:tcBorders>
                    <w:top w:val="dashed" w:sz="4" w:space="0" w:color="auto"/>
                    <w:left w:val="dashed" w:sz="4" w:space="0" w:color="auto"/>
                    <w:bottom w:val="single" w:sz="4" w:space="0" w:color="auto"/>
                    <w:right w:val="dashed" w:sz="4" w:space="0" w:color="auto"/>
                  </w:tcBorders>
                  <w:shd w:val="clear" w:color="auto" w:fill="00B0F0"/>
                </w:tcPr>
                <w:p>
                  <w:pPr>
                    <w:pStyle w:val="Tabletext"/>
                    <w:keepNext/>
                    <w:keepLines/>
                    <w:ind w:firstLine="0"/>
                  </w:pPr>
                  <w:r>
                    <w:t>&lt;line 6&gt; “contains”</w:t>
                  </w:r>
                </w:p>
              </w:tc>
              <w:tc>
                <w:tcPr>
                  <w:tcW w:w="1701" w:type="dxa"/>
                  <w:tcBorders>
                    <w:top w:val="dashed" w:sz="4" w:space="0" w:color="auto"/>
                    <w:left w:val="dashed" w:sz="4" w:space="0" w:color="auto"/>
                    <w:bottom w:val="single" w:sz="4" w:space="0" w:color="auto"/>
                    <w:right w:val="dashed" w:sz="4" w:space="0" w:color="auto"/>
                  </w:tcBorders>
                  <w:shd w:val="clear" w:color="auto" w:fill="CCFFFF"/>
                </w:tcPr>
                <w:p>
                  <w:pPr>
                    <w:pStyle w:val="Tabletext"/>
                    <w:keepNext/>
                    <w:keepLines/>
                    <w:ind w:firstLine="0"/>
                  </w:pPr>
                  <w:r>
                    <w:t>&lt;cell C&gt; “contains”</w:t>
                  </w:r>
                </w:p>
              </w:tc>
              <w:tc>
                <w:tcPr>
                  <w:tcW w:w="1134" w:type="dxa"/>
                  <w:tcBorders>
                    <w:top w:val="dashed" w:sz="4" w:space="0" w:color="auto"/>
                    <w:left w:val="dashed" w:sz="4" w:space="0" w:color="auto"/>
                    <w:bottom w:val="single" w:sz="4" w:space="0" w:color="auto"/>
                    <w:right w:val="dashed" w:sz="4" w:space="0" w:color="auto"/>
                  </w:tcBorders>
                  <w:shd w:val="clear" w:color="auto" w:fill="FFFF00"/>
                </w:tcPr>
                <w:p>
                  <w:pPr>
                    <w:pStyle w:val="Tabletext"/>
                    <w:keepNext/>
                    <w:keepLines/>
                    <w:ind w:firstLine="0"/>
                    <w:jc w:val="center"/>
                    <w:rPr>
                      <w:i/>
                      <w:iCs/>
                    </w:rPr>
                  </w:pPr>
                  <w:r>
                    <w:rPr>
                      <w:i/>
                      <w:iCs/>
                    </w:rPr>
                    <w:t>…text w…</w:t>
                  </w:r>
                </w:p>
              </w:tc>
              <w:tc>
                <w:tcPr>
                  <w:tcW w:w="1701" w:type="dxa"/>
                  <w:tcBorders>
                    <w:top w:val="dashed" w:sz="4" w:space="0" w:color="auto"/>
                    <w:left w:val="dashed" w:sz="4" w:space="0" w:color="auto"/>
                    <w:bottom w:val="single" w:sz="4" w:space="0" w:color="auto"/>
                    <w:right w:val="dashed" w:sz="4" w:space="0" w:color="auto"/>
                  </w:tcBorders>
                  <w:shd w:val="clear" w:color="auto" w:fill="CCFFFF"/>
                </w:tcPr>
                <w:p>
                  <w:pPr>
                    <w:pStyle w:val="Tabletext"/>
                    <w:keepNext/>
                    <w:keepLines/>
                    <w:ind w:firstLine="0"/>
                  </w:pPr>
                  <w:r>
                    <w:t>&lt;cell D&gt; “contains”</w:t>
                  </w:r>
                </w:p>
              </w:tc>
              <w:tc>
                <w:tcPr>
                  <w:tcW w:w="1134" w:type="dxa"/>
                  <w:tcBorders>
                    <w:top w:val="dashed" w:sz="4" w:space="0" w:color="auto"/>
                    <w:left w:val="dashed" w:sz="4" w:space="0" w:color="auto"/>
                    <w:bottom w:val="single" w:sz="4" w:space="0" w:color="auto"/>
                    <w:right w:val="single" w:sz="4" w:space="0" w:color="auto"/>
                  </w:tcBorders>
                  <w:shd w:val="clear" w:color="auto" w:fill="FFFF00"/>
                </w:tcPr>
                <w:p>
                  <w:pPr>
                    <w:pStyle w:val="Tabletext"/>
                    <w:keepNext/>
                    <w:keepLines/>
                    <w:ind w:firstLine="0"/>
                    <w:jc w:val="center"/>
                    <w:rPr>
                      <w:i/>
                      <w:iCs/>
                    </w:rPr>
                  </w:pPr>
                  <w:r>
                    <w:rPr>
                      <w:i/>
                      <w:iCs/>
                    </w:rPr>
                    <w:t>…text x…</w:t>
                  </w:r>
                </w:p>
              </w:tc>
              <w:tc>
                <w:tcPr>
                  <w:tcW w:w="284" w:type="dxa"/>
                  <w:vMerge/>
                  <w:tcBorders>
                    <w:left w:val="single" w:sz="4" w:space="0" w:color="auto"/>
                    <w:bottom w:val="nil"/>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284" w:type="dxa"/>
                  <w:vMerge/>
                  <w:tcBorders>
                    <w:left w:val="double" w:sz="12" w:space="0" w:color="auto"/>
                    <w:bottom w:val="nil"/>
                    <w:right w:val="double" w:sz="4" w:space="0" w:color="auto"/>
                  </w:tcBorders>
                  <w:shd w:val="clear" w:color="auto" w:fill="92D050"/>
                </w:tcPr>
                <w:p>
                  <w:pPr>
                    <w:pStyle w:val="Tabletext"/>
                    <w:keepNext/>
                    <w:keepLines/>
                    <w:ind w:firstLine="0"/>
                  </w:pPr>
                </w:p>
              </w:tc>
              <w:tc>
                <w:tcPr>
                  <w:tcW w:w="8223" w:type="dxa"/>
                  <w:gridSpan w:val="8"/>
                  <w:tcBorders>
                    <w:top w:val="nil"/>
                    <w:left w:val="double" w:sz="4" w:space="0" w:color="auto"/>
                    <w:bottom w:val="double" w:sz="4" w:space="0" w:color="auto"/>
                    <w:right w:val="double" w:sz="4" w:space="0" w:color="auto"/>
                  </w:tcBorders>
                  <w:shd w:val="clear" w:color="auto" w:fill="CCFFCC"/>
                </w:tcPr>
                <w:p>
                  <w:pPr>
                    <w:pStyle w:val="Tabletext"/>
                    <w:keepNext/>
                    <w:keepLines/>
                    <w:ind w:firstLine="0"/>
                  </w:pPr>
                </w:p>
              </w:tc>
              <w:tc>
                <w:tcPr>
                  <w:tcW w:w="284" w:type="dxa"/>
                  <w:vMerge/>
                  <w:tcBorders>
                    <w:left w:val="double" w:sz="4" w:space="0" w:color="auto"/>
                    <w:right w:val="double" w:sz="12" w:space="0" w:color="auto"/>
                  </w:tcBorders>
                  <w:shd w:val="clear" w:color="auto" w:fill="92D050"/>
                </w:tcPr>
                <w:p>
                  <w:pPr>
                    <w:pStyle w:val="Tabletext"/>
                    <w:keepNext/>
                    <w:keepLines/>
                    <w:ind w:firstLine="0"/>
                  </w:pPr>
                </w:p>
              </w:tc>
            </w:tr>
            <w:tr>
              <w:trPr>
                <w:trHeight w:hRule="exact" w:val="284"/>
                <w:jc w:val="center"/>
              </w:trPr>
              <w:tc>
                <w:tcPr>
                  <w:tcW w:w="8791" w:type="dxa"/>
                  <w:gridSpan w:val="10"/>
                  <w:tcBorders>
                    <w:left w:val="double" w:sz="12" w:space="0" w:color="auto"/>
                    <w:bottom w:val="double" w:sz="12" w:space="0" w:color="auto"/>
                    <w:right w:val="double" w:sz="12" w:space="0" w:color="auto"/>
                  </w:tcBorders>
                  <w:shd w:val="clear" w:color="auto" w:fill="92D050"/>
                </w:tcPr>
                <w:p>
                  <w:pPr>
                    <w:pStyle w:val="Tabletext"/>
                    <w:keepNext/>
                    <w:keepLines/>
                    <w:ind w:firstLine="0"/>
                  </w:pPr>
                </w:p>
              </w:tc>
            </w:tr>
          </w:tbl>
          <w:p/>
        </w:tc>
      </w:tr>
    </w:tbl>
    <w:p/>
    <w:p>
      <w:r>
        <w:t>As already discussed in §</w:t>
      </w:r>
      <w:r>
        <w:fldChar w:fldCharType="begin"/>
      </w:r>
      <w:r>
        <w:instrText xml:space="preserve"> REF _Ref225153755 \r \h </w:instrText>
      </w:r>
      <w:r>
        <w:fldChar w:fldCharType="separate"/>
      </w:r>
      <w:r>
        <w:t>3.1</w:t>
      </w:r>
      <w:r>
        <w:fldChar w:fldCharType="end"/>
      </w:r>
      <w:r>
        <w:t>, the edition division (§</w:t>
      </w:r>
      <w:r>
        <w:fldChar w:fldCharType="begin"/>
      </w:r>
      <w:r>
        <w:instrText xml:space="preserve"> REF _Ref224739111 \r \h </w:instrText>
      </w:r>
      <w:r>
        <w:fldChar w:fldCharType="separate"/>
      </w:r>
      <w:r>
        <w:t>2.3.3</w:t>
      </w:r>
      <w:r>
        <w:fldChar w:fldCharType="end"/>
      </w:r>
      <w:r>
        <w:t>) corresponds to the entirety of an inscription and thus contains the entire hierarchy of extrinsic structure as well as that of intrinsic structure. With respect to extrinsic structure, the edition division represents the inscribed campus. The edition may be subdivided into textparts, each comprising an integral whole and containing the entire text of a boxlike partition of the inscription. The edition and the boxlike partition are members of both the extrinsic and the intrinsic hierarchy, and are encoded as container elements. As a consequence, no XML element can begin inside one textpart division and end in the next.</w:t>
      </w:r>
    </w:p>
    <w:p>
      <w:pPr>
        <w:pStyle w:val="Normlbehzs"/>
      </w:pPr>
      <w:r>
        <w:t>Within the edition – or, as the case may be, within any textpart division – the intrinsic and extrinsic hierarchies go their separate ways, with the extrinsic structure encoded as pointlike milestones. These represent virtual containers,</w:t>
      </w:r>
      <w:r>
        <w:rPr>
          <w:rStyle w:val="Lbjegyzet-hivatkozs"/>
        </w:rPr>
        <w:footnoteReference w:id="13"/>
      </w:r>
      <w:r>
        <w:t xml:space="preserve"> so that a partition may be said to “contain” everything that is located in the XML document from the point where the given partition begins to the point where another partition of the same hierarchical level begins, or a transition to a higher-level partition occurs, or a division (a textpart or the edition) ends. In the Exhibit, solid borders and colour-filled complete frames indicate actual containment by an XML element, while dashed borders without complete frames indicate virtual containment. An edition or textpart division must always contain one or more lines (blue). Within the edition or textpart division, groups of lines may be “contained” within pagelike partitions (lavender), and some or all lines may “contain” two or more gridlike partitions (aqua). </w:t>
      </w:r>
    </w:p>
    <w:p>
      <w:pPr>
        <w:pStyle w:val="Normlbehzs"/>
      </w:pPr>
      <w:r>
        <w:t xml:space="preserve">The extrinsic structure of some inscriptions can be highly complex. Were we to attempt to accurately reflect all details of structural complexity in encoding, the possible combinations of various overlapping hierarchies would soon proliferate beyond a reasonable point. On the one hand, it would be all but impossible to draw up, and then correctly observe, guidelines for all possibilities; on the other hand, doing so would serve no practical purpose while processing the digital edition by computer. Then again, many inscriptions have no partitions at all (consisting only of lines in a single zone), and the only common type of inscription </w:t>
      </w:r>
      <w:r>
        <w:lastRenderedPageBreak/>
        <w:t>that involves more than one kind of partition is the copperplate charter. Copperplate charters typically consist of a seal and a body, which are boxlike partitions, and their body in turn consists of pages (pagelike partitions), while there are no further partitions in the seal.</w:t>
      </w:r>
    </w:p>
    <w:p>
      <w:pPr>
        <w:pStyle w:val="Normlbehzs"/>
      </w:pPr>
      <w:r>
        <w:t>In DHARMA encoding practice, we make a point of keeping encoding complexity within reasonable limits. The use of textpart divisions in an edition is therefore limited to specific kinds of cases where this is deemed to be warranted (§</w:t>
      </w:r>
      <w:r>
        <w:fldChar w:fldCharType="begin"/>
      </w:r>
      <w:r>
        <w:instrText xml:space="preserve"> REF _Ref225759775 \r \h </w:instrText>
      </w:r>
      <w:r>
        <w:fldChar w:fldCharType="separate"/>
      </w:r>
      <w:r>
        <w:t>4.7.3</w:t>
      </w:r>
      <w:r>
        <w:fldChar w:fldCharType="end"/>
      </w:r>
      <w:r>
        <w:t>). A single division (the edition or a textpart) is permitted to contain only one kind of pagelike partition. When gridlike partitions are present, their encoding is recommended only when expedient (for instance to enable referring to specific “cells” of the grid). If necessary, more than one kind of gridlike partition may be used within a single division, but doing so is generally counter-recommended. In §</w:t>
      </w:r>
      <w:r>
        <w:fldChar w:fldCharType="begin"/>
      </w:r>
      <w:r>
        <w:instrText xml:space="preserve"> REF _Ref225242905 \r \h </w:instrText>
      </w:r>
      <w:r>
        <w:fldChar w:fldCharType="separate"/>
      </w:r>
      <w:r>
        <w:t>4.7</w:t>
      </w:r>
      <w:r>
        <w:fldChar w:fldCharType="end"/>
      </w:r>
      <w:r>
        <w:t xml:space="preserve"> we provide guidance for situations in which various kinds of encoded partitions are applicable, as well as for cases which are best encoded without the usual milestone elements for extrinsic structure (§</w:t>
      </w:r>
      <w:r>
        <w:fldChar w:fldCharType="begin"/>
      </w:r>
      <w:r>
        <w:instrText xml:space="preserve"> REF _Ref225779703 \r \h </w:instrText>
      </w:r>
      <w:r>
        <w:fldChar w:fldCharType="separate"/>
      </w:r>
      <w:r>
        <w:t>4.7.1</w:t>
      </w:r>
      <w:r>
        <w:fldChar w:fldCharType="end"/>
      </w:r>
      <w:r>
        <w:t>), including the encoding of forme work (i.e. pagination and foliation numbers, §</w:t>
      </w:r>
      <w:r>
        <w:fldChar w:fldCharType="begin"/>
      </w:r>
      <w:r>
        <w:instrText xml:space="preserve"> REF _Ref43984607 \r \h </w:instrText>
      </w:r>
      <w:r>
        <w:fldChar w:fldCharType="separate"/>
      </w:r>
      <w:r>
        <w:t>4.7.2</w:t>
      </w:r>
      <w:r>
        <w:fldChar w:fldCharType="end"/>
      </w:r>
      <w:r>
        <w:t xml:space="preserve">). Some complete encoding examples are provided in the Case Studies of </w:t>
      </w:r>
      <w:r>
        <w:fldChar w:fldCharType="begin"/>
      </w:r>
      <w:r>
        <w:instrText xml:space="preserve"> REF _Ref43985466 \w \h  \* MERGEFORMAT </w:instrText>
      </w:r>
      <w:r>
        <w:fldChar w:fldCharType="separate"/>
      </w:r>
      <w:r>
        <w:t>Appendix A</w:t>
      </w:r>
      <w:r>
        <w:fldChar w:fldCharType="end"/>
      </w:r>
      <w:r>
        <w:t>. As a general guideline, also keep in mind that whenever the encoded structure does not provide an accurate fit for the original structure, human-readable annotation can always be added.</w:t>
      </w:r>
    </w:p>
    <w:p>
      <w:pPr>
        <w:pStyle w:val="Cmsor3"/>
      </w:pPr>
      <w:bookmarkStart w:id="153" w:name="_Ref225331491"/>
      <w:bookmarkStart w:id="154" w:name="_Ref225321890"/>
      <w:bookmarkStart w:id="155" w:name="_Toc242976601"/>
      <w:r>
        <w:t>Numeration for reference</w:t>
      </w:r>
      <w:bookmarkEnd w:id="153"/>
      <w:bookmarkEnd w:id="155"/>
    </w:p>
    <w:p>
      <w:r>
        <w:rPr>
          <w:lang w:eastAsia="en-US" w:bidi="ar-SA"/>
        </w:rPr>
        <w:t xml:space="preserve">All TEI elements can be supplemented with arbitrary numeration using the attribute </w:t>
      </w:r>
      <w:r>
        <w:rPr>
          <w:rStyle w:val="Codeattribute"/>
        </w:rPr>
        <w:t>@n</w:t>
      </w:r>
      <w:r>
        <w:rPr>
          <w:lang w:eastAsia="en-US" w:bidi="ar-SA"/>
        </w:rPr>
        <w:t xml:space="preserve">, primarily to be used as reference by human end users. Another </w:t>
      </w:r>
      <w:r>
        <w:t xml:space="preserve">attribute, </w:t>
      </w:r>
      <w:r>
        <w:rPr>
          <w:rStyle w:val="Codeattribute"/>
        </w:rPr>
        <w:t>@xml:id</w:t>
      </w:r>
      <w:r>
        <w:t xml:space="preserve"> </w:t>
      </w:r>
      <w:r>
        <w:rPr>
          <w:noProof/>
        </w:rPr>
        <w:t>(</w:t>
      </w:r>
      <w:r>
        <w:t>§</w:t>
      </w:r>
      <w:r>
        <w:fldChar w:fldCharType="begin"/>
      </w:r>
      <w:r>
        <w:instrText xml:space="preserve"> REF _Ref43988993 \w \h  \* MERGEFORMAT </w:instrText>
      </w:r>
      <w:r>
        <w:fldChar w:fldCharType="separate"/>
      </w:r>
      <w:r>
        <w:t>14.6.6</w:t>
      </w:r>
      <w:r>
        <w:fldChar w:fldCharType="end"/>
      </w:r>
      <w:r>
        <w:t xml:space="preserve">), is employed for the rigorous, machine-readable referencing of elements. For the purpose of referring to units of extrinsic structure, </w:t>
      </w:r>
      <w:r>
        <w:rPr>
          <w:lang w:eastAsia="en-US" w:bidi="ar-SA"/>
        </w:rPr>
        <w:t xml:space="preserve">DHARMA editions use numeration involving </w:t>
      </w:r>
      <w:r>
        <w:rPr>
          <w:rStyle w:val="Codeattribute"/>
        </w:rPr>
        <w:t>@n</w:t>
      </w:r>
      <w:r>
        <w:t xml:space="preserve"> </w:t>
      </w:r>
      <w:r>
        <w:rPr>
          <w:lang w:eastAsia="en-US" w:bidi="ar-SA"/>
        </w:rPr>
        <w:t xml:space="preserve">on all milestone elements (as well as for textpart divisions). </w:t>
      </w:r>
      <w:r>
        <w:t>According to usual conventions, our editions’ stanzas and their lines can be referred to by the number of their container (§</w:t>
      </w:r>
      <w:r>
        <w:fldChar w:fldCharType="begin"/>
      </w:r>
      <w:r>
        <w:instrText xml:space="preserve"> REF _Ref225331879 \r \h </w:instrText>
      </w:r>
      <w:r>
        <w:fldChar w:fldCharType="separate"/>
      </w:r>
      <w:r>
        <w:t>3.1.1</w:t>
      </w:r>
      <w:r>
        <w:fldChar w:fldCharType="end"/>
      </w:r>
      <w:r>
        <w:t xml:space="preserve">), but our primary means of reference to the text of documentary editions is by line number. The projectwide conventions introduced in the applicable subsections for numbering elements with </w:t>
      </w:r>
      <w:r>
        <w:rPr>
          <w:rStyle w:val="Codeattribute"/>
        </w:rPr>
        <w:t>@n</w:t>
      </w:r>
      <w:r>
        <w:t xml:space="preserve"> not only ensure consistency in our editions, but also facilitate human-readable reference and in fact actually afford a degree of machine-interpretable referencing. This is possible so long as element numbers are unique within any given level of the hierarchy, so that any structural compartment can be unambiguously identified by a combination of the numbers of the elements representing its place in the structure. For instance, in </w:t>
      </w:r>
      <w:r>
        <w:fldChar w:fldCharType="begin"/>
      </w:r>
      <w:r>
        <w:instrText xml:space="preserve"> REF _Ref224829834 \h </w:instrText>
      </w:r>
      <w:r>
        <w:fldChar w:fldCharType="separate"/>
      </w:r>
      <w:r>
        <w:t xml:space="preserve">Exhibit </w:t>
      </w:r>
      <w:r>
        <w:rPr>
          <w:noProof/>
        </w:rPr>
        <w:t>4.1</w:t>
      </w:r>
      <w:r>
        <w:t>.</w:t>
      </w:r>
      <w:r>
        <w:rPr>
          <w:noProof/>
        </w:rPr>
        <w:t>B</w:t>
      </w:r>
      <w:r>
        <w:fldChar w:fldCharType="end"/>
      </w:r>
      <w:r>
        <w:t xml:space="preserve"> above, “text o” can be referred to by pointing to textpart B, page 1, line 2, cell A.</w:t>
      </w:r>
    </w:p>
    <w:p>
      <w:pPr>
        <w:pStyle w:val="Cmsor2"/>
      </w:pPr>
      <w:bookmarkStart w:id="156" w:name="_Ref225778181"/>
      <w:bookmarkEnd w:id="149"/>
      <w:bookmarkEnd w:id="154"/>
      <w:r>
        <w:t>Boxlike partitions</w:t>
      </w:r>
      <w:bookmarkEnd w:id="156"/>
    </w:p>
    <w:p>
      <w:bookmarkStart w:id="157" w:name="_7afiixd3hprc" w:colFirst="0" w:colLast="0"/>
      <w:bookmarkEnd w:id="157"/>
      <w:r>
        <w:t>Recall from §</w:t>
      </w:r>
      <w:r>
        <w:fldChar w:fldCharType="begin"/>
      </w:r>
      <w:r>
        <w:instrText xml:space="preserve"> REF _Ref182923075 \r \h </w:instrText>
      </w:r>
      <w:r>
        <w:fldChar w:fldCharType="separate"/>
      </w:r>
      <w:r>
        <w:t>4.1</w:t>
      </w:r>
      <w:r>
        <w:fldChar w:fldCharType="end"/>
      </w:r>
      <w:r>
        <w:t xml:space="preserve"> that a boxlike partition is what happens when a discrete zone of the text is also semantically distinct from the rest as in </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/1, amounting to a major subunit of a text’s extrinsic as well as intrinsic hierarchy. Intrinsically, it usually contains a number of basic prose and/or verse containers. Extrinsically, it may or may not be divided into lower-level structural parts. The semantic discontinuity between two textparts is somewhat analogous to the chapters of a book. To understand clearly how textpart divisions differ from and relate to other divisions of intrinsic and extrinsic structure, carefully read §</w:t>
      </w:r>
      <w:r>
        <w:fldChar w:fldCharType="begin"/>
      </w:r>
      <w:r>
        <w:instrText xml:space="preserve"> REF _Ref225153755 \r \h </w:instrText>
      </w:r>
      <w:r>
        <w:fldChar w:fldCharType="separate"/>
      </w:r>
      <w:r>
        <w:t>3.1</w:t>
      </w:r>
      <w:r>
        <w:fldChar w:fldCharType="end"/>
      </w:r>
      <w:r>
        <w:t xml:space="preserve"> and §</w:t>
      </w:r>
      <w:r>
        <w:fldChar w:fldCharType="begin"/>
      </w:r>
      <w:r>
        <w:instrText xml:space="preserve"> REF _Ref182923075 \r \h </w:instrText>
      </w:r>
      <w:r>
        <w:fldChar w:fldCharType="separate"/>
      </w:r>
      <w:r>
        <w:t>4.1</w:t>
      </w:r>
      <w:r>
        <w:fldChar w:fldCharType="end"/>
      </w:r>
      <w:r>
        <w:t xml:space="preserve">. </w:t>
      </w:r>
    </w:p>
    <w:p>
      <w:pPr>
        <w:pStyle w:val="Normlbehzs"/>
      </w:pPr>
      <w:r>
        <w:t>Boxlike partitions are encoded with a container element, the textpart division, as described in §</w:t>
      </w:r>
      <w:r>
        <w:fldChar w:fldCharType="begin"/>
      </w:r>
      <w:r>
        <w:instrText xml:space="preserve"> REF _Ref225342022 \r \h </w:instrText>
      </w:r>
      <w:r>
        <w:fldChar w:fldCharType="separate"/>
      </w:r>
      <w:r>
        <w:t>4.2.1</w:t>
      </w:r>
      <w:r>
        <w:fldChar w:fldCharType="end"/>
      </w:r>
      <w:r>
        <w:t>. Such a division is hierarchically subordinate to the edition division and superordinate to the basic containers for intrinsic structure. In essence, textpart divisions are complete editions except that they are gathered together in a single XML document and thus have a shared header, commentary and bibliography. Accordingly, the numbering of other elements within one textpart is independent of the numbering of similar elements in another textpart (§</w:t>
      </w:r>
      <w:r>
        <w:fldChar w:fldCharType="begin"/>
      </w:r>
      <w:r>
        <w:instrText xml:space="preserve"> REF _Ref43986747 \r \h </w:instrText>
      </w:r>
      <w:r>
        <w:fldChar w:fldCharType="separate"/>
      </w:r>
      <w:r>
        <w:t>4.2.1.4</w:t>
      </w:r>
      <w:r>
        <w:fldChar w:fldCharType="end"/>
      </w:r>
      <w:r>
        <w:t>). Conversely, the critical apparatus (§</w:t>
      </w:r>
      <w:r>
        <w:fldChar w:fldCharType="begin"/>
      </w:r>
      <w:r>
        <w:instrText xml:space="preserve"> REF _Ref43978773 \r \h </w:instrText>
      </w:r>
      <w:r>
        <w:fldChar w:fldCharType="separate"/>
      </w:r>
      <w:r>
        <w:t>10</w:t>
      </w:r>
      <w:r>
        <w:fldChar w:fldCharType="end"/>
      </w:r>
      <w:r>
        <w:t>) and translation (§</w:t>
      </w:r>
      <w:r>
        <w:fldChar w:fldCharType="begin"/>
      </w:r>
      <w:r>
        <w:instrText xml:space="preserve"> REF _Ref43978780 \r \h </w:instrText>
      </w:r>
      <w:r>
        <w:fldChar w:fldCharType="separate"/>
      </w:r>
      <w:r>
        <w:t>11</w:t>
      </w:r>
      <w:r>
        <w:fldChar w:fldCharType="end"/>
      </w:r>
      <w:r>
        <w:t>) included in a digital edition replicates the structure of the text itself, so if an edition contains textpart divisions, then corresponding textparts must also be created in the critical apparatus and the translation. In order to keep encoding complexity within limits, the use of textpart is limited in DHARMA practice to a small range of cases where this is deemed to be warranted (§</w:t>
      </w:r>
      <w:r>
        <w:fldChar w:fldCharType="begin"/>
      </w:r>
      <w:r>
        <w:instrText xml:space="preserve"> REF _Ref225759775 \r \h </w:instrText>
      </w:r>
      <w:r>
        <w:fldChar w:fldCharType="separate"/>
      </w:r>
      <w:r>
        <w:t>4.7.3</w:t>
      </w:r>
      <w:r>
        <w:fldChar w:fldCharType="end"/>
      </w:r>
      <w:r>
        <w:t>).</w:t>
      </w:r>
    </w:p>
    <w:p>
      <w:pPr>
        <w:pStyle w:val="Cmsor3"/>
      </w:pPr>
      <w:bookmarkStart w:id="158" w:name="_Ref225342022"/>
      <w:bookmarkStart w:id="159" w:name="_Toc242976602"/>
      <w:r>
        <w:lastRenderedPageBreak/>
        <w:t>Encoding as textpart divisions</w:t>
      </w:r>
      <w:bookmarkEnd w:id="158"/>
      <w:bookmarkEnd w:id="159"/>
    </w:p>
    <w:tbl>
      <w:tblPr>
        <w:tblStyle w:val="CodeSampleTable"/>
        <w:tblpPr w:leftFromText="181" w:rightFromText="181" w:vertAnchor="text" w:horzAnchor="margin" w:tblpXSpec="right" w:tblpY="1"/>
        <w:tblOverlap w:val="never"/>
        <w:tblW w:w="4253" w:type="dxa"/>
        <w:tblLook w:val="04A0" w:firstRow="1" w:lastRow="0" w:firstColumn="1" w:lastColumn="0" w:noHBand="0" w:noVBand="1"/>
      </w:tblPr>
      <w:tblGrid>
        <w:gridCol w:w="4253"/>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60" w:name="_Ref225342504"/>
            <w:bookmarkStart w:id="161" w:name="_Ref225342497"/>
            <w:r>
              <w:t xml:space="preserve">Exhibit </w:t>
            </w:r>
            <w:fldSimple w:instr=" STYLEREF 2 \s ">
              <w:r>
                <w:rPr>
                  <w:noProof/>
                </w:rPr>
                <w:t>4.2</w:t>
              </w:r>
            </w:fldSimple>
            <w:r>
              <w:t>.</w:t>
            </w:r>
            <w:fldSimple w:instr=" SEQ Exhibit \* ALPHABETIC \s 2 ">
              <w:r>
                <w:rPr>
                  <w:noProof/>
                </w:rPr>
                <w:t>A</w:t>
              </w:r>
            </w:fldSimple>
            <w:bookmarkEnd w:id="160"/>
            <w:r>
              <w:t>: minimal encoding of textpart divisions</w:t>
            </w:r>
            <w:bookmarkEnd w:id="161"/>
          </w:p>
        </w:tc>
      </w:tr>
      <w:tr>
        <w:tc>
          <w:tcPr>
            <w:tcW w:w="5000" w:type="pct"/>
          </w:tcPr>
          <w:p>
            <w:pPr>
              <w:pStyle w:val="CodeParagraph"/>
              <w:keepNext/>
              <w:keepLines/>
              <w:rPr>
                <w:rStyle w:val="Code"/>
              </w:rPr>
            </w:pPr>
            <w:r>
              <w:rPr>
                <w:rStyle w:val="Code"/>
              </w:rPr>
              <w:t xml:space="preserve">&lt;div </w:t>
            </w:r>
            <w:r>
              <w:rPr>
                <w:rStyle w:val="Codeattribute"/>
              </w:rPr>
              <w:t>type</w:t>
            </w:r>
            <w:r>
              <w:rPr>
                <w:rStyle w:val="Code"/>
              </w:rPr>
              <w:t>=</w:t>
            </w:r>
            <w:r>
              <w:rPr>
                <w:rStyle w:val="Codevalue"/>
              </w:rPr>
              <w:t>"edition"</w:t>
            </w:r>
            <w:r>
              <w:rPr>
                <w:rStyle w:val="Code"/>
              </w:rPr>
              <w:t>&gt;</w:t>
            </w:r>
          </w:p>
          <w:p>
            <w:pPr>
              <w:pStyle w:val="CodeParagraph"/>
              <w:keepNext/>
              <w:keepLines/>
              <w:rPr>
                <w:rStyle w:val="Codetext"/>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p>
          <w:p>
            <w:pPr>
              <w:pStyle w:val="CodeParagraph"/>
              <w:keepNext/>
              <w:keepLines/>
              <w:rPr>
                <w:rStyle w:val="Code"/>
              </w:rPr>
            </w:pPr>
            <w:r>
              <w:rPr>
                <w:rStyle w:val="Code"/>
              </w:rPr>
              <w:t xml:space="preserve">  &lt;/div&gt;</w:t>
            </w:r>
          </w:p>
          <w:p>
            <w:pPr>
              <w:pStyle w:val="CodeParagraph"/>
              <w:keepNext/>
              <w:keepLines/>
              <w:rPr>
                <w:rStyle w:val="Codetext"/>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&gt;</w:t>
            </w:r>
            <w:r>
              <w:rPr>
                <w:rStyle w:val="Codetext"/>
              </w:rPr>
              <w:br/>
              <w:t xml:space="preserve">    ...</w:t>
            </w:r>
          </w:p>
          <w:p>
            <w:pPr>
              <w:pStyle w:val="CodeParagraph"/>
              <w:rPr>
                <w:rStyle w:val="Code"/>
              </w:rPr>
            </w:pPr>
            <w:r>
              <w:rPr>
                <w:rStyle w:val="Code"/>
              </w:rPr>
              <w:t xml:space="preserve">  &lt;/div&gt;</w:t>
            </w:r>
          </w:p>
          <w:p>
            <w:pPr>
              <w:pStyle w:val="CodeParagraph"/>
            </w:pPr>
            <w:r>
              <w:rPr>
                <w:rStyle w:val="Code"/>
              </w:rPr>
              <w:t>&lt;/div&gt;</w:t>
            </w:r>
          </w:p>
        </w:tc>
      </w:tr>
    </w:tbl>
    <w:p>
      <w:pPr>
        <w:pStyle w:val="Lista"/>
      </w:pPr>
      <w:r>
        <w:t xml:space="preserve">each boxlike unit must be wrapped in the element </w:t>
      </w:r>
      <w:r>
        <w:rPr>
          <w:rStyle w:val="Code"/>
        </w:rPr>
        <w:t>&lt;div&gt;</w:t>
      </w:r>
      <w:r>
        <w:t xml:space="preserve"> as in </w:t>
      </w:r>
      <w:r>
        <w:fldChar w:fldCharType="begin"/>
      </w:r>
      <w:r>
        <w:instrText xml:space="preserve"> REF _Ref225342504 \h </w:instrText>
      </w:r>
      <w:r>
        <w:fldChar w:fldCharType="separate"/>
      </w:r>
      <w:r>
        <w:t xml:space="preserve">Exhibit </w:t>
      </w:r>
      <w:r>
        <w:rPr>
          <w:noProof/>
        </w:rPr>
        <w:t>4.2</w:t>
      </w:r>
      <w:r>
        <w:t>.</w:t>
      </w:r>
      <w:r>
        <w:rPr>
          <w:noProof/>
        </w:rPr>
        <w:t>A</w:t>
      </w:r>
      <w:r>
        <w:fldChar w:fldCharType="end"/>
      </w:r>
      <w:r>
        <w:t>, with the following attributes</w:t>
      </w:r>
    </w:p>
    <w:p>
      <w:pPr>
        <w:pStyle w:val="Lista2"/>
      </w:pPr>
      <w:r>
        <w:t xml:space="preserve">mandatorily, </w:t>
      </w:r>
      <w:r>
        <w:rPr>
          <w:rStyle w:val="Codeattribute"/>
        </w:rPr>
        <w:t>@type</w:t>
      </w:r>
      <w:r>
        <w:rPr>
          <w:rStyle w:val="Code"/>
        </w:rPr>
        <w:t>=</w:t>
      </w:r>
      <w:r>
        <w:rPr>
          <w:rStyle w:val="Codevalue"/>
        </w:rPr>
        <w:t>"textpart"</w:t>
      </w:r>
    </w:p>
    <w:p>
      <w:pPr>
        <w:pStyle w:val="Lista2"/>
      </w:pPr>
      <w:r>
        <w:t xml:space="preserve">mandatorily, </w:t>
      </w:r>
      <w:r>
        <w:rPr>
          <w:rStyle w:val="Codeattribute"/>
        </w:rPr>
        <w:t>@n</w:t>
      </w:r>
      <w:r>
        <w:t xml:space="preserve"> as per §</w:t>
      </w:r>
      <w:r>
        <w:fldChar w:fldCharType="begin"/>
      </w:r>
      <w:r>
        <w:instrText xml:space="preserve"> REF _Ref182236772 \r \h </w:instrText>
      </w:r>
      <w:r>
        <w:fldChar w:fldCharType="separate"/>
      </w:r>
      <w:r>
        <w:t>4.2.1.1</w:t>
      </w:r>
      <w:r>
        <w:fldChar w:fldCharType="end"/>
      </w:r>
    </w:p>
    <w:p>
      <w:pPr>
        <w:pStyle w:val="Lista2"/>
      </w:pPr>
      <w:r>
        <w:t xml:space="preserve">optionally, </w:t>
      </w:r>
      <w:r>
        <w:rPr>
          <w:rStyle w:val="Codeattribute"/>
        </w:rPr>
        <w:t>@subtype</w:t>
      </w:r>
      <w:r>
        <w:t xml:space="preserve"> as per §</w:t>
      </w:r>
      <w:r>
        <w:fldChar w:fldCharType="begin"/>
      </w:r>
      <w:r>
        <w:instrText xml:space="preserve"> REF _Ref182236825 \r \h </w:instrText>
      </w:r>
      <w:r>
        <w:fldChar w:fldCharType="separate"/>
      </w:r>
      <w:r>
        <w:t>4.2.1.2</w:t>
      </w:r>
      <w:r>
        <w:fldChar w:fldCharType="end"/>
      </w:r>
    </w:p>
    <w:p>
      <w:pPr>
        <w:pStyle w:val="Lista"/>
      </w:pPr>
      <w:r>
        <w:t>the encoding represents only the existence and demarcation of a textpart but says nothing about its physical aspects such as size or position on the support</w:t>
      </w:r>
    </w:p>
    <w:p>
      <w:pPr>
        <w:pStyle w:val="Lista2"/>
      </w:pPr>
      <w:r>
        <w:t>the latter information shall be described for human readers in the annotation</w:t>
      </w:r>
    </w:p>
    <w:p>
      <w:pPr>
        <w:pStyle w:val="Lista2"/>
      </w:pPr>
      <w:r>
        <w:t>the use cases in §</w:t>
      </w:r>
      <w:r>
        <w:fldChar w:fldCharType="begin"/>
      </w:r>
      <w:r>
        <w:instrText xml:space="preserve"> REF _Ref225759775 \r \h </w:instrText>
      </w:r>
      <w:r>
        <w:fldChar w:fldCharType="separate"/>
      </w:r>
      <w:r>
        <w:t>4.7.3</w:t>
      </w:r>
      <w:r>
        <w:fldChar w:fldCharType="end"/>
      </w:r>
      <w:r>
        <w:t xml:space="preserve"> give some illustrations of various topological arrangements and additional encoding examples</w:t>
      </w:r>
    </w:p>
    <w:p>
      <w:pPr>
        <w:pStyle w:val="Lista"/>
      </w:pPr>
      <w:r>
        <w:t xml:space="preserve">if your </w:t>
      </w:r>
      <w:r>
        <w:rPr>
          <w:rStyle w:val="Code"/>
        </w:rPr>
        <w:t xml:space="preserve">&lt;div </w:t>
      </w:r>
      <w:r>
        <w:rPr>
          <w:rStyle w:val="Codeattribute"/>
        </w:rPr>
        <w:t>type</w:t>
      </w:r>
      <w:r>
        <w:rPr>
          <w:rStyle w:val="Code"/>
        </w:rPr>
        <w:t>=</w:t>
      </w:r>
      <w:r>
        <w:rPr>
          <w:rStyle w:val="Codevalue"/>
        </w:rPr>
        <w:t>"edition"</w:t>
      </w:r>
      <w:r>
        <w:rPr>
          <w:rStyle w:val="Code"/>
        </w:rPr>
        <w:t>&gt;</w:t>
      </w:r>
      <w:r>
        <w:t xml:space="preserve"> includes a </w:t>
      </w:r>
      <w:r>
        <w:rPr>
          <w:rStyle w:val="Code"/>
        </w:rPr>
        <w:t xml:space="preserve">&lt;div </w:t>
      </w:r>
      <w:r>
        <w:rPr>
          <w:rStyle w:val="Codeattribute"/>
        </w:rPr>
        <w:t>type</w:t>
      </w:r>
      <w:r>
        <w:rPr>
          <w:rStyle w:val="Code"/>
        </w:rPr>
        <w:t>=</w:t>
      </w:r>
      <w:r>
        <w:rPr>
          <w:rStyle w:val="Codevalue"/>
        </w:rPr>
        <w:t>"textpart"</w:t>
      </w:r>
      <w:r>
        <w:rPr>
          <w:rStyle w:val="Code"/>
        </w:rPr>
        <w:t>&gt;</w:t>
      </w:r>
      <w:r>
        <w:t>, then the textpart divisions must tessellate, meaning that everything within the edition must be also within one textpart or another</w:t>
      </w:r>
    </w:p>
    <w:p>
      <w:pPr>
        <w:pStyle w:val="Lista"/>
      </w:pPr>
      <w:r>
        <w:t>textparts shall be arranged in the order you deem to be the logical reading order of the text as a whole, or its best approximation</w:t>
      </w:r>
    </w:p>
    <w:p>
      <w:pPr>
        <w:pStyle w:val="Cmsor4"/>
      </w:pPr>
      <w:bookmarkStart w:id="162" w:name="_82q10pa3ovwa" w:colFirst="0" w:colLast="0"/>
      <w:bookmarkStart w:id="163" w:name="_Ref182236772"/>
      <w:bookmarkStart w:id="164" w:name="_Ref182318135"/>
      <w:bookmarkEnd w:id="162"/>
      <w:r>
        <w:t>Textpart numbering</w:t>
      </w:r>
      <w:bookmarkEnd w:id="163"/>
      <w:bookmarkEnd w:id="164"/>
    </w:p>
    <w:p>
      <w:pPr>
        <w:pStyle w:val="Lista"/>
      </w:pPr>
      <w:r>
        <w:t xml:space="preserve">every textpart division must carry the mandatory attribute </w:t>
      </w:r>
      <w:r>
        <w:rPr>
          <w:rStyle w:val="Codeattribute"/>
        </w:rPr>
        <w:t>@n</w:t>
      </w:r>
      <w:r>
        <w:t>, the value of which must be unique through the XML document</w:t>
      </w:r>
    </w:p>
    <w:p>
      <w:pPr>
        <w:pStyle w:val="Lista"/>
      </w:pPr>
      <w:r>
        <w:t xml:space="preserve">the value of </w:t>
      </w:r>
      <w:r>
        <w:rPr>
          <w:rStyle w:val="Codeattribute"/>
        </w:rPr>
        <w:t>@n</w:t>
      </w:r>
      <w:r>
        <w:t xml:space="preserve"> is utilised in display for automatically generated headings (§</w:t>
      </w:r>
      <w:r>
        <w:fldChar w:fldCharType="begin"/>
      </w:r>
      <w:r>
        <w:instrText xml:space="preserve"> REF _Ref225177909 \r \h </w:instrText>
      </w:r>
      <w:r>
        <w:fldChar w:fldCharType="separate"/>
      </w:r>
      <w:r>
        <w:t>4.2.1.3</w:t>
      </w:r>
      <w:r>
        <w:fldChar w:fldCharType="end"/>
      </w:r>
      <w:r>
        <w:t>)</w:t>
      </w:r>
    </w:p>
    <w:p>
      <w:pPr>
        <w:pStyle w:val="Lista"/>
      </w:pPr>
      <w:r>
        <w:t>uppercase Latin letters are generally recommended for numeration, but any scheme may be used depending on your preference and the conventions of your specific field, including</w:t>
      </w:r>
    </w:p>
    <w:p>
      <w:pPr>
        <w:pStyle w:val="Lista2"/>
      </w:pPr>
      <w:r>
        <w:t>Arabic numbers</w:t>
      </w:r>
    </w:p>
    <w:p>
      <w:pPr>
        <w:pStyle w:val="Lista2"/>
      </w:pPr>
      <w:r>
        <w:t>a combination of uppercase and lowercase Latin letters to represent major and minor faces of a three-dimensional object in the same way as for pagelike milestones (§</w:t>
      </w:r>
      <w:r>
        <w:fldChar w:fldCharType="begin"/>
      </w:r>
      <w:r>
        <w:instrText xml:space="preserve"> REF _Ref182318136 \r \h </w:instrText>
      </w:r>
      <w:r>
        <w:fldChar w:fldCharType="separate"/>
      </w:r>
      <w:r>
        <w:t>4.4.3.1</w:t>
      </w:r>
      <w:r>
        <w:fldChar w:fldCharType="end"/>
      </w:r>
      <w:r>
        <w:t>)</w:t>
      </w:r>
    </w:p>
    <w:p>
      <w:pPr>
        <w:pStyle w:val="Cmsor4"/>
      </w:pPr>
      <w:bookmarkStart w:id="165" w:name="_Ref182236825"/>
      <w:r>
        <w:t>Textpart subtypes</w:t>
      </w:r>
      <w:bookmarkEnd w:id="165"/>
    </w:p>
    <w:p>
      <w:pPr>
        <w:pStyle w:val="Lista"/>
      </w:pPr>
      <w:r>
        <w:t xml:space="preserve">the optional attribute </w:t>
      </w:r>
      <w:r>
        <w:rPr>
          <w:rStyle w:val="Codeattribute"/>
        </w:rPr>
        <w:t>@subtype</w:t>
      </w:r>
      <w:r>
        <w:t xml:space="preserve"> may be used to encode the physical nature of textparts</w:t>
      </w:r>
    </w:p>
    <w:p>
      <w:pPr>
        <w:pStyle w:val="Lista2"/>
      </w:pPr>
      <w:r>
        <w:t>the use of this attribute is recommended as a simple means of indicating the nature of a partition that can also be displayed as a title (§</w:t>
      </w:r>
      <w:r>
        <w:fldChar w:fldCharType="begin"/>
      </w:r>
      <w:r>
        <w:instrText xml:space="preserve"> REF _Ref225177909 \r \h </w:instrText>
      </w:r>
      <w:r>
        <w:fldChar w:fldCharType="separate"/>
      </w:r>
      <w:r>
        <w:t>4.2.1.3</w:t>
      </w:r>
      <w:r>
        <w:fldChar w:fldCharType="end"/>
      </w:r>
      <w:r>
        <w:t>)</w:t>
      </w:r>
    </w:p>
    <w:p>
      <w:pPr>
        <w:pStyle w:val="Lista"/>
      </w:pPr>
      <w:r>
        <w:t xml:space="preserve">the value of </w:t>
      </w:r>
      <w:r>
        <w:rPr>
          <w:rStyle w:val="Codeattribute"/>
        </w:rPr>
        <w:t>@subtype</w:t>
      </w:r>
      <w:r>
        <w:t xml:space="preserve"> is utilised in display for automatically generated headings (§</w:t>
      </w:r>
      <w:r>
        <w:fldChar w:fldCharType="begin"/>
      </w:r>
      <w:r>
        <w:instrText xml:space="preserve"> REF _Ref225177909 \r \h </w:instrText>
      </w:r>
      <w:r>
        <w:fldChar w:fldCharType="separate"/>
      </w:r>
      <w:r>
        <w:t>4.2.1.3</w:t>
      </w:r>
      <w:r>
        <w:fldChar w:fldCharType="end"/>
      </w:r>
      <w:r>
        <w:t>)</w:t>
      </w:r>
    </w:p>
    <w:p>
      <w:pPr>
        <w:pStyle w:val="Lista"/>
      </w:pPr>
      <w:r>
        <w:t xml:space="preserve">the value of </w:t>
      </w:r>
      <w:r>
        <w:rPr>
          <w:rStyle w:val="Codeattribute"/>
        </w:rPr>
        <w:t>@subtype</w:t>
      </w:r>
      <w:r>
        <w:t xml:space="preserve"> shall normally indicate the physical nature of the corresponding partition of extrinsic structure, disregarding its visual appearance, topological position relative to other textparts, and semantic function in intrinsic structure</w:t>
      </w:r>
    </w:p>
    <w:p>
      <w:pPr>
        <w:pStyle w:val="Lista"/>
      </w:pPr>
      <w:r>
        <w:t xml:space="preserve">the permitted values of </w:t>
      </w:r>
      <w:r>
        <w:rPr>
          <w:rStyle w:val="Codeattribute"/>
        </w:rPr>
        <w:t>@subtype</w:t>
      </w:r>
      <w:r>
        <w:t xml:space="preserve"> are listed below, while specific instructions for when </w:t>
      </w:r>
      <w:r>
        <w:rPr>
          <w:rStyle w:val="Codeattribute"/>
        </w:rPr>
        <w:t>@subtype</w:t>
      </w:r>
      <w:r>
        <w:t xml:space="preserve"> should be used and with what values are found in the subsections of §</w:t>
      </w:r>
      <w:r>
        <w:fldChar w:fldCharType="begin"/>
      </w:r>
      <w:r>
        <w:instrText xml:space="preserve"> REF _Ref225759775 \r \h </w:instrText>
      </w:r>
      <w:r>
        <w:fldChar w:fldCharType="separate"/>
      </w:r>
      <w:r>
        <w:t>4.7.3</w:t>
      </w:r>
      <w:r>
        <w:fldChar w:fldCharType="end"/>
      </w:r>
      <w:r>
        <w:t xml:space="preserve"> </w:t>
      </w:r>
    </w:p>
    <w:p>
      <w:pPr>
        <w:pStyle w:val="Lista2"/>
      </w:pPr>
      <w:r>
        <w:rPr>
          <w:rStyle w:val="Codevalue"/>
        </w:rPr>
        <w:t>"column"</w:t>
      </w:r>
      <w:r>
        <w:t xml:space="preserve"> for zones placed side by side and generally taller than they are wide</w:t>
      </w:r>
    </w:p>
    <w:p>
      <w:pPr>
        <w:pStyle w:val="Lista2"/>
      </w:pPr>
      <w:r>
        <w:rPr>
          <w:rStyle w:val="Codevalue"/>
        </w:rPr>
        <w:t>"face"</w:t>
      </w:r>
      <w:r>
        <w:t xml:space="preserve"> for a physically contiguous surface of a three-dimensional object of any shape and any number of sides</w:t>
      </w:r>
    </w:p>
    <w:p>
      <w:pPr>
        <w:pStyle w:val="Lista2"/>
      </w:pPr>
      <w:r>
        <w:rPr>
          <w:rStyle w:val="Codevalue"/>
        </w:rPr>
        <w:t>"faces"</w:t>
      </w:r>
      <w:r>
        <w:t xml:space="preserve"> for two or more contiguous surfaces that together comprise a box of text, such as the frontal and lateral face of a four-sided stele</w:t>
      </w:r>
    </w:p>
    <w:p>
      <w:pPr>
        <w:pStyle w:val="Lista2"/>
      </w:pPr>
      <w:r>
        <w:rPr>
          <w:rStyle w:val="Codevalue"/>
        </w:rPr>
        <w:t>"fragment"</w:t>
      </w:r>
      <w:r>
        <w:t xml:space="preserve"> for physical fragments as per §</w:t>
      </w:r>
      <w:r>
        <w:fldChar w:fldCharType="begin"/>
      </w:r>
      <w:r>
        <w:instrText xml:space="preserve"> REF _Ref225346692 \r \h </w:instrText>
      </w:r>
      <w:r>
        <w:fldChar w:fldCharType="separate"/>
      </w:r>
      <w:r>
        <w:t>4.7.3.2</w:t>
      </w:r>
      <w:r>
        <w:fldChar w:fldCharType="end"/>
      </w:r>
    </w:p>
    <w:p>
      <w:pPr>
        <w:pStyle w:val="Lista2"/>
      </w:pPr>
      <w:r>
        <w:rPr>
          <w:rStyle w:val="Codevalue"/>
        </w:rPr>
        <w:t>"item"</w:t>
      </w:r>
      <w:r>
        <w:t xml:space="preserve"> for physically separate objects such as architectural elements, e.g. when an inscription is engraved on two pillars or doorjambs</w:t>
      </w:r>
    </w:p>
    <w:p>
      <w:pPr>
        <w:pStyle w:val="Lista2"/>
      </w:pPr>
      <w:r>
        <w:rPr>
          <w:rStyle w:val="Codevalue"/>
        </w:rPr>
        <w:t>"trial"</w:t>
      </w:r>
      <w:r>
        <w:t xml:space="preserve"> for trial engravings as per §</w:t>
      </w:r>
      <w:r>
        <w:fldChar w:fldCharType="begin"/>
      </w:r>
      <w:r>
        <w:instrText xml:space="preserve"> REF _Ref225178060 \r \h </w:instrText>
      </w:r>
      <w:r>
        <w:fldChar w:fldCharType="separate"/>
      </w:r>
      <w:r>
        <w:t>4.7.3.3</w:t>
      </w:r>
      <w:r>
        <w:fldChar w:fldCharType="end"/>
      </w:r>
    </w:p>
    <w:p>
      <w:pPr>
        <w:pStyle w:val="Lista2"/>
      </w:pPr>
      <w:r>
        <w:rPr>
          <w:rStyle w:val="Codevalue"/>
        </w:rPr>
        <w:t>"zone"</w:t>
      </w:r>
      <w:r>
        <w:t xml:space="preserve"> for visually distinct zones that do not readily meet any of the specific definitions above</w:t>
      </w:r>
    </w:p>
    <w:p>
      <w:pPr>
        <w:pStyle w:val="Lista3"/>
      </w:pPr>
      <w:r>
        <w:t>a zone is generally conceived of as being on a single contiguous surface, but in inscriptions with a complex topology, this unit may also be used for a visually distinct area occupying two or more surfaces</w:t>
      </w:r>
    </w:p>
    <w:p>
      <w:pPr>
        <w:pStyle w:val="Lista2"/>
      </w:pPr>
      <w:r>
        <w:lastRenderedPageBreak/>
        <w:t xml:space="preserve">this list of values is largely identical to the values permitted for of </w:t>
      </w:r>
      <w:r>
        <w:rPr>
          <w:rStyle w:val="Codeattribute"/>
        </w:rPr>
        <w:t>@unit</w:t>
      </w:r>
      <w:r>
        <w:t xml:space="preserve"> on </w:t>
      </w:r>
      <w:r>
        <w:rPr>
          <w:rStyle w:val="Code"/>
        </w:rPr>
        <w:t>&lt;milestone&gt;</w:t>
      </w:r>
    </w:p>
    <w:p>
      <w:pPr>
        <w:pStyle w:val="Lista3"/>
      </w:pPr>
      <w:r>
        <w:t>these are discussed in §</w:t>
      </w:r>
      <w:r>
        <w:fldChar w:fldCharType="begin"/>
      </w:r>
      <w:r>
        <w:instrText xml:space="preserve"> REF _Ref182815315 \r \h </w:instrText>
      </w:r>
      <w:r>
        <w:fldChar w:fldCharType="separate"/>
      </w:r>
      <w:r>
        <w:t>4.3.1</w:t>
      </w:r>
      <w:r>
        <w:fldChar w:fldCharType="end"/>
      </w:r>
      <w:r>
        <w:t>, where you will also find pointers to illustrations</w:t>
      </w:r>
    </w:p>
    <w:p>
      <w:pPr>
        <w:pStyle w:val="Lista2"/>
      </w:pPr>
      <w:r>
        <w:t>only the values listed above may be used, even though earlier versions of this Guide permitted using custom values</w:t>
      </w:r>
    </w:p>
    <w:p>
      <w:pPr>
        <w:pStyle w:val="Cmsor4"/>
      </w:pPr>
      <w:bookmarkStart w:id="166" w:name="_Ref225177909"/>
      <w:r>
        <w:t>Titles for textparts</w:t>
      </w:r>
      <w:bookmarkEnd w:id="166"/>
    </w:p>
    <w:p>
      <w:r>
        <w:t>When an XML edition is rendered for display in the DHARMA environment, headings for textpart divisions will be automatically generated from the subtype (if present) and the number. When these automatic headings are deemed insufficient, an optional custom heading may be added to the encoding, which will replace the auto-generated title.</w:t>
      </w:r>
    </w:p>
    <w:p>
      <w:pPr>
        <w:pStyle w:val="Lista"/>
      </w:pPr>
      <w:r>
        <w:t xml:space="preserve">auto-generated headings will consist of the value of </w:t>
      </w:r>
      <w:r>
        <w:rPr>
          <w:rStyle w:val="Codeattribute"/>
        </w:rPr>
        <w:t>@subtype</w:t>
      </w:r>
      <w:r>
        <w:t xml:space="preserve"> (with the initial letter changed to uppercase), followed by the value of </w:t>
      </w:r>
      <w:r>
        <w:rPr>
          <w:rStyle w:val="Codeattribute"/>
        </w:rPr>
        <w:t>@n</w:t>
      </w:r>
      <w:r>
        <w:t xml:space="preserve"> (unchanged), for example as follows</w:t>
      </w:r>
    </w:p>
    <w:p>
      <w:pPr>
        <w:pStyle w:val="Lista2"/>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&gt;</w:t>
      </w:r>
      <w:r>
        <w:t xml:space="preserve"> → “A”</w:t>
      </w:r>
    </w:p>
    <w:p>
      <w:pPr>
        <w:pStyle w:val="Lista2"/>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"1"</w:t>
      </w:r>
      <w:r>
        <w:rPr>
          <w:rStyle w:val="Code"/>
        </w:rPr>
        <w:t>&gt;</w:t>
      </w:r>
      <w:r>
        <w:t xml:space="preserve"> → “Fragment 1”</w:t>
      </w:r>
    </w:p>
    <w:p>
      <w:pPr>
        <w:pStyle w:val="Lista2"/>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t xml:space="preserve"> → “Face a”</w:t>
      </w:r>
    </w:p>
    <w:p>
      <w:pPr>
        <w:pStyle w:val="Lista"/>
      </w:pPr>
      <w:r>
        <w:t xml:space="preserve">to create a custom heading for a textpart division, use the optional element </w:t>
      </w:r>
      <w:r>
        <w:rPr>
          <w:rStyle w:val="Code"/>
        </w:rPr>
        <w:t xml:space="preserve">&lt;head </w:t>
      </w:r>
      <w:r>
        <w:rPr>
          <w:rStyle w:val="Codeattribute"/>
        </w:rPr>
        <w:t>xml:lang</w:t>
      </w:r>
      <w:r>
        <w:rPr>
          <w:rStyle w:val="Code"/>
        </w:rPr>
        <w:t>=</w:t>
      </w:r>
      <w:r>
        <w:rPr>
          <w:rStyle w:val="Codevalue"/>
        </w:rPr>
        <w:t>"eng"</w:t>
      </w:r>
      <w:r>
        <w:rPr>
          <w:rStyle w:val="Code"/>
        </w:rPr>
        <w:t>&gt;</w:t>
      </w:r>
      <w:r>
        <w:t xml:space="preserve"> immediately after the start tag of a textpart division</w:t>
      </w:r>
    </w:p>
    <w:p>
      <w:pPr>
        <w:pStyle w:val="Lista2"/>
      </w:pPr>
      <w:r>
        <w:t>such elements in our editions will by default be regarded as editorial and therefore need not be marked up explicitly as such</w:t>
      </w:r>
    </w:p>
    <w:p>
      <w:pPr>
        <w:pStyle w:val="Lista3"/>
      </w:pPr>
      <w:r>
        <w:t>the mandatory language attribute (§</w:t>
      </w:r>
      <w:r>
        <w:fldChar w:fldCharType="begin"/>
      </w:r>
      <w:r>
        <w:instrText xml:space="preserve"> REF _Ref233727317 \r \h </w:instrText>
      </w:r>
      <w:r>
        <w:fldChar w:fldCharType="separate"/>
      </w:r>
      <w:r>
        <w:t>14.4.1</w:t>
      </w:r>
      <w:r>
        <w:fldChar w:fldCharType="end"/>
      </w:r>
      <w:r>
        <w:t>) makes it sufficiently clear that their content is not part of the original text</w:t>
      </w:r>
    </w:p>
    <w:p>
      <w:pPr>
        <w:pStyle w:val="Lista2"/>
      </w:pPr>
      <w:r>
        <w:t>the use of this element is recommended when the textparts of an inscription are different in nature, so they cannot be conveniently described by a combination of subtype and number</w:t>
      </w:r>
    </w:p>
    <w:p>
      <w:pPr>
        <w:pStyle w:val="Lista3"/>
      </w:pPr>
      <w:r>
        <w:t xml:space="preserve">in this case add a </w:t>
      </w:r>
      <w:r>
        <w:rPr>
          <w:rStyle w:val="Code"/>
        </w:rPr>
        <w:t>&lt;head&gt;</w:t>
      </w:r>
      <w:r>
        <w:t xml:space="preserve"> element and optionally omit </w:t>
      </w:r>
      <w:r>
        <w:rPr>
          <w:rStyle w:val="Codeattribute"/>
        </w:rPr>
        <w:t>@subtype</w:t>
      </w:r>
    </w:p>
    <w:p>
      <w:pPr>
        <w:pStyle w:val="Lista2"/>
      </w:pPr>
      <w:r>
        <w:t xml:space="preserve">when multiple textparts are of the same nature, the use of </w:t>
      </w:r>
      <w:r>
        <w:rPr>
          <w:rStyle w:val="Codeattribute"/>
        </w:rPr>
        <w:t>@subtype</w:t>
      </w:r>
      <w:r>
        <w:t xml:space="preserve"> remains recommended even if </w:t>
      </w:r>
      <w:r>
        <w:rPr>
          <w:rStyle w:val="Code"/>
        </w:rPr>
        <w:t>&lt;head&gt;</w:t>
      </w:r>
      <w:r>
        <w:t xml:space="preserve"> elements are also added</w:t>
      </w:r>
    </w:p>
    <w:p>
      <w:pPr>
        <w:pStyle w:val="Lista2"/>
      </w:pPr>
      <w:r>
        <w:t xml:space="preserve">the attribute </w:t>
      </w:r>
      <w:r>
        <w:rPr>
          <w:rStyle w:val="Codeattribute"/>
        </w:rPr>
        <w:t>@n</w:t>
      </w:r>
      <w:r>
        <w:t xml:space="preserve"> on the </w:t>
      </w:r>
      <w:r>
        <w:rPr>
          <w:rStyle w:val="Code"/>
        </w:rPr>
        <w:t>&lt;div&gt;</w:t>
      </w:r>
      <w:r>
        <w:t xml:space="preserve"> element remains mandatory even if a </w:t>
      </w:r>
      <w:r>
        <w:rPr>
          <w:rStyle w:val="Code"/>
        </w:rPr>
        <w:t>&lt;head&gt;</w:t>
      </w:r>
      <w:r>
        <w:t xml:space="preserve"> is present </w:t>
      </w:r>
    </w:p>
    <w:p>
      <w:pPr>
        <w:pStyle w:val="Lista2"/>
      </w:pPr>
      <w:r>
        <w:t xml:space="preserve">see </w:t>
      </w:r>
      <w:r>
        <w:fldChar w:fldCharType="begin"/>
      </w:r>
      <w:r>
        <w:instrText xml:space="preserve"> REF _Ref44078271 \h </w:instrText>
      </w:r>
      <w:r>
        <w:fldChar w:fldCharType="separate"/>
      </w:r>
      <w:r>
        <w:t xml:space="preserve">Exhibit </w:t>
      </w:r>
      <w:r>
        <w:rPr>
          <w:noProof/>
        </w:rPr>
        <w:t>4.2</w:t>
      </w:r>
      <w:r>
        <w:t>.</w:t>
      </w:r>
      <w:r>
        <w:rPr>
          <w:noProof/>
        </w:rPr>
        <w:t>B</w:t>
      </w:r>
      <w:r>
        <w:fldChar w:fldCharType="end"/>
      </w:r>
      <w:r>
        <w:t xml:space="preserve"> for an illustration</w:t>
      </w:r>
    </w:p>
    <w:p>
      <w:pPr>
        <w:pStyle w:val="Lista"/>
      </w:pPr>
      <w:r>
        <w:t>it is generally recommended that you stick to concise headings in English, and in particular to the suggestions in the subsections of §</w:t>
      </w:r>
      <w:r>
        <w:fldChar w:fldCharType="begin"/>
      </w:r>
      <w:r>
        <w:instrText xml:space="preserve"> REF _Ref224742342 \r \h </w:instrText>
      </w:r>
      <w:r>
        <w:fldChar w:fldCharType="separate"/>
      </w:r>
      <w:r>
        <w:t>4.2.1.4</w:t>
      </w:r>
      <w:r>
        <w:fldChar w:fldCharType="end"/>
      </w:r>
      <w:r>
        <w:t xml:space="preserve"> for specific use cases</w:t>
      </w:r>
    </w:p>
    <w:p>
      <w:pPr>
        <w:pStyle w:val="Lista2"/>
      </w:pPr>
      <w:r>
        <w:t xml:space="preserve">the editorial heading will be neither altered in display, nor supplemented with the value of </w:t>
      </w:r>
      <w:r>
        <w:rPr>
          <w:rStyle w:val="Codeattribute"/>
        </w:rPr>
        <w:t>@n</w:t>
      </w:r>
      <w:r>
        <w:t>, so when creating custom headings,</w:t>
      </w:r>
    </w:p>
    <w:p>
      <w:pPr>
        <w:pStyle w:val="Lista3"/>
      </w:pPr>
      <w:r>
        <w:t>use a capital initial and feel free to include spaces, additional capitals and punctuation as necessary</w:t>
      </w:r>
    </w:p>
    <w:p>
      <w:pPr>
        <w:pStyle w:val="Lista3"/>
      </w:pPr>
      <w:r>
        <w:t xml:space="preserve">however, to avoid complications, do not use any further markup within this element, except the element </w:t>
      </w:r>
      <w:r>
        <w:rPr>
          <w:rStyle w:val="Code"/>
        </w:rPr>
        <w:t>&lt;foreign&gt;</w:t>
      </w:r>
      <w:r>
        <w:t xml:space="preserve"> </w:t>
      </w:r>
      <w:r>
        <w:rPr>
          <w:noProof/>
        </w:rPr>
        <w:t>(</w:t>
      </w:r>
      <w:r>
        <w:t>§</w:t>
      </w:r>
      <w:r>
        <w:fldChar w:fldCharType="begin"/>
      </w:r>
      <w:r>
        <w:instrText xml:space="preserve"> REF _Ref43986658 \w \h  \* MERGEFORMAT </w:instrText>
      </w:r>
      <w:r>
        <w:fldChar w:fldCharType="separate"/>
      </w:r>
      <w:r>
        <w:t>14.4.2</w:t>
      </w:r>
      <w:r>
        <w:fldChar w:fldCharType="end"/>
      </w:r>
      <w:r>
        <w:t>), which you may employ if you deem necessary</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67" w:name="_Ref44078271"/>
            <w:r>
              <w:t xml:space="preserve">Exhibit </w:t>
            </w:r>
            <w:fldSimple w:instr=" STYLEREF 2 \s ">
              <w:r>
                <w:rPr>
                  <w:noProof/>
                </w:rPr>
                <w:t>4.2</w:t>
              </w:r>
            </w:fldSimple>
            <w:r>
              <w:t>.</w:t>
            </w:r>
            <w:fldSimple w:instr=" SEQ Exhibit \* ALPHABETIC \s 2 ">
              <w:r>
                <w:rPr>
                  <w:noProof/>
                </w:rPr>
                <w:t>B</w:t>
              </w:r>
            </w:fldSimple>
            <w:bookmarkEnd w:id="167"/>
            <w:r>
              <w:t>: non-contiguous fragments with custom headings</w:t>
            </w:r>
          </w:p>
        </w:tc>
      </w:tr>
      <w:tr>
        <w:tc>
          <w:tcPr>
            <w:tcW w:w="5000" w:type="pct"/>
          </w:tcPr>
          <w:p>
            <w:pPr>
              <w:pStyle w:val="CodeParagraph"/>
              <w:keepNext/>
              <w:rPr>
                <w:rStyle w:val="Code"/>
              </w:rPr>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"1"</w:t>
            </w:r>
            <w:r>
              <w:rPr>
                <w:rStyle w:val="Code"/>
              </w:rPr>
              <w:t>&gt;</w:t>
            </w:r>
          </w:p>
          <w:p>
            <w:pPr>
              <w:pStyle w:val="CodeParagraph"/>
              <w:keepNext/>
              <w:rPr>
                <w:rStyle w:val="Code"/>
              </w:rPr>
            </w:pPr>
            <w:r>
              <w:rPr>
                <w:rStyle w:val="Code"/>
              </w:rPr>
              <w:t xml:space="preserve">&lt;head </w:t>
            </w:r>
            <w:r>
              <w:rPr>
                <w:rStyle w:val="Codeattribute"/>
              </w:rPr>
              <w:t>xml:lang</w:t>
            </w:r>
            <w:r>
              <w:rPr>
                <w:rStyle w:val="Code"/>
              </w:rPr>
              <w:t>=</w:t>
            </w:r>
            <w:r>
              <w:rPr>
                <w:rStyle w:val="Codevalue"/>
              </w:rPr>
              <w:t>"eng"</w:t>
            </w:r>
            <w:r>
              <w:rPr>
                <w:rStyle w:val="Code"/>
              </w:rPr>
              <w:t>&gt;</w:t>
            </w:r>
            <w:r>
              <w:rPr>
                <w:rStyle w:val="Codetext"/>
              </w:rPr>
              <w:t>Upper left corner</w:t>
            </w:r>
            <w:r>
              <w:rPr>
                <w:rStyle w:val="Code"/>
              </w:rPr>
              <w:t>&lt;/head&gt;</w:t>
            </w:r>
            <w:r>
              <w:rPr>
                <w:rStyle w:val="Codetext"/>
              </w:rPr>
              <w:br/>
              <w:t xml:space="preserve">  ...</w:t>
            </w:r>
            <w:r>
              <w:rPr>
                <w:rStyle w:val="Codetext"/>
              </w:rPr>
              <w:br/>
            </w:r>
            <w:r>
              <w:rPr>
                <w:rStyle w:val="Code"/>
              </w:rPr>
              <w:t>&lt;/div&gt;</w:t>
            </w:r>
          </w:p>
          <w:p>
            <w:pPr>
              <w:pStyle w:val="CodeParagraph"/>
              <w:keepNext/>
              <w:rPr>
                <w:rStyle w:val="Code"/>
              </w:rPr>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"2"</w:t>
            </w:r>
            <w:r>
              <w:rPr>
                <w:rStyle w:val="Code"/>
              </w:rPr>
              <w:t>&gt;</w:t>
            </w:r>
          </w:p>
          <w:p>
            <w:pPr>
              <w:pStyle w:val="CodeParagraph"/>
              <w:keepNext/>
              <w:rPr>
                <w:rStyle w:val="Codetext"/>
              </w:rPr>
            </w:pPr>
            <w:r>
              <w:rPr>
                <w:rStyle w:val="Code"/>
              </w:rPr>
              <w:t xml:space="preserve">&lt;head </w:t>
            </w:r>
            <w:r>
              <w:rPr>
                <w:rStyle w:val="Codeattribute"/>
              </w:rPr>
              <w:t>xml:lang</w:t>
            </w:r>
            <w:r>
              <w:rPr>
                <w:rStyle w:val="Code"/>
              </w:rPr>
              <w:t>=</w:t>
            </w:r>
            <w:r>
              <w:rPr>
                <w:rStyle w:val="Codevalue"/>
              </w:rPr>
              <w:t>"eng"</w:t>
            </w:r>
            <w:r>
              <w:rPr>
                <w:rStyle w:val="Code"/>
              </w:rPr>
              <w:t>&gt;</w:t>
            </w:r>
            <w:r>
              <w:rPr>
                <w:rStyle w:val="Codetext"/>
              </w:rPr>
              <w:t>A small piece not adjacent to any edge</w:t>
            </w:r>
            <w:r>
              <w:rPr>
                <w:rStyle w:val="Code"/>
              </w:rPr>
              <w:t>&lt;/head&gt;</w:t>
            </w:r>
            <w:r>
              <w:rPr>
                <w:rStyle w:val="Codetext"/>
              </w:rPr>
              <w:br/>
              <w:t xml:space="preserve">  ...</w:t>
            </w:r>
          </w:p>
          <w:p>
            <w:pPr>
              <w:pStyle w:val="CodeParagraph"/>
              <w:keepNext/>
              <w:rPr>
                <w:rFonts w:ascii="Consolas" w:hAnsi="Consolas" w:cs="Consolas"/>
                <w:noProof/>
                <w:color w:val="002060"/>
                <w:shd w:val="clear" w:color="auto" w:fill="F2F2F2" w:themeFill="background1" w:themeFillShade="F2"/>
              </w:rPr>
            </w:pPr>
            <w:r>
              <w:rPr>
                <w:rStyle w:val="Code"/>
              </w:rPr>
              <w:t>&lt;/div&gt;</w:t>
            </w:r>
          </w:p>
        </w:tc>
      </w:tr>
      <w:tr>
        <w:tc>
          <w:tcPr>
            <w:tcW w:w="5000" w:type="pct"/>
          </w:tcPr>
          <w:p>
            <w:pPr>
              <w:pStyle w:val="TableNote"/>
            </w:pPr>
            <w:r>
              <w:t>explicitly encoded headings will show “Upper left corner” and “A small piece not adjacent to any edge”</w:t>
            </w:r>
          </w:p>
        </w:tc>
      </w:tr>
    </w:tbl>
    <w:p>
      <w:pPr>
        <w:pStyle w:val="Cmsor4"/>
      </w:pPr>
      <w:bookmarkStart w:id="168" w:name="_ntlxakteb3wm" w:colFirst="0" w:colLast="0"/>
      <w:bookmarkStart w:id="169" w:name="_u4tz39yk0lmz" w:colFirst="0" w:colLast="0"/>
      <w:bookmarkStart w:id="170" w:name="_v01oqe9wesr6" w:colFirst="0" w:colLast="0"/>
      <w:bookmarkStart w:id="171" w:name="_suh8lewninkg" w:colFirst="0" w:colLast="0"/>
      <w:bookmarkStart w:id="172" w:name="_ro2q56korov1" w:colFirst="0" w:colLast="0"/>
      <w:bookmarkStart w:id="173" w:name="_fh0zn6srq43l" w:colFirst="0" w:colLast="0"/>
      <w:bookmarkStart w:id="174" w:name="_Ref225324541"/>
      <w:bookmarkStart w:id="175" w:name="_Ref224742342"/>
      <w:bookmarkStart w:id="176" w:name="_Ref43986747"/>
      <w:bookmarkEnd w:id="168"/>
      <w:bookmarkEnd w:id="169"/>
      <w:bookmarkEnd w:id="170"/>
      <w:bookmarkEnd w:id="171"/>
      <w:bookmarkEnd w:id="172"/>
      <w:bookmarkEnd w:id="173"/>
      <w:r>
        <w:t>Numbering elements within textparts</w:t>
      </w:r>
      <w:bookmarkEnd w:id="174"/>
    </w:p>
    <w:p>
      <w:pPr>
        <w:rPr>
          <w:lang w:eastAsia="en-US" w:bidi="ar-SA"/>
        </w:rPr>
      </w:pPr>
      <w:r>
        <w:rPr>
          <w:lang w:eastAsia="en-US" w:bidi="ar-SA"/>
        </w:rPr>
        <w:t xml:space="preserve">The numbering of structural elements serves for reference, implying that the number of any represented entity should be unique. However, uniqueness is only a criterion within each textpart, since a reference unique across the entire edition can still be created by combining the textpart number with the number of </w:t>
      </w:r>
      <w:r>
        <w:rPr>
          <w:lang w:eastAsia="en-US" w:bidi="ar-SA"/>
        </w:rPr>
        <w:lastRenderedPageBreak/>
        <w:t>the entity in question. For example, even if textpart A and textpart B both have a line 1, these can still be identified unambiguously as “line 1 of textpart A” and “line 1 of textpart B”.</w:t>
      </w:r>
    </w:p>
    <w:p>
      <w:pPr>
        <w:pStyle w:val="Normlbehzs"/>
      </w:pPr>
      <w:r>
        <w:rPr>
          <w:lang w:eastAsia="en-US" w:bidi="ar-SA"/>
        </w:rPr>
        <w:t xml:space="preserve">Because textpart divisions are essentially independent editions, for the sake of clarity and consistency we recommend restarting numeration in each textpart for any structural entities present in more than one textpart (typically: physical lines and stanzas). Doing so is especially warranted when there is no </w:t>
      </w:r>
      <w:r>
        <w:t>straightforward sequence of progression from one textpart to another, but restarting never does any harm. Therefore, employ consecutive numbering through textparts only when you have a strong reason to do so.</w:t>
      </w:r>
    </w:p>
    <w:p>
      <w:pPr>
        <w:pStyle w:val="Cmsor2"/>
      </w:pPr>
      <w:bookmarkStart w:id="177" w:name="_Ref225327729"/>
      <w:bookmarkEnd w:id="175"/>
      <w:bookmarkEnd w:id="176"/>
      <w:r>
        <w:t>Encoding with milestones</w:t>
      </w:r>
      <w:bookmarkEnd w:id="177"/>
    </w:p>
    <w:p>
      <w:r>
        <w:t>As introduced in §</w:t>
      </w:r>
      <w:r>
        <w:fldChar w:fldCharType="begin"/>
      </w:r>
      <w:r>
        <w:instrText xml:space="preserve"> REF _Ref182923075 \r \h </w:instrText>
      </w:r>
      <w:r>
        <w:fldChar w:fldCharType="separate"/>
      </w:r>
      <w:r>
        <w:t>4.1</w:t>
      </w:r>
      <w:r>
        <w:fldChar w:fldCharType="end"/>
      </w:r>
      <w:r>
        <w:t xml:space="preserve">, we employ empty elements to indicate points of transition relevant to extrinsic structure. This kind of empty element is called a milestone in TEI parlance. The generic </w:t>
      </w:r>
      <w:r>
        <w:rPr>
          <w:rStyle w:val="Code"/>
        </w:rPr>
        <w:t>&lt;milestone/&gt;</w:t>
      </w:r>
      <w:r>
        <w:t xml:space="preserve"> element, when used for extrinsic structure, must always carry the attribute </w:t>
      </w:r>
      <w:r>
        <w:rPr>
          <w:rStyle w:val="Codeattribute"/>
        </w:rPr>
        <w:t>@unit</w:t>
      </w:r>
      <w:r>
        <w:t xml:space="preserve"> (§</w:t>
      </w:r>
      <w:r>
        <w:fldChar w:fldCharType="begin"/>
      </w:r>
      <w:r>
        <w:instrText xml:space="preserve"> REF _Ref182815315 \r \h </w:instrText>
      </w:r>
      <w:r>
        <w:fldChar w:fldCharType="separate"/>
      </w:r>
      <w:r>
        <w:t>4.3.1</w:t>
      </w:r>
      <w:r>
        <w:fldChar w:fldCharType="end"/>
      </w:r>
      <w:r>
        <w:t xml:space="preserve">) to encode what kind of transition it represents. TEI also provides several specialised milestone elements, where the unit is implicit in the element’s name and does not need to be encoded explicitly. Of these, our encoding makes use of </w:t>
      </w:r>
      <w:r>
        <w:rPr>
          <w:rStyle w:val="Code"/>
        </w:rPr>
        <w:t>&lt;pb/&gt;</w:t>
      </w:r>
      <w:r>
        <w:t xml:space="preserve"> “Page Beginning” (§</w:t>
      </w:r>
      <w:r>
        <w:fldChar w:fldCharType="begin"/>
      </w:r>
      <w:r>
        <w:instrText xml:space="preserve"> REF _Ref183083979 \r \h </w:instrText>
      </w:r>
      <w:r>
        <w:fldChar w:fldCharType="separate"/>
      </w:r>
      <w:r>
        <w:t>4.4.2</w:t>
      </w:r>
      <w:r>
        <w:fldChar w:fldCharType="end"/>
      </w:r>
      <w:r>
        <w:t xml:space="preserve">) and </w:t>
      </w:r>
      <w:r>
        <w:rPr>
          <w:rStyle w:val="Code"/>
        </w:rPr>
        <w:t>&lt;lb/&gt;</w:t>
      </w:r>
      <w:r>
        <w:t xml:space="preserve"> “Line Beginning” (§</w:t>
      </w:r>
      <w:r>
        <w:fldChar w:fldCharType="begin"/>
      </w:r>
      <w:r>
        <w:instrText xml:space="preserve"> REF _Ref224720139 \r \h </w:instrText>
      </w:r>
      <w:r>
        <w:fldChar w:fldCharType="separate"/>
      </w:r>
      <w:r>
        <w:t>4.5</w:t>
      </w:r>
      <w:r>
        <w:fldChar w:fldCharType="end"/>
      </w:r>
      <w:r>
        <w:t xml:space="preserve">), while the generic </w:t>
      </w:r>
      <w:r>
        <w:rPr>
          <w:rStyle w:val="Code"/>
        </w:rPr>
        <w:t>&lt;milestone/&gt;</w:t>
      </w:r>
      <w:r>
        <w:t xml:space="preserve"> element is used with </w:t>
      </w:r>
      <w:r>
        <w:rPr>
          <w:rStyle w:val="Codeattribute"/>
        </w:rPr>
        <w:t>@type=</w:t>
      </w:r>
      <w:r>
        <w:rPr>
          <w:rStyle w:val="Codevalue"/>
        </w:rPr>
        <w:t>"pagelike"</w:t>
      </w:r>
      <w:r>
        <w:t xml:space="preserve"> to represent pagelike partitions other than actual pages (§</w:t>
      </w:r>
      <w:r>
        <w:fldChar w:fldCharType="begin"/>
      </w:r>
      <w:r>
        <w:instrText xml:space="preserve"> REF _Ref43986679 \r \h </w:instrText>
      </w:r>
      <w:r>
        <w:fldChar w:fldCharType="separate"/>
      </w:r>
      <w:r>
        <w:t>4.4.2.1</w:t>
      </w:r>
      <w:r>
        <w:fldChar w:fldCharType="end"/>
      </w:r>
      <w:r>
        <w:t xml:space="preserve">), and without </w:t>
      </w:r>
      <w:r>
        <w:rPr>
          <w:rStyle w:val="Codeattribute"/>
        </w:rPr>
        <w:t>@type</w:t>
      </w:r>
      <w:r>
        <w:t xml:space="preserve"> to represent gridlike partitions (§</w:t>
      </w:r>
      <w:r>
        <w:fldChar w:fldCharType="begin"/>
      </w:r>
      <w:r>
        <w:instrText xml:space="preserve"> REF _Ref182310382 \r \h </w:instrText>
      </w:r>
      <w:r>
        <w:fldChar w:fldCharType="separate"/>
      </w:r>
      <w:r>
        <w:t>4.6.1</w:t>
      </w:r>
      <w:r>
        <w:fldChar w:fldCharType="end"/>
      </w:r>
      <w:r>
        <w:t>).</w:t>
      </w:r>
      <w:r>
        <w:rPr>
          <w:rStyle w:val="Lbjegyzet-hivatkozs"/>
        </w:rPr>
        <w:footnoteReference w:id="14"/>
      </w:r>
      <w:r>
        <w:t xml:space="preserve"> Milestone-type elements representing extrinsic structure are always numbered in our editions, with numeration schemes for each kind discussed in the relevant sections. The present section gathers instructions that apply in general to the structural milestones we use.</w:t>
      </w:r>
    </w:p>
    <w:p>
      <w:pPr>
        <w:pStyle w:val="Cmsor3"/>
      </w:pPr>
      <w:bookmarkStart w:id="178" w:name="_2po8nsoeevw0" w:colFirst="0" w:colLast="0"/>
      <w:bookmarkStart w:id="179" w:name="_Ref182815315"/>
      <w:bookmarkStart w:id="180" w:name="_Ref43979481"/>
      <w:bookmarkStart w:id="181" w:name="_Ref182580598"/>
      <w:bookmarkStart w:id="182" w:name="_Ref182580609"/>
      <w:bookmarkStart w:id="183" w:name="_Ref182580645"/>
      <w:bookmarkStart w:id="184" w:name="_Ref182580657"/>
      <w:bookmarkStart w:id="185" w:name="_Ref182580801"/>
      <w:bookmarkStart w:id="186" w:name="_Toc242976603"/>
      <w:bookmarkEnd w:id="178"/>
      <w:r>
        <w:t>Milestone units</w:t>
      </w:r>
      <w:bookmarkEnd w:id="179"/>
      <w:bookmarkEnd w:id="186"/>
    </w:p>
    <w:p>
      <w:pPr>
        <w:pStyle w:val="Lista"/>
      </w:pPr>
      <w:r>
        <w:t xml:space="preserve">the attribute </w:t>
      </w:r>
      <w:r>
        <w:rPr>
          <w:rStyle w:val="Codeattribute"/>
        </w:rPr>
        <w:t>@unit</w:t>
      </w:r>
      <w:r>
        <w:t xml:space="preserve"> is mandatory for all </w:t>
      </w:r>
      <w:r>
        <w:rPr>
          <w:rStyle w:val="Code"/>
        </w:rPr>
        <w:t>&lt;milestone&gt;</w:t>
      </w:r>
      <w:r>
        <w:t xml:space="preserve"> elements representing extrinsic structure</w:t>
      </w:r>
    </w:p>
    <w:p>
      <w:pPr>
        <w:pStyle w:val="Lista"/>
      </w:pPr>
      <w:r>
        <w:t xml:space="preserve">the value of this attribute shall be a single word describing the nature of the partition analogously to the (optional) </w:t>
      </w:r>
      <w:r>
        <w:rPr>
          <w:rStyle w:val="Codeattribute"/>
        </w:rPr>
        <w:t>@subtype</w:t>
      </w:r>
      <w:r>
        <w:t xml:space="preserve"> of textpart divisions </w:t>
      </w:r>
      <w:r>
        <w:rPr>
          <w:noProof/>
        </w:rPr>
        <w:t>(</w:t>
      </w:r>
      <w:r>
        <w:t>§</w:t>
      </w:r>
      <w:r>
        <w:fldChar w:fldCharType="begin"/>
      </w:r>
      <w:r>
        <w:instrText xml:space="preserve"> REF _Ref182236825 \r \h </w:instrText>
      </w:r>
      <w:r>
        <w:fldChar w:fldCharType="separate"/>
      </w:r>
      <w:r>
        <w:t>4.2.1.2</w:t>
      </w:r>
      <w:r>
        <w:fldChar w:fldCharType="end"/>
      </w:r>
      <w:r>
        <w:t>), based on the physical nature of the corresponding partition of extrinsic structure, disregarding its visual appearance, topological position relative to other textparts, and semantic function in intrinsic structure</w:t>
      </w:r>
    </w:p>
    <w:p>
      <w:pPr>
        <w:pStyle w:val="Lista"/>
      </w:pPr>
      <w:r>
        <w:t xml:space="preserve">the permitted values of </w:t>
      </w:r>
      <w:r>
        <w:rPr>
          <w:rStyle w:val="Codeattribute"/>
        </w:rPr>
        <w:t>@unit</w:t>
      </w:r>
      <w:r>
        <w:t>, applicable to both pagelike (§</w:t>
      </w:r>
      <w:r>
        <w:fldChar w:fldCharType="begin"/>
      </w:r>
      <w:r>
        <w:instrText xml:space="preserve"> REF _Ref43986679 \r \h </w:instrText>
      </w:r>
      <w:r>
        <w:fldChar w:fldCharType="separate"/>
      </w:r>
      <w:r>
        <w:t>4.4.2.1</w:t>
      </w:r>
      <w:r>
        <w:fldChar w:fldCharType="end"/>
      </w:r>
      <w:r>
        <w:t>) and gridlike (§</w:t>
      </w:r>
      <w:r>
        <w:fldChar w:fldCharType="begin"/>
      </w:r>
      <w:r>
        <w:instrText xml:space="preserve"> REF _Ref182310382 \r \h </w:instrText>
      </w:r>
      <w:r>
        <w:fldChar w:fldCharType="separate"/>
      </w:r>
      <w:r>
        <w:t>4.6.1</w:t>
      </w:r>
      <w:r>
        <w:fldChar w:fldCharType="end"/>
      </w:r>
      <w:r>
        <w:t xml:space="preserve">) </w:t>
      </w:r>
      <w:r>
        <w:rPr>
          <w:rStyle w:val="Code"/>
        </w:rPr>
        <w:t>&lt;milestone&gt;</w:t>
      </w:r>
      <w:r>
        <w:t xml:space="preserve"> elements, are as follows:</w:t>
      </w:r>
    </w:p>
    <w:p>
      <w:pPr>
        <w:pStyle w:val="Lista2"/>
      </w:pPr>
      <w:r>
        <w:rPr>
          <w:rStyle w:val="Codevalue"/>
        </w:rPr>
        <w:t>"block"</w:t>
      </w:r>
      <w:r>
        <w:t xml:space="preserve"> for inscriptions on separable architectural blocks in a larger element such as a wall (gridlike: </w:t>
      </w:r>
      <w:r>
        <w:fldChar w:fldCharType="begin"/>
      </w:r>
      <w:r>
        <w:instrText xml:space="preserve"> REF _Ref44078533 \h </w:instrText>
      </w:r>
      <w:r>
        <w:fldChar w:fldCharType="separate"/>
      </w:r>
      <w:r>
        <w:t xml:space="preserve">Exhibit </w:t>
      </w:r>
      <w:r>
        <w:rPr>
          <w:noProof/>
        </w:rPr>
        <w:t>4.7</w:t>
      </w:r>
      <w:r>
        <w:t>.</w:t>
      </w:r>
      <w:r>
        <w:rPr>
          <w:noProof/>
        </w:rPr>
        <w:t>O</w:t>
      </w:r>
      <w:r>
        <w:fldChar w:fldCharType="end"/>
      </w:r>
      <w:r>
        <w:t>)</w:t>
      </w:r>
    </w:p>
    <w:p>
      <w:pPr>
        <w:pStyle w:val="Lista2"/>
      </w:pPr>
      <w:r>
        <w:rPr>
          <w:rStyle w:val="Codevalue"/>
        </w:rPr>
        <w:t>"column"</w:t>
      </w:r>
      <w:r>
        <w:t xml:space="preserve"> for zones placed side by side and generally taller than they are wide</w:t>
      </w:r>
    </w:p>
    <w:p>
      <w:pPr>
        <w:pStyle w:val="Lista3"/>
      </w:pPr>
      <w:r>
        <w:rPr>
          <w:noProof/>
        </w:rPr>
        <w:t xml:space="preserve">resembling </w:t>
      </w:r>
      <w:r>
        <w:t xml:space="preserve">the columns of newsprint for pagelike partitions, as in </w:t>
      </w:r>
      <w:r>
        <w:fldChar w:fldCharType="begin"/>
      </w:r>
      <w:r>
        <w:instrText xml:space="preserve"> REF _Ref44078357 \h </w:instrText>
      </w:r>
      <w:r>
        <w:fldChar w:fldCharType="separate"/>
      </w:r>
      <w:r>
        <w:t xml:space="preserve">Exhibit </w:t>
      </w:r>
      <w:r>
        <w:rPr>
          <w:noProof/>
        </w:rPr>
        <w:t>4.7</w:t>
      </w:r>
      <w:r>
        <w:t>.</w:t>
      </w:r>
      <w:r>
        <w:rPr>
          <w:noProof/>
        </w:rPr>
        <w:t>K</w:t>
      </w:r>
      <w:r>
        <w:fldChar w:fldCharType="end"/>
      </w:r>
    </w:p>
    <w:p>
      <w:pPr>
        <w:pStyle w:val="Lista3"/>
      </w:pPr>
      <w:r>
        <w:t xml:space="preserve">resembling verse with metrical subunits arranged into quasi-columns for gridlike partitions, as in </w:t>
      </w:r>
      <w:r>
        <w:fldChar w:fldCharType="begin"/>
      </w:r>
      <w:r>
        <w:instrText xml:space="preserve"> REF _Ref44078509 \h </w:instrText>
      </w:r>
      <w:r>
        <w:fldChar w:fldCharType="separate"/>
      </w:r>
      <w:r>
        <w:t xml:space="preserve">Exhibit </w:t>
      </w:r>
      <w:r>
        <w:rPr>
          <w:noProof/>
        </w:rPr>
        <w:t>4.7</w:t>
      </w:r>
      <w:r>
        <w:t>.</w:t>
      </w:r>
      <w:r>
        <w:rPr>
          <w:noProof/>
        </w:rPr>
        <w:t>Q</w:t>
      </w:r>
      <w:r>
        <w:fldChar w:fldCharType="end"/>
      </w:r>
      <w:r>
        <w:t xml:space="preserve"> and the Case Study in </w:t>
      </w:r>
      <w:r>
        <w:fldChar w:fldCharType="begin"/>
      </w:r>
      <w:r>
        <w:instrText xml:space="preserve"> REF _Ref239843991 \r \h </w:instrText>
      </w:r>
      <w:r>
        <w:fldChar w:fldCharType="separate"/>
      </w:r>
      <w:r>
        <w:t>Appendix A.6</w:t>
      </w:r>
      <w:r>
        <w:fldChar w:fldCharType="end"/>
      </w:r>
    </w:p>
    <w:p>
      <w:pPr>
        <w:pStyle w:val="Lista2"/>
      </w:pPr>
      <w:r>
        <w:rPr>
          <w:rStyle w:val="Codevalue"/>
        </w:rPr>
        <w:t>"face"</w:t>
      </w:r>
      <w:r>
        <w:t xml:space="preserve"> for a physically contiguous surface of a three-dimensional object of any shape and any number of sides (gridlike: </w:t>
      </w:r>
      <w:r>
        <w:fldChar w:fldCharType="begin"/>
      </w:r>
      <w:r>
        <w:instrText xml:space="preserve"> REF _Ref182822234 \h </w:instrText>
      </w:r>
      <w:r>
        <w:fldChar w:fldCharType="separate"/>
      </w:r>
      <w:r>
        <w:t xml:space="preserve">Exhibit </w:t>
      </w:r>
      <w:r>
        <w:rPr>
          <w:noProof/>
        </w:rPr>
        <w:t>4.7</w:t>
      </w:r>
      <w:r>
        <w:t>.</w:t>
      </w:r>
      <w:r>
        <w:rPr>
          <w:noProof/>
        </w:rPr>
        <w:t>R</w:t>
      </w:r>
      <w:r>
        <w:fldChar w:fldCharType="end"/>
      </w:r>
      <w:r>
        <w:t xml:space="preserve">; see also the Case Study in </w:t>
      </w:r>
      <w:r>
        <w:fldChar w:fldCharType="begin"/>
      </w:r>
      <w:r>
        <w:instrText xml:space="preserve"> REF _Ref239843991 \r \h </w:instrText>
      </w:r>
      <w:r>
        <w:fldChar w:fldCharType="separate"/>
      </w:r>
      <w:r>
        <w:t>Appendix A.6</w:t>
      </w:r>
      <w:r>
        <w:fldChar w:fldCharType="end"/>
      </w:r>
      <w:r>
        <w:t xml:space="preserve"> for pagelike faces subdivided into gridlike columns)</w:t>
      </w:r>
    </w:p>
    <w:p>
      <w:pPr>
        <w:pStyle w:val="Lista2"/>
      </w:pPr>
      <w:r>
        <w:rPr>
          <w:rStyle w:val="Codevalue"/>
        </w:rPr>
        <w:t>"faces"</w:t>
      </w:r>
      <w:r>
        <w:t xml:space="preserve"> in texts where each pagelike zone involves lines continuing across two or more surfaces such as the frontal and lateral face of a four-sided stele</w:t>
      </w:r>
    </w:p>
    <w:p>
      <w:pPr>
        <w:pStyle w:val="Lista3"/>
      </w:pPr>
      <w:r>
        <w:t xml:space="preserve">this unit is not normally applicable to gridlike partitions, but a gridlike partition with </w:t>
      </w:r>
      <w:r>
        <w:rPr>
          <w:rStyle w:val="Codeattribute"/>
        </w:rPr>
        <w:t>@unit=</w:t>
      </w:r>
      <w:r>
        <w:rPr>
          <w:rStyle w:val="Codevalue"/>
        </w:rPr>
        <w:t>"face"</w:t>
      </w:r>
      <w:r>
        <w:t xml:space="preserve"> may be used to encode the boundary of each face constituting a pagelike zone of this kind, as in the Case Study in </w:t>
      </w:r>
      <w:r>
        <w:fldChar w:fldCharType="begin"/>
      </w:r>
      <w:r>
        <w:instrText xml:space="preserve"> REF _Ref239844040 \r \h </w:instrText>
      </w:r>
      <w:r>
        <w:fldChar w:fldCharType="separate"/>
      </w:r>
      <w:r>
        <w:t>Appendix A.5</w:t>
      </w:r>
      <w:r>
        <w:fldChar w:fldCharType="end"/>
      </w:r>
      <w:r>
        <w:t xml:space="preserve"> </w:t>
      </w:r>
    </w:p>
    <w:p>
      <w:pPr>
        <w:pStyle w:val="Lista2"/>
      </w:pPr>
      <w:r>
        <w:rPr>
          <w:rStyle w:val="Codevalue"/>
        </w:rPr>
        <w:t>"fragment"</w:t>
      </w:r>
      <w:r>
        <w:t xml:space="preserve"> for objects with two or more extant inscribed fragments</w:t>
      </w:r>
    </w:p>
    <w:p>
      <w:pPr>
        <w:pStyle w:val="Lista3"/>
      </w:pPr>
      <w:r>
        <w:t xml:space="preserve">fragmentation generally engenders gridlike partitions as in </w:t>
      </w:r>
      <w:r>
        <w:fldChar w:fldCharType="begin"/>
      </w:r>
      <w:r>
        <w:instrText xml:space="preserve"> REF _Ref182834408 \h </w:instrText>
      </w:r>
      <w:r>
        <w:fldChar w:fldCharType="separate"/>
      </w:r>
      <w:r>
        <w:t xml:space="preserve">Exhibit </w:t>
      </w:r>
      <w:r>
        <w:rPr>
          <w:noProof/>
        </w:rPr>
        <w:t>4.7</w:t>
      </w:r>
      <w:r>
        <w:t>.</w:t>
      </w:r>
      <w:r>
        <w:rPr>
          <w:noProof/>
        </w:rPr>
        <w:t>W</w:t>
      </w:r>
      <w:r>
        <w:fldChar w:fldCharType="end"/>
      </w:r>
      <w:r>
        <w:t xml:space="preserve">, but may occasionally result in a pagelike partition as in </w:t>
      </w:r>
      <w:r>
        <w:fldChar w:fldCharType="begin"/>
      </w:r>
      <w:r>
        <w:instrText xml:space="preserve"> REF _Ref182822467 \h </w:instrText>
      </w:r>
      <w:r>
        <w:fldChar w:fldCharType="separate"/>
      </w:r>
      <w:r>
        <w:t xml:space="preserve">Exhibit </w:t>
      </w:r>
      <w:r>
        <w:rPr>
          <w:noProof/>
        </w:rPr>
        <w:t>4.7</w:t>
      </w:r>
      <w:r>
        <w:t>.</w:t>
      </w:r>
      <w:r>
        <w:rPr>
          <w:noProof/>
        </w:rPr>
        <w:t>X</w:t>
      </w:r>
      <w:r>
        <w:fldChar w:fldCharType="end"/>
      </w:r>
      <w:r>
        <w:t xml:space="preserve"> as well as in a boxlike one as in </w:t>
      </w:r>
      <w:r>
        <w:fldChar w:fldCharType="begin"/>
      </w:r>
      <w:r>
        <w:instrText xml:space="preserve"> REF _Ref44078070 \h </w:instrText>
      </w:r>
      <w:r>
        <w:fldChar w:fldCharType="separate"/>
      </w:r>
      <w:r>
        <w:t xml:space="preserve">Exhibit </w:t>
      </w:r>
      <w:r>
        <w:rPr>
          <w:noProof/>
        </w:rPr>
        <w:t>4.7</w:t>
      </w:r>
      <w:r>
        <w:t>.</w:t>
      </w:r>
      <w:r>
        <w:rPr>
          <w:noProof/>
        </w:rPr>
        <w:t>I</w:t>
      </w:r>
      <w:r>
        <w:fldChar w:fldCharType="end"/>
      </w:r>
    </w:p>
    <w:p>
      <w:pPr>
        <w:pStyle w:val="Lista2"/>
      </w:pPr>
      <w:r>
        <w:rPr>
          <w:rStyle w:val="Codevalue"/>
        </w:rPr>
        <w:t>"item"</w:t>
      </w:r>
      <w:r>
        <w:t xml:space="preserve"> for physically separate objects such as architectural elements, e.g. when an inscription is engraved on two pillars or doorjambs (pagelike </w:t>
      </w:r>
      <w:r>
        <w:fldChar w:fldCharType="begin"/>
      </w:r>
      <w:r>
        <w:instrText xml:space="preserve"> REF _Ref44078459 \h </w:instrText>
      </w:r>
      <w:r>
        <w:fldChar w:fldCharType="separate"/>
      </w:r>
      <w:r>
        <w:t xml:space="preserve">Exhibit </w:t>
      </w:r>
      <w:r>
        <w:rPr>
          <w:noProof/>
        </w:rPr>
        <w:t>4.4</w:t>
      </w:r>
      <w:r>
        <w:t>.</w:t>
      </w:r>
      <w:r>
        <w:rPr>
          <w:noProof/>
        </w:rPr>
        <w:t>C</w:t>
      </w:r>
      <w:r>
        <w:fldChar w:fldCharType="end"/>
      </w:r>
      <w:r>
        <w:t>)</w:t>
      </w:r>
    </w:p>
    <w:p>
      <w:pPr>
        <w:pStyle w:val="Lista3"/>
      </w:pPr>
      <w:r>
        <w:lastRenderedPageBreak/>
        <w:t>this unit is not normally applicable to gridlike partitions</w:t>
      </w:r>
    </w:p>
    <w:p>
      <w:pPr>
        <w:pStyle w:val="Lista2"/>
      </w:pPr>
      <w:r>
        <w:rPr>
          <w:rStyle w:val="Codevalue"/>
        </w:rPr>
        <w:t>"zone"</w:t>
      </w:r>
      <w:r>
        <w:t xml:space="preserve"> for visually distinct zones that do not readily meet any of the specific definitions above</w:t>
      </w:r>
    </w:p>
    <w:p>
      <w:pPr>
        <w:pStyle w:val="Lista3"/>
      </w:pPr>
      <w:r>
        <w:t>a zone is generally conceived of as being on a single contiguous surface, but in inscriptions with a complex topology, this unit may also be used for a visually distinct area occupying two or more surfaces</w:t>
      </w:r>
    </w:p>
    <w:p>
      <w:pPr>
        <w:pStyle w:val="Lista2"/>
      </w:pPr>
      <w:bookmarkStart w:id="187" w:name="_Ref225352317"/>
      <w:bookmarkStart w:id="188" w:name="_Ref225324572"/>
      <w:r>
        <w:t>only the values listed above may be used, even though earlier versions of this Guide permitted using custom values</w:t>
      </w:r>
    </w:p>
    <w:p>
      <w:pPr>
        <w:pStyle w:val="Cmsor3"/>
      </w:pPr>
      <w:bookmarkStart w:id="189" w:name="_Toc242976604"/>
      <w:r>
        <w:t xml:space="preserve">Milestones interrupting </w:t>
      </w:r>
      <w:bookmarkEnd w:id="187"/>
      <w:r>
        <w:t>the text</w:t>
      </w:r>
      <w:bookmarkEnd w:id="189"/>
    </w:p>
    <w:p>
      <w:pPr>
        <w:rPr>
          <w:lang w:eastAsia="en-US" w:bidi="ar-SA"/>
        </w:rPr>
      </w:pPr>
      <w:r>
        <w:rPr>
          <w:lang w:eastAsia="en-US" w:bidi="ar-SA"/>
        </w:rPr>
        <w:t>When a milestone for extrinsic structure falls inside a word, this must be encoded as per §</w:t>
      </w:r>
      <w:r>
        <w:fldChar w:fldCharType="begin"/>
      </w:r>
      <w:r>
        <w:instrText xml:space="preserve"> REF _Ref225519777 \r \h </w:instrText>
      </w:r>
      <w:r>
        <w:fldChar w:fldCharType="separate"/>
      </w:r>
      <w:r>
        <w:t>4.3.2.1</w:t>
      </w:r>
      <w:r>
        <w:fldChar w:fldCharType="end"/>
      </w:r>
      <w:r>
        <w:t xml:space="preserve"> to show that the structural break is not also a word break. In situations where a structural boundary — typically a fracture, but occasionally also a transition to another surface of a three-dimensional object — splits one or more atomic </w:t>
      </w:r>
      <w:r>
        <w:rPr>
          <w:rStyle w:val="Foreign"/>
        </w:rPr>
        <w:t>akṣara</w:t>
      </w:r>
      <w:r>
        <w:rPr>
          <w:noProof/>
        </w:rPr>
        <w:t>s</w:t>
      </w:r>
      <w:r>
        <w:t xml:space="preserve"> of the text, the target graphemes corresponding to the split </w:t>
      </w:r>
      <w:r>
        <w:rPr>
          <w:rStyle w:val="Foreign"/>
        </w:rPr>
        <w:t>akṣara</w:t>
      </w:r>
      <w:r>
        <w:t xml:space="preserve"> shall be arbitrarily allocated to one side of the partition or the other. Specific guidelines for this are given in §</w:t>
      </w:r>
      <w:r>
        <w:fldChar w:fldCharType="begin"/>
      </w:r>
      <w:r>
        <w:instrText xml:space="preserve"> REF _Ref182813737 \r \h </w:instrText>
      </w:r>
      <w:r>
        <w:fldChar w:fldCharType="separate"/>
      </w:r>
      <w:r>
        <w:t>4.7.6.1</w:t>
      </w:r>
      <w:r>
        <w:fldChar w:fldCharType="end"/>
      </w:r>
      <w:r>
        <w:t xml:space="preserve">. When a theoretically atomic </w:t>
      </w:r>
      <w:r>
        <w:rPr>
          <w:rStyle w:val="Foreign"/>
        </w:rPr>
        <w:t>akṣara</w:t>
      </w:r>
      <w:r>
        <w:t xml:space="preserve"> is deliberately separated into its constituent parts by the scribe, this can be encoded as per §</w:t>
      </w:r>
      <w:r>
        <w:fldChar w:fldCharType="begin"/>
      </w:r>
      <w:r>
        <w:instrText xml:space="preserve"> REF _Ref43987165 \r \h </w:instrText>
      </w:r>
      <w:r>
        <w:fldChar w:fldCharType="separate"/>
      </w:r>
      <w:r>
        <w:t>5.1.4</w:t>
      </w:r>
      <w:r>
        <w:fldChar w:fldCharType="end"/>
      </w:r>
      <w:r>
        <w:t>.</w:t>
      </w:r>
    </w:p>
    <w:p>
      <w:pPr>
        <w:pStyle w:val="Cmsor4"/>
      </w:pPr>
      <w:bookmarkStart w:id="190" w:name="_Ref225519777"/>
      <w:r>
        <w:t>Milestones interrupting words</w:t>
      </w:r>
      <w:bookmarkEnd w:id="190"/>
    </w:p>
    <w:p>
      <w:pPr>
        <w:pStyle w:val="Lista"/>
      </w:pPr>
      <w:r>
        <w:t xml:space="preserve">a structural transition interrupts a word if it occurs at a point other than between two independent words, i.e. at any place where cannot add an editorial space </w:t>
      </w:r>
      <w:r>
        <w:rPr>
          <w:noProof/>
        </w:rPr>
        <w:t>(</w:t>
      </w:r>
      <w:r>
        <w:t>TG §7.3.2), including cases</w:t>
      </w:r>
    </w:p>
    <w:p>
      <w:pPr>
        <w:pStyle w:val="Lista2"/>
      </w:pPr>
      <w:r>
        <w:t xml:space="preserve">where the words before and after the transition are compounded to one another </w:t>
      </w:r>
      <w:r>
        <w:rPr>
          <w:noProof/>
        </w:rPr>
        <w:t>(</w:t>
      </w:r>
      <w:r>
        <w:t xml:space="preserve">e.g. </w:t>
      </w:r>
      <w:r>
        <w:rPr>
          <w:rStyle w:val="Foreign"/>
        </w:rPr>
        <w:t>mahā/rāja</w:t>
      </w:r>
      <w:r>
        <w:t>)</w:t>
      </w:r>
    </w:p>
    <w:p>
      <w:pPr>
        <w:pStyle w:val="Lista2"/>
      </w:pPr>
      <w:r>
        <w:t xml:space="preserve">where an initial vowel is fused in sandhi to the vowel before the transition </w:t>
      </w:r>
      <w:r>
        <w:rPr>
          <w:noProof/>
        </w:rPr>
        <w:t>(</w:t>
      </w:r>
      <w:r>
        <w:t xml:space="preserve">e.g. </w:t>
      </w:r>
      <w:r>
        <w:rPr>
          <w:rStyle w:val="Foreign"/>
        </w:rPr>
        <w:t>tathā/pi</w:t>
      </w:r>
      <w:r>
        <w:t xml:space="preserve">, </w:t>
      </w:r>
      <w:r>
        <w:rPr>
          <w:rStyle w:val="Foreign"/>
        </w:rPr>
        <w:t>atre/yam</w:t>
      </w:r>
      <w:r>
        <w:t xml:space="preserve">, </w:t>
      </w:r>
      <w:r>
        <w:rPr>
          <w:rStyle w:val="Foreign"/>
        </w:rPr>
        <w:t>tatho/ktam</w:t>
      </w:r>
      <w:r>
        <w:t xml:space="preserve">; but not </w:t>
      </w:r>
      <w:r>
        <w:rPr>
          <w:rStyle w:val="Foreign"/>
        </w:rPr>
        <w:t>so/yam</w:t>
      </w:r>
      <w:r>
        <w:t>, where the sandhi does not involve vowel fusion)</w:t>
      </w:r>
    </w:p>
    <w:p>
      <w:pPr>
        <w:pStyle w:val="Lista2"/>
      </w:pPr>
      <w:r>
        <w:t>unlike the boundaries of intrinsic structure (§</w:t>
      </w:r>
      <w:r>
        <w:fldChar w:fldCharType="begin"/>
      </w:r>
      <w:r>
        <w:instrText xml:space="preserve"> REF _Ref225328264 \r \h </w:instrText>
      </w:r>
      <w:r>
        <w:fldChar w:fldCharType="separate"/>
      </w:r>
      <w:r>
        <w:t>3.2.4.1</w:t>
      </w:r>
      <w:r>
        <w:fldChar w:fldCharType="end"/>
      </w:r>
      <w:r>
        <w:t xml:space="preserve">), extrinsic structure can interrupt words which are separable in transliteration, when the separation of the source’s </w:t>
      </w:r>
      <w:r>
        <w:rPr>
          <w:rStyle w:val="Foreign"/>
        </w:rPr>
        <w:t>akṣara</w:t>
      </w:r>
      <w:r>
        <w:rPr>
          <w:rStyle w:val="Foreign"/>
          <w:i w:val="0"/>
          <w:iCs w:val="0"/>
        </w:rPr>
        <w:t>s</w:t>
      </w:r>
      <w:r>
        <w:t xml:space="preserve"> does not coincide with the structural transition because a final vowel has been reduced in sandhi to a semivowel</w:t>
      </w:r>
    </w:p>
    <w:p>
      <w:pPr>
        <w:pStyle w:val="Lista3"/>
      </w:pPr>
      <w:r>
        <w:t xml:space="preserve">e.g. </w:t>
      </w:r>
      <w:r>
        <w:rPr>
          <w:rStyle w:val="Foreign"/>
        </w:rPr>
        <w:t>a/sty atra</w:t>
      </w:r>
      <w:r>
        <w:t xml:space="preserve">, </w:t>
      </w:r>
      <w:r>
        <w:rPr>
          <w:rStyle w:val="Foreign"/>
        </w:rPr>
        <w:t>asty a/tra</w:t>
      </w:r>
      <w:r>
        <w:t xml:space="preserve">, </w:t>
      </w:r>
      <w:r>
        <w:rPr>
          <w:rStyle w:val="Foreign"/>
        </w:rPr>
        <w:t>asā/v api</w:t>
      </w:r>
      <w:r>
        <w:t xml:space="preserve">, </w:t>
      </w:r>
      <w:r>
        <w:rPr>
          <w:rStyle w:val="Foreign"/>
        </w:rPr>
        <w:t>asāv a/pi</w:t>
      </w:r>
    </w:p>
    <w:p>
      <w:pPr>
        <w:pStyle w:val="Lista2"/>
      </w:pPr>
      <w:r>
        <w:t>a structural transition is understood to interrupt a word even if the word is also interrupted by another feature at the same spot, such as</w:t>
      </w:r>
    </w:p>
    <w:p>
      <w:pPr>
        <w:pStyle w:val="Lista3"/>
      </w:pPr>
      <w:r>
        <w:t xml:space="preserve">connector symbols </w:t>
      </w:r>
      <w:r>
        <w:rPr>
          <w:noProof/>
        </w:rPr>
        <w:t>(</w:t>
      </w:r>
      <w:r>
        <w:t>§</w:t>
      </w:r>
      <w:r>
        <w:fldChar w:fldCharType="begin"/>
      </w:r>
      <w:r>
        <w:instrText xml:space="preserve"> REF _Ref226038881 \r \h </w:instrText>
      </w:r>
      <w:r>
        <w:fldChar w:fldCharType="separate"/>
      </w:r>
      <w:r>
        <w:t>5.3.2.3</w:t>
      </w:r>
      <w:r>
        <w:fldChar w:fldCharType="end"/>
      </w:r>
      <w:r>
        <w:t>) before the transition</w:t>
      </w:r>
    </w:p>
    <w:p>
      <w:pPr>
        <w:pStyle w:val="Lista3"/>
      </w:pPr>
      <w:r>
        <w:t xml:space="preserve">a space imposed by physical features </w:t>
      </w:r>
      <w:r>
        <w:rPr>
          <w:noProof/>
        </w:rPr>
        <w:t>(</w:t>
      </w:r>
      <w:r>
        <w:t>§</w:t>
      </w:r>
      <w:r>
        <w:fldChar w:fldCharType="begin"/>
      </w:r>
      <w:r>
        <w:instrText xml:space="preserve"> REF _Ref43985107 \w \h  \* MERGEFORMAT </w:instrText>
      </w:r>
      <w:r>
        <w:fldChar w:fldCharType="separate"/>
      </w:r>
      <w:r>
        <w:t>5.4.2.2</w:t>
      </w:r>
      <w:r>
        <w:fldChar w:fldCharType="end"/>
      </w:r>
      <w:r>
        <w:t>) before or after the transition</w:t>
      </w:r>
    </w:p>
    <w:p>
      <w:pPr>
        <w:pStyle w:val="Lista3"/>
      </w:pPr>
      <w:r>
        <w:t xml:space="preserve">pre-modern deletion </w:t>
      </w:r>
      <w:r>
        <w:rPr>
          <w:noProof/>
        </w:rPr>
        <w:t>(</w:t>
      </w:r>
      <w:r>
        <w:t>§</w:t>
      </w:r>
      <w:r>
        <w:fldChar w:fldCharType="begin"/>
      </w:r>
      <w:r>
        <w:instrText xml:space="preserve"> REF _Ref43985171 \w \h  \* MERGEFORMAT </w:instrText>
      </w:r>
      <w:r>
        <w:fldChar w:fldCharType="separate"/>
      </w:r>
      <w:r>
        <w:t>5.5.1</w:t>
      </w:r>
      <w:r>
        <w:fldChar w:fldCharType="end"/>
      </w:r>
      <w:r>
        <w:t>) before or after the transition</w:t>
      </w:r>
    </w:p>
    <w:p>
      <w:pPr>
        <w:pStyle w:val="Lista3"/>
      </w:pPr>
      <w:r>
        <w:t xml:space="preserve">a lacuna </w:t>
      </w:r>
      <w:r>
        <w:rPr>
          <w:noProof/>
        </w:rPr>
        <w:t>(</w:t>
      </w:r>
      <w:r>
        <w:t>§</w:t>
      </w:r>
      <w:r>
        <w:fldChar w:fldCharType="begin"/>
      </w:r>
      <w:r>
        <w:instrText xml:space="preserve"> REF _Ref228460110 \r \h </w:instrText>
      </w:r>
      <w:r>
        <w:fldChar w:fldCharType="separate"/>
      </w:r>
      <w:r>
        <w:t>6.5</w:t>
      </w:r>
      <w:r>
        <w:fldChar w:fldCharType="end"/>
      </w:r>
      <w:r>
        <w:t xml:space="preserve">) before or after the transition, provided that the original presence of an interrupted word can be inferred with fair likelihood </w:t>
      </w:r>
      <w:r>
        <w:rPr>
          <w:noProof/>
        </w:rPr>
        <w:t>(</w:t>
      </w:r>
      <w:r>
        <w:t>see §</w:t>
      </w:r>
      <w:r>
        <w:fldChar w:fldCharType="begin"/>
      </w:r>
      <w:r>
        <w:instrText xml:space="preserve"> REF _Ref182580157 \r \h </w:instrText>
      </w:r>
      <w:r>
        <w:fldChar w:fldCharType="separate"/>
      </w:r>
      <w:r>
        <w:t>4.3.2.2</w:t>
      </w:r>
      <w:r>
        <w:fldChar w:fldCharType="end"/>
      </w:r>
      <w:r>
        <w:t xml:space="preserve"> for details)</w:t>
      </w:r>
    </w:p>
    <w:p>
      <w:pPr>
        <w:pStyle w:val="Lista"/>
      </w:pPr>
      <w:r>
        <w:t xml:space="preserve">when a structural transition interrupts a word, then any and all milestone tags representing that transition must take the attribute </w:t>
      </w:r>
      <w:r>
        <w:rPr>
          <w:rStyle w:val="Codeattribute"/>
        </w:rPr>
        <w:t>@break</w:t>
      </w:r>
      <w:r>
        <w:t xml:space="preserve"> with the value </w:t>
      </w:r>
      <w:r>
        <w:rPr>
          <w:rStyle w:val="Codevalue"/>
        </w:rPr>
        <w:t>"no"</w:t>
      </w:r>
      <w:r>
        <w:t xml:space="preserve"> to encode the fact that the structural break does not also signify a break in the text</w:t>
      </w:r>
    </w:p>
    <w:p>
      <w:pPr>
        <w:pStyle w:val="Lista2"/>
      </w:pPr>
      <w:r>
        <w:t xml:space="preserve">if several kinds of milestone occur together at such a point, each of them must be redundantly encoded with </w:t>
      </w:r>
      <w:r>
        <w:rPr>
          <w:rStyle w:val="Codeattribute"/>
        </w:rPr>
        <w:t>@break=</w:t>
      </w:r>
      <w:r>
        <w:rPr>
          <w:rStyle w:val="Codevalue"/>
        </w:rPr>
        <w:t>"no"</w:t>
      </w:r>
      <w:r>
        <w:t xml:space="preserve">, as in </w:t>
      </w:r>
      <w:r>
        <w:fldChar w:fldCharType="begin"/>
      </w:r>
      <w:r>
        <w:instrText xml:space="preserve"> REF _Ref182316564 \h </w:instrText>
      </w:r>
      <w:r>
        <w:fldChar w:fldCharType="separate"/>
      </w:r>
      <w:r>
        <w:t xml:space="preserve">Exhibit </w:t>
      </w:r>
      <w:r>
        <w:rPr>
          <w:noProof/>
        </w:rPr>
        <w:t>4.3</w:t>
      </w:r>
      <w:r>
        <w:t>.</w:t>
      </w:r>
      <w:r>
        <w:rPr>
          <w:noProof/>
        </w:rPr>
        <w:t>A</w:t>
      </w:r>
      <w:r>
        <w:fldChar w:fldCharType="end"/>
      </w:r>
    </w:p>
    <w:p>
      <w:pPr>
        <w:pStyle w:val="Lista"/>
      </w:pPr>
      <w:r>
        <w:t xml:space="preserve">occasionally, a partition can result in the splitting of an atomic </w:t>
      </w:r>
      <w:r>
        <w:rPr>
          <w:rStyle w:val="Foreign"/>
        </w:rPr>
        <w:t>akṣara</w:t>
      </w:r>
      <w:r>
        <w:t xml:space="preserve">, in which case </w:t>
      </w:r>
      <w:r>
        <w:rPr>
          <w:rStyle w:val="Codeattribute"/>
        </w:rPr>
        <w:t>@break=</w:t>
      </w:r>
      <w:r>
        <w:rPr>
          <w:rStyle w:val="Codevalue"/>
        </w:rPr>
        <w:t>"no"</w:t>
      </w:r>
      <w:r>
        <w:t xml:space="preserve"> is of course also applicable; in addition,</w:t>
      </w:r>
    </w:p>
    <w:p>
      <w:pPr>
        <w:pStyle w:val="Lista2"/>
      </w:pPr>
      <w:r>
        <w:rPr>
          <w:rStyle w:val="Foreign"/>
        </w:rPr>
        <w:t>akṣara</w:t>
      </w:r>
      <w:r>
        <w:t>s deliberately divided by the engraver into two parts across a physical feature such as a line break are to be handled as per §</w:t>
      </w:r>
      <w:r>
        <w:fldChar w:fldCharType="begin"/>
      </w:r>
      <w:r>
        <w:instrText xml:space="preserve"> REF _Ref43987165 \r \h </w:instrText>
      </w:r>
      <w:r>
        <w:fldChar w:fldCharType="separate"/>
      </w:r>
      <w:r>
        <w:t>5.1.4</w:t>
      </w:r>
      <w:r>
        <w:fldChar w:fldCharType="end"/>
      </w:r>
    </w:p>
    <w:p>
      <w:pPr>
        <w:pStyle w:val="Lista2"/>
      </w:pPr>
      <w:r>
        <w:rPr>
          <w:rStyle w:val="Foreign"/>
        </w:rPr>
        <w:t>akṣara</w:t>
      </w:r>
      <w:r>
        <w:t>s inadvertently split by a gridlike feature such as fragmentation are to be handled as per §</w:t>
      </w:r>
      <w:r>
        <w:fldChar w:fldCharType="begin"/>
      </w:r>
      <w:r>
        <w:instrText xml:space="preserve"> REF _Ref182813737 \r \h </w:instrText>
      </w:r>
      <w:r>
        <w:fldChar w:fldCharType="separate"/>
      </w:r>
      <w:r>
        <w:t>4.7.6.1</w:t>
      </w:r>
      <w:r>
        <w:fldChar w:fldCharType="end"/>
      </w:r>
    </w:p>
    <w:p>
      <w:pPr>
        <w:pStyle w:val="Lista"/>
      </w:pPr>
      <w:r>
        <w:t xml:space="preserve">when you have used </w:t>
      </w:r>
      <w:r>
        <w:rPr>
          <w:rStyle w:val="Codeattribute"/>
        </w:rPr>
        <w:t>@break=</w:t>
      </w:r>
      <w:r>
        <w:rPr>
          <w:rStyle w:val="Codevalue"/>
        </w:rPr>
        <w:t>"no"</w:t>
      </w:r>
      <w:r>
        <w:t xml:space="preserve"> on a milestone element,</w:t>
      </w:r>
    </w:p>
    <w:p>
      <w:pPr>
        <w:pStyle w:val="Lista2"/>
      </w:pPr>
      <w:r>
        <w:t xml:space="preserve">do not start a new line of code or add a space before the milestone tag </w:t>
      </w:r>
      <w:r>
        <w:rPr>
          <w:noProof/>
        </w:rPr>
        <w:t>(</w:t>
      </w:r>
      <w:r>
        <w:t>see also §</w:t>
      </w:r>
      <w:r>
        <w:fldChar w:fldCharType="begin"/>
      </w:r>
      <w:r>
        <w:instrText xml:space="preserve"> REF _Ref225253138 \r \h </w:instrText>
      </w:r>
      <w:r>
        <w:fldChar w:fldCharType="separate"/>
      </w:r>
      <w:r>
        <w:t>4.3.3</w:t>
      </w:r>
      <w:r>
        <w:fldChar w:fldCharType="end"/>
      </w:r>
      <w:r>
        <w:t>)</w:t>
      </w:r>
    </w:p>
    <w:p>
      <w:pPr>
        <w:pStyle w:val="Lista2"/>
      </w:pPr>
      <w:r>
        <w:t>never add a hyphen before the milestone tag to indicate that it breaks a word (this is to be indicated only in the encoding)</w:t>
      </w:r>
    </w:p>
    <w:p>
      <w:pPr>
        <w:pStyle w:val="Lista3"/>
      </w:pPr>
      <w:r>
        <w:t>however, if you use editorial hyphens for the segmentation of compounds (TG §7.3.5), then</w:t>
      </w:r>
    </w:p>
    <w:p>
      <w:pPr>
        <w:pStyle w:val="Lista4"/>
      </w:pPr>
      <w:r>
        <w:t>boundaries marked by editorial hyphens must still be treated as being inside words</w:t>
      </w:r>
    </w:p>
    <w:p>
      <w:pPr>
        <w:pStyle w:val="Lista4"/>
      </w:pPr>
      <w:r>
        <w:lastRenderedPageBreak/>
        <w:t>as per §</w:t>
      </w:r>
      <w:r>
        <w:fldChar w:fldCharType="begin"/>
      </w:r>
      <w:r>
        <w:instrText xml:space="preserve"> REF _Ref232156818 \r \h </w:instrText>
      </w:r>
      <w:r>
        <w:fldChar w:fldCharType="separate"/>
      </w:r>
      <w:r>
        <w:t>7.8.2</w:t>
      </w:r>
      <w:r>
        <w:fldChar w:fldCharType="end"/>
      </w:r>
      <w:r>
        <w:t xml:space="preserve">, the editorial hyphen must be placed after the milestone rather than before it, as in the last line of </w:t>
      </w:r>
      <w:r>
        <w:fldChar w:fldCharType="begin"/>
      </w:r>
      <w:r>
        <w:instrText xml:space="preserve"> REF _Ref182314695 \h </w:instrText>
      </w:r>
      <w:r>
        <w:fldChar w:fldCharType="separate"/>
      </w:r>
      <w:r>
        <w:t xml:space="preserve">Exhibit </w:t>
      </w:r>
      <w:r>
        <w:rPr>
          <w:noProof/>
        </w:rPr>
        <w:t>4.3</w:t>
      </w:r>
      <w:r>
        <w:t>.</w:t>
      </w:r>
      <w:r>
        <w:rPr>
          <w:noProof/>
        </w:rPr>
        <w:t>D</w:t>
      </w:r>
      <w:r>
        <w:fldChar w:fldCharType="end"/>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91" w:name="_Ref182316564"/>
            <w:r>
              <w:t xml:space="preserve">Exhibit </w:t>
            </w:r>
            <w:fldSimple w:instr=" STYLEREF 2 \s ">
              <w:r>
                <w:rPr>
                  <w:noProof/>
                </w:rPr>
                <w:t>4.3</w:t>
              </w:r>
            </w:fldSimple>
            <w:r>
              <w:t>.</w:t>
            </w:r>
            <w:fldSimple w:instr=" SEQ Exhibit \* ALPHABETIC \s 2 ">
              <w:r>
                <w:rPr>
                  <w:noProof/>
                </w:rPr>
                <w:t>A</w:t>
              </w:r>
            </w:fldSimple>
            <w:bookmarkEnd w:id="191"/>
            <w:r>
              <w:t>: multiple milestones interrupting a word</w:t>
            </w:r>
          </w:p>
        </w:tc>
      </w:tr>
      <w:tr>
        <w:tc>
          <w:tcPr>
            <w:tcW w:w="5000" w:type="pct"/>
          </w:tcPr>
          <w:p>
            <w:pPr>
              <w:pStyle w:val="CodeParagraph"/>
              <w:rPr>
                <w:rStyle w:val="Code"/>
              </w:rPr>
            </w:pPr>
            <w:r>
              <w:rPr>
                <w:rStyle w:val="Codetext"/>
              </w:rPr>
              <w:t>...</w:t>
            </w:r>
            <w:r>
              <w:t xml:space="preserve"> </w:t>
            </w:r>
            <w:r>
              <w:rPr>
                <w:rStyle w:val="Codetext"/>
              </w:rPr>
              <w:t>tad viditvā yathocitaṁ bhāga-bhoga</w:t>
            </w:r>
            <w:r>
              <w:rPr>
                <w:rStyle w:val="Code"/>
              </w:rPr>
              <w:t xml:space="preserve">&lt;pb </w:t>
            </w:r>
          </w:p>
          <w:p>
            <w:pPr>
              <w:pStyle w:val="CodeParagraph"/>
              <w:rPr>
                <w:rStyle w:val="Code"/>
              </w:rPr>
            </w:pPr>
            <w:r>
              <w:rPr>
                <w:rStyle w:val="Codeattribute"/>
              </w:rPr>
              <w:t>n=</w:t>
            </w:r>
            <w:r>
              <w:rPr>
                <w:rStyle w:val="Codevalue"/>
              </w:rPr>
              <w:t>"3r"</w:t>
            </w:r>
            <w:r>
              <w:rPr>
                <w:rStyle w:val="Code"/>
              </w:rPr>
              <w:t xml:space="preserve"> </w:t>
            </w:r>
            <w:r>
              <w:rPr>
                <w:rStyle w:val="Codeattribute"/>
              </w:rPr>
              <w:t>break=</w:t>
            </w:r>
            <w:r>
              <w:rPr>
                <w:rStyle w:val="Codevalue"/>
              </w:rPr>
              <w:t>"no"</w:t>
            </w:r>
            <w:r>
              <w:rPr>
                <w:rStyle w:val="Code"/>
              </w:rPr>
              <w:t xml:space="preserve">/&gt;&lt;lb </w:t>
            </w:r>
          </w:p>
          <w:p>
            <w:pPr>
              <w:pStyle w:val="CodeParagraph"/>
              <w:rPr>
                <w:rFonts w:ascii="Consolas" w:hAnsi="Consolas" w:cs="Consolas"/>
                <w:noProof/>
                <w:color w:val="000000" w:themeColor="text1"/>
                <w:shd w:val="clear" w:color="auto" w:fill="F2F2F2" w:themeFill="background1" w:themeFillShade="F2"/>
              </w:rPr>
            </w:pPr>
            <w:r>
              <w:rPr>
                <w:rStyle w:val="Codeattribute"/>
              </w:rPr>
              <w:t>n=</w:t>
            </w:r>
            <w:r>
              <w:rPr>
                <w:rStyle w:val="Codevalue"/>
              </w:rPr>
              <w:t>"19"</w:t>
            </w:r>
            <w:r>
              <w:rPr>
                <w:rStyle w:val="Code"/>
              </w:rPr>
              <w:t xml:space="preserve"> </w:t>
            </w:r>
            <w:r>
              <w:rPr>
                <w:rStyle w:val="Codeattribute"/>
              </w:rPr>
              <w:t>break=</w:t>
            </w:r>
            <w:r>
              <w:rPr>
                <w:rStyle w:val="Codevalue"/>
              </w:rPr>
              <w:t>"no"</w:t>
            </w:r>
            <w:r>
              <w:rPr>
                <w:rStyle w:val="Code"/>
              </w:rPr>
              <w:t>/&gt;</w:t>
            </w:r>
            <w:r>
              <w:rPr>
                <w:rStyle w:val="Codetext"/>
              </w:rPr>
              <w:t>m upanayantaḥ sukhaṁ prativasatha...</w:t>
            </w:r>
          </w:p>
        </w:tc>
      </w:tr>
    </w:tbl>
    <w:p>
      <w:pPr>
        <w:pStyle w:val="Cmsor4"/>
      </w:pPr>
      <w:bookmarkStart w:id="192" w:name="_Ref182318132"/>
      <w:bookmarkStart w:id="193" w:name="_Ref182318133"/>
      <w:bookmarkStart w:id="194" w:name="_Ref182380522"/>
      <w:bookmarkStart w:id="195" w:name="_Ref182580157"/>
      <w:bookmarkStart w:id="196" w:name="_Ref182580257"/>
      <w:r>
        <w:t>Judging word interruption in lacunose text</w:t>
      </w:r>
      <w:bookmarkEnd w:id="192"/>
      <w:bookmarkEnd w:id="193"/>
      <w:bookmarkEnd w:id="194"/>
      <w:bookmarkEnd w:id="195"/>
      <w:bookmarkEnd w:id="196"/>
    </w:p>
    <w:p>
      <w:pPr>
        <w:pStyle w:val="Lista"/>
      </w:pPr>
      <w:r>
        <w:t xml:space="preserve">when text before or after a milestone is lost, badly damaged, or unintelligible for some other reason, then it may not be possible to decide for certain whether the milestone interrupts a word </w:t>
      </w:r>
    </w:p>
    <w:p>
      <w:pPr>
        <w:pStyle w:val="Lista2"/>
      </w:pPr>
      <w:r>
        <w:t xml:space="preserve">in such cases, use </w:t>
      </w:r>
      <w:r>
        <w:rPr>
          <w:rStyle w:val="Codeattribute"/>
        </w:rPr>
        <w:t>@break</w:t>
      </w:r>
      <w:r>
        <w:rPr>
          <w:rStyle w:val="Code"/>
        </w:rPr>
        <w:t>=</w:t>
      </w:r>
      <w:r>
        <w:rPr>
          <w:rStyle w:val="Codevalue"/>
        </w:rPr>
        <w:t>"no"</w:t>
      </w:r>
      <w:r>
        <w:t xml:space="preserve"> when you are reasonably certain that an interruption is present</w:t>
      </w:r>
    </w:p>
    <w:p>
      <w:pPr>
        <w:pStyle w:val="Lista2"/>
      </w:pPr>
      <w:r>
        <w:t xml:space="preserve">if you are uncertain, omit </w:t>
      </w:r>
      <w:r>
        <w:rPr>
          <w:rStyle w:val="Codeattribute"/>
        </w:rPr>
        <w:t>@break</w:t>
      </w:r>
      <w:r>
        <w:rPr>
          <w:rStyle w:val="Code"/>
        </w:rPr>
        <w:t>=</w:t>
      </w:r>
      <w:r>
        <w:rPr>
          <w:rStyle w:val="Codevalue"/>
        </w:rPr>
        <w:t>"no"</w:t>
      </w:r>
      <w:r>
        <w:t xml:space="preserve"> (thus making no explicit assertion) even if there is a chance that a word may be interrupted</w:t>
      </w:r>
    </w:p>
    <w:p>
      <w:pPr>
        <w:pStyle w:val="Lista2"/>
      </w:pPr>
      <w:r>
        <w:t>observing the following guidelines</w:t>
      </w:r>
    </w:p>
    <w:p>
      <w:pPr>
        <w:pStyle w:val="Lista"/>
      </w:pPr>
      <w:r>
        <w:t xml:space="preserve">when there is a </w:t>
      </w:r>
      <w:r>
        <w:rPr>
          <w:b/>
          <w:bCs/>
        </w:rPr>
        <w:t>lacuna before the transition</w:t>
      </w:r>
      <w:r>
        <w:t>,</w:t>
      </w:r>
    </w:p>
    <w:p>
      <w:pPr>
        <w:pStyle w:val="Lista2"/>
      </w:pPr>
      <w:r>
        <w:t xml:space="preserve">use </w:t>
      </w:r>
      <w:r>
        <w:rPr>
          <w:rStyle w:val="Codeattribute"/>
        </w:rPr>
        <w:t>@break</w:t>
      </w:r>
      <w:r>
        <w:rPr>
          <w:rStyle w:val="Code"/>
        </w:rPr>
        <w:t>=</w:t>
      </w:r>
      <w:r>
        <w:rPr>
          <w:rStyle w:val="Codevalue"/>
        </w:rPr>
        <w:t>"no"</w:t>
      </w:r>
      <w:r>
        <w:t xml:space="preserve"> if the extant text begins with an incomplete indivisible morpheme or with the final part of what you are certain was a prefixed or compound word</w:t>
      </w:r>
    </w:p>
    <w:p>
      <w:pPr>
        <w:pStyle w:val="Lista2"/>
      </w:pPr>
      <w:r>
        <w:t xml:space="preserve">but do not use </w:t>
      </w:r>
      <w:r>
        <w:rPr>
          <w:rStyle w:val="Codeattribute"/>
        </w:rPr>
        <w:t>@break</w:t>
      </w:r>
      <w:r>
        <w:rPr>
          <w:rStyle w:val="Code"/>
        </w:rPr>
        <w:t>=</w:t>
      </w:r>
      <w:r>
        <w:rPr>
          <w:rStyle w:val="Codevalue"/>
        </w:rPr>
        <w:t>"no"</w:t>
      </w:r>
      <w:r>
        <w:t xml:space="preserve"> if the extant text is intelligible </w:t>
      </w:r>
      <w:r>
        <w:rPr>
          <w:noProof/>
        </w:rPr>
        <w:t>(</w:t>
      </w:r>
      <w:r>
        <w:t>and plausible in context) as it is, even if there is some chance that the previous line contained a prefix or a compound member attached to the first extant word</w:t>
      </w:r>
    </w:p>
    <w:p>
      <w:pPr>
        <w:pStyle w:val="Lista"/>
      </w:pPr>
      <w:r>
        <w:t xml:space="preserve">when there is a </w:t>
      </w:r>
      <w:r>
        <w:rPr>
          <w:b/>
          <w:bCs/>
        </w:rPr>
        <w:t>lacuna after the transition</w:t>
      </w:r>
      <w:r>
        <w:t>,</w:t>
      </w:r>
    </w:p>
    <w:p>
      <w:pPr>
        <w:pStyle w:val="Lista2"/>
      </w:pPr>
      <w:r>
        <w:t xml:space="preserve">use </w:t>
      </w:r>
      <w:r>
        <w:rPr>
          <w:rStyle w:val="Codeattribute"/>
        </w:rPr>
        <w:t>@break</w:t>
      </w:r>
      <w:r>
        <w:rPr>
          <w:rStyle w:val="Code"/>
        </w:rPr>
        <w:t>=</w:t>
      </w:r>
      <w:r>
        <w:rPr>
          <w:rStyle w:val="Codevalue"/>
        </w:rPr>
        <w:t>"no"</w:t>
      </w:r>
      <w:r>
        <w:t xml:space="preserve"> if the end of the extant text is clearly not the end of an independent word</w:t>
      </w:r>
    </w:p>
    <w:p>
      <w:pPr>
        <w:pStyle w:val="Lista2"/>
      </w:pPr>
      <w:r>
        <w:t xml:space="preserve">but do not use </w:t>
      </w:r>
      <w:r>
        <w:rPr>
          <w:rStyle w:val="Codeattribute"/>
        </w:rPr>
        <w:t>@break</w:t>
      </w:r>
      <w:r>
        <w:rPr>
          <w:rStyle w:val="Code"/>
        </w:rPr>
        <w:t>=</w:t>
      </w:r>
      <w:r>
        <w:rPr>
          <w:rStyle w:val="Codevalue"/>
        </w:rPr>
        <w:t>"no"</w:t>
      </w:r>
      <w:r>
        <w:t xml:space="preserve"> if the end of the extant text may be the end of an independent word, even if there is a chance that this word continued in the current line</w:t>
      </w:r>
    </w:p>
    <w:p>
      <w:pPr>
        <w:pStyle w:val="Lista"/>
      </w:pPr>
      <w:r>
        <w:t xml:space="preserve">when there is a </w:t>
      </w:r>
      <w:r>
        <w:rPr>
          <w:b/>
          <w:bCs/>
        </w:rPr>
        <w:t>lacuna both before and after</w:t>
      </w:r>
      <w:r>
        <w:t xml:space="preserve"> the spot where a structural milestone is (expected to be) located, then in addition to uncertainty as to whether a word is interrupted, it may not be possible to determine the exact number of characters lost on either side of the transition</w:t>
      </w:r>
    </w:p>
    <w:p>
      <w:pPr>
        <w:pStyle w:val="Lista2"/>
      </w:pPr>
      <w:r>
        <w:t xml:space="preserve">if the lacuna is not restored, do not use </w:t>
      </w:r>
      <w:r>
        <w:rPr>
          <w:rStyle w:val="Codeattribute"/>
        </w:rPr>
        <w:t>@break</w:t>
      </w:r>
      <w:r>
        <w:rPr>
          <w:rStyle w:val="Code"/>
        </w:rPr>
        <w:t>=</w:t>
      </w:r>
      <w:r>
        <w:rPr>
          <w:rStyle w:val="Codevalue"/>
        </w:rPr>
        <w:t>"no"</w:t>
      </w:r>
      <w:r>
        <w:t xml:space="preserve"> (which would assert that a word has been split by the milestone) and simply encode gaps </w:t>
      </w:r>
      <w:r>
        <w:rPr>
          <w:noProof/>
        </w:rPr>
        <w:t>(</w:t>
      </w:r>
      <w:r>
        <w:t>§</w:t>
      </w:r>
      <w:r>
        <w:fldChar w:fldCharType="begin"/>
      </w:r>
      <w:r>
        <w:instrText xml:space="preserve"> REF _Ref228460110 \r \h </w:instrText>
      </w:r>
      <w:r>
        <w:fldChar w:fldCharType="separate"/>
      </w:r>
      <w:r>
        <w:t>6.5</w:t>
      </w:r>
      <w:r>
        <w:fldChar w:fldCharType="end"/>
      </w:r>
      <w:r>
        <w:t>) of unknown or uncertain length on both sides of the milestone tag</w:t>
      </w:r>
    </w:p>
    <w:p>
      <w:pPr>
        <w:pStyle w:val="Lista2"/>
      </w:pPr>
      <w:r>
        <w:t xml:space="preserve">if you supply the lost text </w:t>
      </w:r>
      <w:r>
        <w:rPr>
          <w:noProof/>
        </w:rPr>
        <w:t>(</w:t>
      </w:r>
      <w:r>
        <w:t>as per §</w:t>
      </w:r>
      <w:r>
        <w:fldChar w:fldCharType="begin"/>
      </w:r>
      <w:r>
        <w:instrText xml:space="preserve"> REF _Ref228459751 \r \h </w:instrText>
      </w:r>
      <w:r>
        <w:fldChar w:fldCharType="separate"/>
      </w:r>
      <w:r>
        <w:t>6.4</w:t>
      </w:r>
      <w:r>
        <w:fldChar w:fldCharType="end"/>
      </w:r>
      <w:r>
        <w:t xml:space="preserve">), create the milestone tag at its most likely position vis-à-vis the text and use or omit </w:t>
      </w:r>
      <w:r>
        <w:rPr>
          <w:rStyle w:val="Codeattribute"/>
        </w:rPr>
        <w:t>@break</w:t>
      </w:r>
      <w:r>
        <w:rPr>
          <w:rStyle w:val="Code"/>
        </w:rPr>
        <w:t>=</w:t>
      </w:r>
      <w:r>
        <w:rPr>
          <w:rStyle w:val="Codevalue"/>
        </w:rPr>
        <w:t>"no"</w:t>
      </w:r>
      <w:r>
        <w:t xml:space="preserve"> as dictated by the restored text</w:t>
      </w:r>
    </w:p>
    <w:p>
      <w:pPr>
        <w:pStyle w:val="Lista3"/>
      </w:pPr>
      <w:r>
        <w:t>if you feel that the uncertainty of this positioning matters, mention it in your annotation</w:t>
      </w:r>
      <w:r>
        <w:rPr>
          <w:rStyle w:val="Lbjegyzet-hivatkozs"/>
        </w:rPr>
        <w:footnoteReference w:id="15"/>
      </w:r>
    </w:p>
    <w:p>
      <w:pPr>
        <w:pStyle w:val="Cmsor3"/>
      </w:pPr>
      <w:bookmarkStart w:id="197" w:name="_Ref225253138"/>
      <w:bookmarkStart w:id="198" w:name="_Ref225429145"/>
      <w:bookmarkStart w:id="199" w:name="_Toc242976605"/>
      <w:r>
        <w:t>Good encoding practice for milestone elements</w:t>
      </w:r>
      <w:bookmarkEnd w:id="197"/>
      <w:bookmarkEnd w:id="199"/>
    </w:p>
    <w:p>
      <w:r>
        <w:t>The milestones representing extrinsic structure are on the same hierarchical level as the edited text. As a result, situations where milestones coincide with breaks in intrinsic structure demand extra attention, as discussed in §</w:t>
      </w:r>
      <w:r>
        <w:fldChar w:fldCharType="begin"/>
      </w:r>
      <w:r>
        <w:instrText xml:space="preserve"> REF _Ref225503257 \r \h </w:instrText>
      </w:r>
      <w:r>
        <w:fldChar w:fldCharType="separate"/>
      </w:r>
      <w:r>
        <w:t>4.3.3.1</w:t>
      </w:r>
      <w:r>
        <w:fldChar w:fldCharType="end"/>
      </w:r>
      <w:r>
        <w:t xml:space="preserve">. When phrase-level elements wrap a chunk of text that contains a milestone, it is theoretically correct to include the milestone within the phrase-level element. However, in actual practice this is not permitted in EpiDoc for </w:t>
      </w:r>
      <w:r>
        <w:rPr>
          <w:rStyle w:val="Code"/>
        </w:rPr>
        <w:t>&lt;unclear&gt;</w:t>
      </w:r>
      <w:r>
        <w:t xml:space="preserve"> elements (§</w:t>
      </w:r>
      <w:r>
        <w:fldChar w:fldCharType="begin"/>
      </w:r>
      <w:r>
        <w:instrText xml:space="preserve"> REF _Ref232089485 \r \h </w:instrText>
      </w:r>
      <w:r>
        <w:fldChar w:fldCharType="separate"/>
      </w:r>
      <w:r>
        <w:t>6.3.1</w:t>
      </w:r>
      <w:r>
        <w:fldChar w:fldCharType="end"/>
      </w:r>
      <w:r>
        <w:t>) and can lead to undesirable complications in other cases, so we generally prefer to split phrase-level elements into two parts, before and after the milestone. For further details on the hierarchy of encoding and its practical implications, see §</w:t>
      </w:r>
      <w:r>
        <w:fldChar w:fldCharType="begin"/>
      </w:r>
      <w:r>
        <w:instrText xml:space="preserve"> REF _Ref43978660 \r \h </w:instrText>
      </w:r>
      <w:r>
        <w:fldChar w:fldCharType="separate"/>
      </w:r>
      <w:r>
        <w:t>16.2</w:t>
      </w:r>
      <w:r>
        <w:fldChar w:fldCharType="end"/>
      </w:r>
      <w:r>
        <w:t>.</w:t>
      </w:r>
    </w:p>
    <w:p>
      <w:pPr>
        <w:pStyle w:val="Normlbehzs"/>
      </w:pPr>
      <w:r>
        <w:t xml:space="preserve">Milestone elements always mark the </w:t>
      </w:r>
      <w:r>
        <w:rPr>
          <w:i/>
          <w:iCs/>
        </w:rPr>
        <w:t>beginning</w:t>
      </w:r>
      <w:r>
        <w:t xml:space="preserve"> of a unit of extrinsic structure, and must accordingly be created for the start of the first extrinsic unit of any kind in a document (</w:t>
      </w:r>
      <w:r>
        <w:fldChar w:fldCharType="begin"/>
      </w:r>
      <w:r>
        <w:instrText xml:space="preserve"> REF _Ref182313052 \h </w:instrText>
      </w:r>
      <w:r>
        <w:fldChar w:fldCharType="separate"/>
      </w:r>
      <w:r>
        <w:t xml:space="preserve">Exhibit </w:t>
      </w:r>
      <w:r>
        <w:rPr>
          <w:noProof/>
        </w:rPr>
        <w:t>4.3</w:t>
      </w:r>
      <w:r>
        <w:t>.</w:t>
      </w:r>
      <w:r>
        <w:rPr>
          <w:noProof/>
        </w:rPr>
        <w:t>B</w:t>
      </w:r>
      <w:r>
        <w:fldChar w:fldCharType="end"/>
      </w:r>
      <w:r>
        <w:t xml:space="preserve">), not only for transitions to subsequent units. In DHARMA practice, line beginnings are mandatorily encoded, even for editions (or textpart divisions) consisting of only a single line. Other structural milestones are not mandatory: an inscription comprised of a single field is not perceived to be a page. </w:t>
      </w:r>
    </w:p>
    <w:p>
      <w:pPr>
        <w:pStyle w:val="Normlbehzs"/>
      </w:pPr>
      <w:r>
        <w:lastRenderedPageBreak/>
        <w:t>In a document with a hierarchical extrinsic structure, a transition point on a higher tier is always</w:t>
      </w:r>
      <w:r>
        <w:rPr>
          <w:rStyle w:val="Lbjegyzet-hivatkozs"/>
        </w:rPr>
        <w:footnoteReference w:id="16"/>
      </w:r>
      <w:r>
        <w:t xml:space="preserve"> accompanied by a transition on the lower tier(s); for instance, whenever a page begins, a new line begins too. At every such point, every applicable milestone must be explicitly encoded, in an order of decreasing hierarchical level, as in </w:t>
      </w:r>
      <w:r>
        <w:fldChar w:fldCharType="begin"/>
      </w:r>
      <w:r>
        <w:instrText xml:space="preserve"> REF _Ref182313052 \h </w:instrText>
      </w:r>
      <w:r>
        <w:fldChar w:fldCharType="separate"/>
      </w:r>
      <w:r>
        <w:t xml:space="preserve">Exhibit </w:t>
      </w:r>
      <w:r>
        <w:rPr>
          <w:noProof/>
        </w:rPr>
        <w:t>4.3</w:t>
      </w:r>
      <w:r>
        <w:t>.</w:t>
      </w:r>
      <w:r>
        <w:rPr>
          <w:noProof/>
        </w:rPr>
        <w:t>B</w:t>
      </w:r>
      <w:r>
        <w:fldChar w:fldCharType="end"/>
      </w:r>
      <w:r>
        <w:t>.</w:t>
      </w:r>
    </w:p>
    <w:p>
      <w:pPr>
        <w:pStyle w:val="Cmsor4"/>
      </w:pPr>
      <w:bookmarkStart w:id="200" w:name="_Ref225502709"/>
      <w:bookmarkStart w:id="201" w:name="_Ref225502994"/>
      <w:bookmarkStart w:id="202" w:name="_Ref225503257"/>
      <w:r>
        <w:t>Milestones and block-level elements</w:t>
      </w:r>
      <w:bookmarkEnd w:id="200"/>
      <w:bookmarkEnd w:id="201"/>
      <w:bookmarkEnd w:id="202"/>
    </w:p>
    <w:p>
      <w:bookmarkStart w:id="203" w:name="_Ref182316248"/>
      <w:r>
        <w:t>Milestone elements must be inside rather than outside block-level elements representing intrinsic structure (§</w:t>
      </w:r>
      <w:r>
        <w:fldChar w:fldCharType="begin"/>
      </w:r>
      <w:r>
        <w:instrText xml:space="preserve"> REF _Ref225500627 \r \h </w:instrText>
      </w:r>
      <w:r>
        <w:fldChar w:fldCharType="separate"/>
      </w:r>
      <w:r>
        <w:t>3.2</w:t>
      </w:r>
      <w:r>
        <w:fldChar w:fldCharType="end"/>
      </w:r>
      <w:r>
        <w:t xml:space="preserve">). Achieving this sometimes requires counterintuitive encoding logic. In the hierarchy of intrinsic structure represented solely with block-level elements, lower-level units are always contained within higher-level units. Likewise, in the hierarchy of extrinsic structure represented with milestones, higher-level milestones precede lower-level ones; for example, page beginnings precede line beginnings. However, when extrinsic and intrinsic boundaries coincide, such as when a stanza begins at the beginning of a physical line, the intuitive assumption may be to encode the milestone representing the extrinsic boundary (e.g. a line beginning) before the start-tag representing the intrinsic boundary (e.g. for a stanza), because by common sense, the stanza begins “inside” the line. Often, however, the opposite is true: many extrinsic boundaries fall inside intrinsic units. In order to make our encoding consistent, DHARMA editions therefore </w:t>
      </w:r>
      <w:r>
        <w:rPr>
          <w:i/>
          <w:iCs/>
        </w:rPr>
        <w:t>always</w:t>
      </w:r>
      <w:r>
        <w:t xml:space="preserve"> place milestone elements inside block-level containers, unless it is impossible to do so.</w:t>
      </w:r>
      <w:r>
        <w:rPr>
          <w:rStyle w:val="Lbjegyzet-hivatkozs"/>
        </w:rPr>
        <w:footnoteReference w:id="17"/>
      </w:r>
    </w:p>
    <w:p>
      <w:pPr>
        <w:pStyle w:val="Normlbehzs"/>
      </w:pPr>
      <w:r>
        <w:t xml:space="preserve">Thus, at the start of an edition or a textpart division, any applicable milestone elements must be encoded after all applicable block-level elements have been opened, as in </w:t>
      </w:r>
      <w:r>
        <w:fldChar w:fldCharType="begin"/>
      </w:r>
      <w:r>
        <w:instrText xml:space="preserve"> REF _Ref182313052 \h </w:instrText>
      </w:r>
      <w:r>
        <w:fldChar w:fldCharType="separate"/>
      </w:r>
      <w:r>
        <w:t xml:space="preserve">Exhibit </w:t>
      </w:r>
      <w:r>
        <w:rPr>
          <w:noProof/>
        </w:rPr>
        <w:t>4.3</w:t>
      </w:r>
      <w:r>
        <w:t>.</w:t>
      </w:r>
      <w:r>
        <w:rPr>
          <w:noProof/>
        </w:rPr>
        <w:t>B</w:t>
      </w:r>
      <w:r>
        <w:fldChar w:fldCharType="end"/>
      </w:r>
      <w:r>
        <w:t xml:space="preserve">. When boundaries of extrinsic and intrinsic structure coincide, any and all applicable milestones shall be created after the start tag of any block-level elements beginning there (not before the end tag of the block-level element(s) ending there), as in </w:t>
      </w:r>
      <w:r>
        <w:fldChar w:fldCharType="begin"/>
      </w:r>
      <w:r>
        <w:instrText xml:space="preserve"> REF _Ref181694220 \h </w:instrText>
      </w:r>
      <w:r>
        <w:fldChar w:fldCharType="separate"/>
      </w:r>
      <w:r>
        <w:t xml:space="preserve">Exhibit </w:t>
      </w:r>
      <w:r>
        <w:rPr>
          <w:noProof/>
        </w:rPr>
        <w:t>4.3</w:t>
      </w:r>
      <w:r>
        <w:t>.</w:t>
      </w:r>
      <w:r>
        <w:rPr>
          <w:noProof/>
        </w:rPr>
        <w:t>C</w:t>
      </w:r>
      <w:r>
        <w:fldChar w:fldCharType="end"/>
      </w:r>
      <w:r>
        <w:t>.</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204" w:name="_Ref182313052"/>
            <w:r>
              <w:t xml:space="preserve">Exhibit </w:t>
            </w:r>
            <w:fldSimple w:instr=" STYLEREF 2 \s ">
              <w:r>
                <w:rPr>
                  <w:noProof/>
                </w:rPr>
                <w:t>4.3</w:t>
              </w:r>
            </w:fldSimple>
            <w:r>
              <w:t>.</w:t>
            </w:r>
            <w:fldSimple w:instr=" SEQ Exhibit \* ALPHABETIC \s 2 ">
              <w:r>
                <w:rPr>
                  <w:noProof/>
                </w:rPr>
                <w:t>B</w:t>
              </w:r>
            </w:fldSimple>
            <w:bookmarkEnd w:id="204"/>
            <w:r>
              <w:t>: several kinds of milestones at the beginning of an edition</w:t>
            </w:r>
          </w:p>
        </w:tc>
      </w:tr>
      <w:tr>
        <w:tc>
          <w:tcPr>
            <w:tcW w:w="5000" w:type="pct"/>
          </w:tcPr>
          <w:p>
            <w:pPr>
              <w:pStyle w:val="CodeParagraph"/>
              <w:rPr>
                <w:rStyle w:val="Code"/>
              </w:rPr>
            </w:pPr>
            <w:r>
              <w:rPr>
                <w:rStyle w:val="Code"/>
              </w:rPr>
              <w:t xml:space="preserve">&lt;div </w:t>
            </w:r>
            <w:r>
              <w:rPr>
                <w:rStyle w:val="Codeattribute"/>
              </w:rPr>
              <w:t>type</w:t>
            </w:r>
            <w:r>
              <w:rPr>
                <w:rStyle w:val="Code"/>
              </w:rPr>
              <w:t>=</w:t>
            </w:r>
            <w:r>
              <w:rPr>
                <w:rStyle w:val="Codevalue"/>
              </w:rPr>
              <w:t>"edition"</w:t>
            </w:r>
            <w:r>
              <w:rPr>
                <w:rStyle w:val="Code"/>
              </w:rPr>
              <w:t>&gt;</w:t>
            </w:r>
          </w:p>
          <w:p>
            <w:pPr>
              <w:pStyle w:val="CodeParagraph"/>
              <w:rPr>
                <w:rStyle w:val="Code"/>
              </w:rPr>
            </w:pPr>
            <w:r>
              <w:rPr>
                <w:rStyle w:val="Code"/>
              </w:rPr>
              <w:t xml:space="preserve">  &lt;lg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"anuṣṭubh"</w:t>
            </w:r>
            <w:r>
              <w:rPr>
                <w:rStyle w:val="Code"/>
              </w:rPr>
              <w:t>&gt;</w:t>
            </w:r>
          </w:p>
          <w:p>
            <w:pPr>
              <w:pStyle w:val="CodeParagraph"/>
            </w:pPr>
            <w:r>
              <w:rPr>
                <w:rStyle w:val="Code"/>
              </w:rPr>
              <w:t xml:space="preserve">    &lt;l </w:t>
            </w:r>
            <w:r>
              <w:rPr>
                <w:rStyle w:val="Codeattribute"/>
              </w:rPr>
              <w:t>n</w:t>
            </w:r>
            <w:r>
              <w:rPr>
                <w:rStyle w:val="Code"/>
              </w:rPr>
              <w:t>=</w:t>
            </w:r>
            <w:r>
              <w:rPr>
                <w:rStyle w:val="Codevalue"/>
              </w:rPr>
              <w:t>"a"</w:t>
            </w:r>
            <w:r>
              <w:rPr>
                <w:rStyle w:val="Code"/>
              </w:rPr>
              <w:t xml:space="preserve">&gt;&lt;milestone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"zone"</w:t>
            </w:r>
            <w:r>
              <w:rPr>
                <w:rStyle w:val="Code"/>
              </w:rPr>
              <w:t xml:space="preserve">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Āsīt...</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205" w:name="_Ref181694220"/>
            <w:r>
              <w:t xml:space="preserve">Exhibit </w:t>
            </w:r>
            <w:fldSimple w:instr=" STYLEREF 2 \s ">
              <w:r>
                <w:rPr>
                  <w:noProof/>
                </w:rPr>
                <w:t>4.3</w:t>
              </w:r>
            </w:fldSimple>
            <w:r>
              <w:t>.</w:t>
            </w:r>
            <w:fldSimple w:instr=" SEQ Exhibit \* ALPHABETIC \s 2 ">
              <w:r>
                <w:rPr>
                  <w:noProof/>
                </w:rPr>
                <w:t>C</w:t>
              </w:r>
            </w:fldSimple>
            <w:bookmarkEnd w:id="205"/>
            <w:r>
              <w:t>: multiple milestones coinciding with nested block-level container boundaries</w:t>
            </w:r>
          </w:p>
        </w:tc>
      </w:tr>
      <w:tr>
        <w:tc>
          <w:tcPr>
            <w:tcW w:w="5000" w:type="pct"/>
          </w:tcPr>
          <w:p>
            <w:pPr>
              <w:pStyle w:val="CodeParagraph"/>
              <w:rPr>
                <w:rStyle w:val="Code"/>
              </w:rPr>
            </w:pPr>
            <w:r>
              <w:rPr>
                <w:rStyle w:val="Code"/>
              </w:rPr>
              <w:t xml:space="preserve">&lt;lg </w:t>
            </w:r>
            <w:r>
              <w:rPr>
                <w:rStyle w:val="Codeattribute"/>
              </w:rPr>
              <w:t>n</w:t>
            </w:r>
            <w:r>
              <w:rPr>
                <w:rStyle w:val="Code"/>
              </w:rPr>
              <w:t>=</w:t>
            </w:r>
            <w:r>
              <w:rPr>
                <w:rStyle w:val="Codevalue"/>
              </w:rPr>
              <w:t>"5"</w:t>
            </w:r>
            <w:r>
              <w:rPr>
                <w:rStyle w:val="Code"/>
              </w:rPr>
              <w:t xml:space="preserve"> </w:t>
            </w:r>
            <w:r>
              <w:rPr>
                <w:rStyle w:val="Codeattribute"/>
              </w:rPr>
              <w:t>met</w:t>
            </w:r>
            <w:r>
              <w:rPr>
                <w:rStyle w:val="Code"/>
              </w:rPr>
              <w:t>=</w:t>
            </w:r>
            <w:r>
              <w:rPr>
                <w:rStyle w:val="Codevalue"/>
              </w:rPr>
              <w:t>"upajāti"</w:t>
            </w:r>
            <w:r>
              <w:rPr>
                <w:rStyle w:val="Code"/>
              </w:rPr>
              <w:t>&gt;</w:t>
            </w:r>
          </w:p>
          <w:p>
            <w:pPr>
              <w:pStyle w:val="CodeParagraph"/>
              <w:rPr>
                <w:rStyle w:val="Codetext"/>
              </w:rPr>
            </w:pPr>
            <w:r>
              <w:rPr>
                <w:rStyle w:val="Codetext"/>
              </w:rPr>
              <w:t xml:space="preserve">  ...</w:t>
            </w:r>
          </w:p>
          <w:p>
            <w:pPr>
              <w:pStyle w:val="CodeParagraph"/>
              <w:rPr>
                <w:rStyle w:val="Code"/>
              </w:rPr>
            </w:pPr>
            <w:r>
              <w:rPr>
                <w:rStyle w:val="Codetext"/>
              </w:rPr>
              <w:t xml:space="preserve">  </w:t>
            </w:r>
            <w:r>
              <w:rPr>
                <w:rStyle w:val="Code"/>
              </w:rPr>
              <w:t xml:space="preserve">&lt;l </w:t>
            </w:r>
            <w:r>
              <w:rPr>
                <w:rStyle w:val="Codeattribute"/>
              </w:rPr>
              <w:t>n</w:t>
            </w:r>
            <w:r>
              <w:rPr>
                <w:rStyle w:val="Code"/>
              </w:rPr>
              <w:t>=</w:t>
            </w:r>
            <w:r>
              <w:rPr>
                <w:rStyle w:val="Codevalue"/>
              </w:rPr>
              <w:t>"d"</w:t>
            </w:r>
            <w:r>
              <w:rPr>
                <w:rStyle w:val="Code"/>
              </w:rPr>
              <w:t xml:space="preserve">&gt; </w:t>
            </w:r>
            <w:r>
              <w:rPr>
                <w:rStyle w:val="Codetext"/>
              </w:rPr>
              <w:t>... śāntiM</w:t>
            </w:r>
            <w:r>
              <w:rPr>
                <w:rStyle w:val="Code"/>
              </w:rPr>
              <w:t>&lt;/l&gt;</w:t>
            </w:r>
          </w:p>
          <w:p>
            <w:pPr>
              <w:pStyle w:val="CodeParagraph"/>
              <w:rPr>
                <w:rStyle w:val="Code"/>
              </w:rPr>
            </w:pPr>
            <w:r>
              <w:rPr>
                <w:rStyle w:val="Code"/>
              </w:rPr>
              <w:t>&lt;/lg&gt;</w:t>
            </w:r>
          </w:p>
          <w:p>
            <w:pPr>
              <w:pStyle w:val="CodeParagraph"/>
              <w:rPr>
                <w:rStyle w:val="Code"/>
              </w:rPr>
            </w:pPr>
            <w:r>
              <w:rPr>
                <w:rStyle w:val="Code"/>
              </w:rPr>
              <w:t xml:space="preserve">&lt;lg </w:t>
            </w:r>
            <w:r>
              <w:rPr>
                <w:rStyle w:val="Codeattribute"/>
              </w:rPr>
              <w:t>n</w:t>
            </w:r>
            <w:r>
              <w:rPr>
                <w:rStyle w:val="Code"/>
              </w:rPr>
              <w:t>=</w:t>
            </w:r>
            <w:r>
              <w:rPr>
                <w:rStyle w:val="Codevalue"/>
              </w:rPr>
              <w:t>"6"</w:t>
            </w:r>
            <w:r>
              <w:rPr>
                <w:rStyle w:val="Code"/>
              </w:rPr>
              <w:t xml:space="preserve"> </w:t>
            </w:r>
            <w:r>
              <w:rPr>
                <w:rStyle w:val="Codeattribute"/>
              </w:rPr>
              <w:t>met</w:t>
            </w:r>
            <w:r>
              <w:rPr>
                <w:rStyle w:val="Code"/>
              </w:rPr>
              <w:t>=</w:t>
            </w:r>
            <w:r>
              <w:rPr>
                <w:rStyle w:val="Codevalue"/>
              </w:rPr>
              <w:t>"upajāti"</w:t>
            </w:r>
            <w:r>
              <w:rPr>
                <w:rStyle w:val="Code"/>
              </w:rPr>
              <w:t>&gt;</w:t>
            </w:r>
          </w:p>
          <w:p>
            <w:pPr>
              <w:pStyle w:val="CodeParagraph"/>
              <w:keepNext/>
              <w:rPr>
                <w:rStyle w:val="Code"/>
              </w:rPr>
            </w:pPr>
            <w:r>
              <w:rPr>
                <w:rStyle w:val="Code"/>
              </w:rPr>
              <w:t xml:space="preserve">  &lt;l </w:t>
            </w:r>
            <w:r>
              <w:rPr>
                <w:rStyle w:val="Codeattribute"/>
              </w:rPr>
              <w:t>n</w:t>
            </w:r>
            <w:r>
              <w:rPr>
                <w:rStyle w:val="Code"/>
              </w:rPr>
              <w:t>=</w:t>
            </w:r>
            <w:r>
              <w:rPr>
                <w:rStyle w:val="Codevalue"/>
              </w:rPr>
              <w:t>"a"</w:t>
            </w:r>
            <w:r>
              <w:rPr>
                <w:rStyle w:val="Code"/>
              </w:rPr>
              <w:t xml:space="preserve">&gt;&lt;pb </w:t>
            </w:r>
            <w:r>
              <w:rPr>
                <w:rStyle w:val="Codeattribute"/>
              </w:rPr>
              <w:t>n</w:t>
            </w:r>
            <w:r>
              <w:rPr>
                <w:rStyle w:val="Code"/>
              </w:rPr>
              <w:t>=</w:t>
            </w:r>
            <w:r>
              <w:rPr>
                <w:rStyle w:val="Codevalue"/>
              </w:rPr>
              <w:t>"2"</w:t>
            </w:r>
            <w:r>
              <w:rPr>
                <w:rStyle w:val="Code"/>
              </w:rPr>
              <w:t xml:space="preserve">/&gt;&lt;lb </w:t>
            </w:r>
            <w:r>
              <w:rPr>
                <w:rStyle w:val="Codeattribute"/>
              </w:rPr>
              <w:t>n</w:t>
            </w:r>
            <w:r>
              <w:rPr>
                <w:rStyle w:val="Code"/>
              </w:rPr>
              <w:t>=</w:t>
            </w:r>
            <w:r>
              <w:rPr>
                <w:rStyle w:val="Codevalue"/>
              </w:rPr>
              <w:t>"9"</w:t>
            </w:r>
            <w:r>
              <w:rPr>
                <w:rStyle w:val="Code"/>
              </w:rPr>
              <w:t>/&gt;</w:t>
            </w:r>
            <w:r>
              <w:rPr>
                <w:rStyle w:val="Codetext"/>
              </w:rPr>
              <w:t>guptānvaya ...</w:t>
            </w:r>
          </w:p>
          <w:p>
            <w:pPr>
              <w:pStyle w:val="CodeParagraph"/>
              <w:keepNext/>
              <w:rPr>
                <w:rStyle w:val="Code"/>
              </w:rPr>
            </w:pPr>
            <w:r>
              <w:rPr>
                <w:rStyle w:val="Code"/>
              </w:rPr>
              <w:t xml:space="preserve">  ...</w:t>
            </w:r>
          </w:p>
          <w:p>
            <w:pPr>
              <w:pStyle w:val="CodeParagraph"/>
              <w:keepNext/>
            </w:pPr>
            <w:r>
              <w:rPr>
                <w:rStyle w:val="Code"/>
              </w:rPr>
              <w:t>&lt;/lg&gt;</w:t>
            </w:r>
          </w:p>
        </w:tc>
      </w:tr>
      <w:tr>
        <w:tc>
          <w:tcPr>
            <w:tcW w:w="5000" w:type="pct"/>
          </w:tcPr>
          <w:p>
            <w:pPr>
              <w:pStyle w:val="TableNote"/>
            </w:pPr>
            <w:r>
              <w:t>this stanza begins at the beginning of a page in a set of copper plates</w:t>
            </w:r>
          </w:p>
          <w:p>
            <w:pPr>
              <w:pStyle w:val="TableNote"/>
            </w:pPr>
            <w:r>
              <w:t xml:space="preserve">the milestones for the page beginning as well as the line beginning are the first items within the first </w:t>
            </w:r>
            <w:r>
              <w:rPr>
                <w:rStyle w:val="Code"/>
              </w:rPr>
              <w:t>&lt;l&gt;</w:t>
            </w:r>
            <w:r>
              <w:t xml:space="preserve"> element of the new stanza</w:t>
            </w:r>
          </w:p>
        </w:tc>
      </w:tr>
    </w:tbl>
    <w:bookmarkEnd w:id="203"/>
    <w:p>
      <w:pPr>
        <w:pStyle w:val="Cmsor4"/>
      </w:pPr>
      <w:r>
        <w:t>Milestones and white space</w:t>
      </w:r>
    </w:p>
    <w:p>
      <w:r>
        <w:rPr>
          <w:lang w:eastAsia="en-US" w:bidi="ar-SA"/>
        </w:rPr>
        <w:t>General instructions regarding spacing around XML elements are given in §</w:t>
      </w:r>
      <w:r>
        <w:rPr>
          <w:lang w:eastAsia="en-US" w:bidi="ar-SA"/>
        </w:rPr>
        <w:fldChar w:fldCharType="begin"/>
      </w:r>
      <w:r>
        <w:rPr>
          <w:lang w:eastAsia="en-US" w:bidi="ar-SA"/>
        </w:rPr>
        <w:instrText xml:space="preserve"> REF _Ref43989206 \r \h </w:instrText>
      </w:r>
      <w:r>
        <w:rPr>
          <w:lang w:eastAsia="en-US" w:bidi="ar-SA"/>
        </w:rPr>
      </w:r>
      <w:r>
        <w:rPr>
          <w:lang w:eastAsia="en-US" w:bidi="ar-SA"/>
        </w:rPr>
        <w:fldChar w:fldCharType="separate"/>
      </w:r>
      <w:r>
        <w:rPr>
          <w:lang w:eastAsia="en-US" w:bidi="ar-SA"/>
        </w:rPr>
        <w:t>16.1</w:t>
      </w:r>
      <w:r>
        <w:rPr>
          <w:lang w:eastAsia="en-US" w:bidi="ar-SA"/>
        </w:rPr>
        <w:fldChar w:fldCharType="end"/>
      </w:r>
      <w:r>
        <w:rPr>
          <w:lang w:eastAsia="en-US" w:bidi="ar-SA"/>
        </w:rPr>
        <w:t xml:space="preserve">. There is no technical need to separate milestones from adjacent text or elements with spaces, so spaces must only be used around milestone elements where the text (disregarding the milestone) would contain an editorial space, i.e. at a word break. Adding more than the necessary amount of space, as well as the use of new lines in the code, is not a technical problem but it can lead to undesirable consequences in processing. We therefore prefer to avoid using spaces on both sides of a milestone. If a partition encoded with a milestone coincides with an </w:t>
      </w:r>
      <w:r>
        <w:rPr>
          <w:lang w:eastAsia="en-US" w:bidi="ar-SA"/>
        </w:rPr>
        <w:lastRenderedPageBreak/>
        <w:t xml:space="preserve">editorial space, the space shall be placed before the milestone. However, it is completely acceptable to insert </w:t>
      </w:r>
      <w:r>
        <w:t xml:space="preserve">new lines (carriage returns) within milestone tags, and doing so consistently for certain kinds of milestones will make your XML document easier to scan while working, as in </w:t>
      </w:r>
      <w:r>
        <w:fldChar w:fldCharType="begin"/>
      </w:r>
      <w:r>
        <w:instrText xml:space="preserve"> REF _Ref182314695 \h </w:instrText>
      </w:r>
      <w:r>
        <w:fldChar w:fldCharType="separate"/>
      </w:r>
      <w:r>
        <w:t xml:space="preserve">Exhibit </w:t>
      </w:r>
      <w:r>
        <w:rPr>
          <w:noProof/>
        </w:rPr>
        <w:t>4.3</w:t>
      </w:r>
      <w:r>
        <w:t>.</w:t>
      </w:r>
      <w:r>
        <w:rPr>
          <w:noProof/>
        </w:rPr>
        <w:t>D</w:t>
      </w:r>
      <w:r>
        <w:fldChar w:fldCharType="end"/>
      </w:r>
      <w:r>
        <w:t>.</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206" w:name="_Ref182314695"/>
            <w:bookmarkStart w:id="207" w:name="_Ref182316275"/>
            <w:bookmarkStart w:id="208" w:name="_Ref182312225"/>
            <w:r>
              <w:t xml:space="preserve">Exhibit </w:t>
            </w:r>
            <w:fldSimple w:instr=" STYLEREF 2 \s ">
              <w:r>
                <w:rPr>
                  <w:noProof/>
                </w:rPr>
                <w:t>4.3</w:t>
              </w:r>
            </w:fldSimple>
            <w:r>
              <w:t>.</w:t>
            </w:r>
            <w:fldSimple w:instr=" SEQ Exhibit \* ALPHABETIC \s 2 ">
              <w:r>
                <w:rPr>
                  <w:noProof/>
                </w:rPr>
                <w:t>D</w:t>
              </w:r>
            </w:fldSimple>
            <w:bookmarkEnd w:id="206"/>
            <w:r>
              <w:t>: carriage returns used within milestone tags</w:t>
            </w:r>
            <w:bookmarkEnd w:id="207"/>
          </w:p>
        </w:tc>
      </w:tr>
      <w:tr>
        <w:tc>
          <w:tcPr>
            <w:tcW w:w="5000" w:type="pct"/>
          </w:tcPr>
          <w:p>
            <w:pPr>
              <w:pStyle w:val="CodeParagraph"/>
              <w:rPr>
                <w:rStyle w:val="Code"/>
              </w:rPr>
            </w:pPr>
            <w:r>
              <w:rPr>
                <w:rStyle w:val="Codetext"/>
              </w:rPr>
              <w:t xml:space="preserve">...manv-ādi-praṇīta-dharmmaśāstra-pracarita-vr̥ddhiḥ </w:t>
            </w:r>
            <w:r>
              <w:rPr>
                <w:rStyle w:val="Code"/>
              </w:rPr>
              <w:t xml:space="preserve">&lt;pb </w:t>
            </w:r>
          </w:p>
          <w:p>
            <w:pPr>
              <w:pStyle w:val="CodeParagraph"/>
              <w:rPr>
                <w:rStyle w:val="Code"/>
              </w:rPr>
            </w:pPr>
            <w:r>
              <w:rPr>
                <w:rStyle w:val="Codeattribute"/>
              </w:rPr>
              <w:t>n=</w:t>
            </w:r>
            <w:r>
              <w:rPr>
                <w:rStyle w:val="Codevalue"/>
              </w:rPr>
              <w:t>"2r"</w:t>
            </w:r>
            <w:r>
              <w:rPr>
                <w:rStyle w:val="Code"/>
              </w:rPr>
              <w:t xml:space="preserve">/&gt;&lt;lb </w:t>
            </w:r>
          </w:p>
          <w:p>
            <w:pPr>
              <w:pStyle w:val="CodeParagraph"/>
              <w:rPr>
                <w:rFonts w:ascii="Consolas" w:hAnsi="Consolas" w:cs="Consolas"/>
                <w:noProof/>
                <w:color w:val="000000" w:themeColor="text1"/>
                <w:shd w:val="clear" w:color="auto" w:fill="F2F2F2" w:themeFill="background1" w:themeFillShade="F2"/>
              </w:rPr>
            </w:pPr>
            <w:r>
              <w:rPr>
                <w:rStyle w:val="Codeattribute"/>
              </w:rPr>
              <w:t>n=</w:t>
            </w:r>
            <w:r>
              <w:rPr>
                <w:rStyle w:val="Codevalue"/>
              </w:rPr>
              <w:t>"7"</w:t>
            </w:r>
            <w:r>
              <w:rPr>
                <w:rStyle w:val="Code"/>
              </w:rPr>
              <w:t>/&gt;</w:t>
            </w:r>
            <w:r>
              <w:rPr>
                <w:rStyle w:val="Codetext"/>
              </w:rPr>
              <w:t>yudhiṣṭhira Iva satya-sandhaḥ br̥haspatir iva naya-jñaḥ mātā-pitr̥</w:t>
            </w:r>
            <w:r>
              <w:rPr>
                <w:rStyle w:val="Code"/>
              </w:rPr>
              <w:t>&lt;lb</w:t>
            </w:r>
            <w:r>
              <w:rPr>
                <w:rStyle w:val="Code"/>
              </w:rPr>
              <w:br/>
            </w:r>
            <w:r>
              <w:rPr>
                <w:rStyle w:val="Codeattribute"/>
              </w:rPr>
              <w:t>n=</w:t>
            </w:r>
            <w:r>
              <w:rPr>
                <w:rStyle w:val="Codevalue"/>
              </w:rPr>
              <w:t>"8"</w:t>
            </w:r>
            <w:r>
              <w:rPr>
                <w:rStyle w:val="Code"/>
              </w:rPr>
              <w:t xml:space="preserve"> </w:t>
            </w:r>
            <w:r>
              <w:rPr>
                <w:rStyle w:val="Codeattribute"/>
              </w:rPr>
              <w:t>break=</w:t>
            </w:r>
            <w:r>
              <w:rPr>
                <w:rStyle w:val="Codevalue"/>
              </w:rPr>
              <w:t>"no"</w:t>
            </w:r>
            <w:r>
              <w:rPr>
                <w:rStyle w:val="Code"/>
              </w:rPr>
              <w:t>/&gt;</w:t>
            </w:r>
            <w:r>
              <w:rPr>
                <w:rStyle w:val="Codetext"/>
              </w:rPr>
              <w:t>-pādānudhyātaḥ śrī-viṣṇuvarddhana-mahārājaḥ...</w:t>
            </w:r>
          </w:p>
        </w:tc>
      </w:tr>
    </w:tbl>
    <w:p>
      <w:bookmarkStart w:id="209" w:name="_Ref182318134"/>
    </w:p>
    <w:p>
      <w:pPr>
        <w:pStyle w:val="Cmsor2"/>
      </w:pPr>
      <w:bookmarkStart w:id="210" w:name="_Ref233982406"/>
      <w:bookmarkEnd w:id="208"/>
      <w:bookmarkEnd w:id="209"/>
      <w:r>
        <w:t>Pagelike partitions</w:t>
      </w:r>
      <w:bookmarkEnd w:id="180"/>
      <w:bookmarkEnd w:id="188"/>
      <w:bookmarkEnd w:id="198"/>
      <w:bookmarkEnd w:id="210"/>
    </w:p>
    <w:p>
      <w:bookmarkStart w:id="211" w:name="_h6ikg2hg8g9u" w:colFirst="0" w:colLast="0"/>
      <w:bookmarkEnd w:id="211"/>
      <w:r>
        <w:t>Recall from §</w:t>
      </w:r>
      <w:r>
        <w:fldChar w:fldCharType="begin"/>
      </w:r>
      <w:r>
        <w:instrText xml:space="preserve"> REF _Ref182923075 \r \h </w:instrText>
      </w:r>
      <w:r>
        <w:fldChar w:fldCharType="separate"/>
      </w:r>
      <w:r>
        <w:t>4.1</w:t>
      </w:r>
      <w:r>
        <w:fldChar w:fldCharType="end"/>
      </w:r>
      <w:r>
        <w:t xml:space="preserve"> that a pagelike partition is what happens when the text continues from the end of a zone to the beginning of the next, typically without a major semantic boundary, as in </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/2. The text of all such partitions together comprises a single virtual field that is an integral whole, while the chunks of text in the individual partitions are not complete in themselves. We call these partitions pagelike because each zone is analogous to a page in a book: the boundary is usually incidental and irrelevant to the text’s semantic structure, although it may also coincide with a semantic break. Since such a partition may occur inside a unit of intrinsic structure, the encoding equivalent of a pagelike partition must be an empty milestone element (§</w:t>
      </w:r>
      <w:r>
        <w:fldChar w:fldCharType="begin"/>
      </w:r>
      <w:r>
        <w:instrText xml:space="preserve"> REF _Ref225327729 \r \h </w:instrText>
      </w:r>
      <w:r>
        <w:fldChar w:fldCharType="separate"/>
      </w:r>
      <w:r>
        <w:t>4.3</w:t>
      </w:r>
      <w:r>
        <w:fldChar w:fldCharType="end"/>
      </w:r>
      <w:r>
        <w:t xml:space="preserve">). For the genuine pages of copperplate charters, we use </w:t>
      </w:r>
      <w:r>
        <w:rPr>
          <w:rStyle w:val="Code"/>
        </w:rPr>
        <w:t>&lt;pb/&gt;</w:t>
      </w:r>
      <w:r>
        <w:t xml:space="preserve"> elements (§</w:t>
      </w:r>
      <w:r>
        <w:fldChar w:fldCharType="begin"/>
      </w:r>
      <w:r>
        <w:instrText xml:space="preserve"> REF _Ref183083980 \r \h </w:instrText>
      </w:r>
      <w:r>
        <w:fldChar w:fldCharType="separate"/>
      </w:r>
      <w:r>
        <w:t>4.4.2</w:t>
      </w:r>
      <w:r>
        <w:fldChar w:fldCharType="end"/>
      </w:r>
      <w:r>
        <w:t xml:space="preserve">), while for other partitions of analogous nature we employ </w:t>
      </w:r>
      <w:r>
        <w:rPr>
          <w:rStyle w:val="Code"/>
        </w:rPr>
        <w:t xml:space="preserve">&lt;milestone </w:t>
      </w:r>
      <w:r>
        <w:rPr>
          <w:rStyle w:val="Codeattribute"/>
        </w:rPr>
        <w:t>type=</w:t>
      </w:r>
      <w:r>
        <w:rPr>
          <w:rStyle w:val="Codevalue"/>
        </w:rPr>
        <w:t>"pagelike"</w:t>
      </w:r>
      <w:r>
        <w:rPr>
          <w:rStyle w:val="Code"/>
        </w:rPr>
        <w:t>&gt;</w:t>
      </w:r>
      <w:r>
        <w:t xml:space="preserve"> (§</w:t>
      </w:r>
      <w:r>
        <w:fldChar w:fldCharType="begin"/>
      </w:r>
      <w:r>
        <w:instrText xml:space="preserve"> REF _Ref43986679 \r \h </w:instrText>
      </w:r>
      <w:r>
        <w:fldChar w:fldCharType="separate"/>
      </w:r>
      <w:r>
        <w:t>4.4.2.1</w:t>
      </w:r>
      <w:r>
        <w:fldChar w:fldCharType="end"/>
      </w:r>
      <w:r>
        <w:t xml:space="preserve">). </w:t>
      </w:r>
    </w:p>
    <w:p>
      <w:pPr>
        <w:pStyle w:val="Normlbehzs"/>
      </w:pPr>
      <w:r>
        <w:t xml:space="preserve">There is no technical limit to the number of different kinds of pagelike partitions that a document may contain. However, to avoid complications in markup and referencing, our project policy is always to employ a maximum of one kind of pagelike partition per division (i.e. only one kind in an undivided edition, or only one kind in each textpart of a subdivided edition). Thus, an edition or textpart may contain either </w:t>
      </w:r>
      <w:r>
        <w:rPr>
          <w:rStyle w:val="Code"/>
        </w:rPr>
        <w:t>&lt;pb/&gt;</w:t>
      </w:r>
      <w:r>
        <w:t xml:space="preserve"> or </w:t>
      </w:r>
      <w:r>
        <w:rPr>
          <w:rStyle w:val="Code"/>
        </w:rPr>
        <w:t xml:space="preserve">&lt;milestone </w:t>
      </w:r>
      <w:r>
        <w:rPr>
          <w:rStyle w:val="Codeattribute"/>
        </w:rPr>
        <w:t>type=</w:t>
      </w:r>
      <w:r>
        <w:rPr>
          <w:rStyle w:val="Codevalue"/>
        </w:rPr>
        <w:t>"pagelike"</w:t>
      </w:r>
      <w:r>
        <w:rPr>
          <w:rStyle w:val="Code"/>
        </w:rPr>
        <w:t>&gt;</w:t>
      </w:r>
      <w:r>
        <w:t xml:space="preserve"> with one particular </w:t>
      </w:r>
      <w:r>
        <w:rPr>
          <w:rStyle w:val="Codeattribute"/>
        </w:rPr>
        <w:t>@unit</w:t>
      </w:r>
      <w:r>
        <w:t xml:space="preserve"> (§</w:t>
      </w:r>
      <w:r>
        <w:fldChar w:fldCharType="begin"/>
      </w:r>
      <w:r>
        <w:instrText xml:space="preserve"> REF _Ref182815315 \r \h </w:instrText>
      </w:r>
      <w:r>
        <w:fldChar w:fldCharType="separate"/>
      </w:r>
      <w:r>
        <w:t>4.3.1</w:t>
      </w:r>
      <w:r>
        <w:fldChar w:fldCharType="end"/>
      </w:r>
      <w:r>
        <w:t xml:space="preserve">), but not both, nor </w:t>
      </w:r>
      <w:r>
        <w:rPr>
          <w:rStyle w:val="Code"/>
        </w:rPr>
        <w:t xml:space="preserve">&lt;milestone </w:t>
      </w:r>
      <w:r>
        <w:rPr>
          <w:rStyle w:val="Codeattribute"/>
        </w:rPr>
        <w:t>type=</w:t>
      </w:r>
      <w:r>
        <w:rPr>
          <w:rStyle w:val="Codevalue"/>
        </w:rPr>
        <w:t>"pagelike"</w:t>
      </w:r>
      <w:r>
        <w:rPr>
          <w:rStyle w:val="Code"/>
        </w:rPr>
        <w:t>&gt;</w:t>
      </w:r>
      <w:r>
        <w:t xml:space="preserve"> with two or more different values of </w:t>
      </w:r>
      <w:r>
        <w:rPr>
          <w:rStyle w:val="Codeattribute"/>
        </w:rPr>
        <w:t>@unit</w:t>
      </w:r>
      <w:r>
        <w:t xml:space="preserve">. When encoding a structurally complex inscription, instead of resorting to multiple kinds of pagelike partitions, try to make the best use of </w:t>
      </w:r>
      <w:bookmarkStart w:id="212" w:name="_tnb25u59sdgt" w:colFirst="0" w:colLast="0"/>
      <w:bookmarkStart w:id="213" w:name="_Ref43978346"/>
      <w:bookmarkStart w:id="214" w:name="_Ref182580155"/>
      <w:bookmarkStart w:id="215" w:name="_Ref182580158"/>
      <w:bookmarkStart w:id="216" w:name="_Ref182580228"/>
      <w:bookmarkEnd w:id="212"/>
      <w:r>
        <w:t>other encoding solutions. Considerations for some such situations are discussed in §</w:t>
      </w:r>
      <w:r>
        <w:fldChar w:fldCharType="begin"/>
      </w:r>
      <w:r>
        <w:instrText xml:space="preserve"> REF _Ref225350898 \r \h </w:instrText>
      </w:r>
      <w:r>
        <w:fldChar w:fldCharType="separate"/>
      </w:r>
      <w:r>
        <w:t>4.7</w:t>
      </w:r>
      <w:r>
        <w:fldChar w:fldCharType="end"/>
      </w:r>
      <w:r>
        <w:t>.</w:t>
      </w:r>
    </w:p>
    <w:p>
      <w:pPr>
        <w:pStyle w:val="Cmsor4"/>
      </w:pPr>
      <w:r>
        <w:t>Terminology for pages and related entities</w:t>
      </w:r>
    </w:p>
    <w:p>
      <w:r>
        <w:t>In this section and elsewhere when discussing pages and pagelike entities, we use the following terms in the following specific senses.</w:t>
      </w:r>
    </w:p>
    <w:p>
      <w:pPr>
        <w:pStyle w:val="Lista"/>
      </w:pPr>
      <w:r>
        <w:t xml:space="preserve">a </w:t>
      </w:r>
      <w:r>
        <w:rPr>
          <w:b/>
          <w:bCs/>
        </w:rPr>
        <w:t>plate</w:t>
      </w:r>
      <w:r>
        <w:t xml:space="preserve"> is one discrete plate of copper (or other substance) bearing an inscription or part thereof</w:t>
      </w:r>
    </w:p>
    <w:p>
      <w:pPr>
        <w:pStyle w:val="Lista"/>
      </w:pPr>
      <w:r>
        <w:t xml:space="preserve">a </w:t>
      </w:r>
      <w:r>
        <w:rPr>
          <w:b/>
          <w:bCs/>
        </w:rPr>
        <w:t>face</w:t>
      </w:r>
      <w:r>
        <w:t xml:space="preserve"> is the physical surface on one side of a plate</w:t>
      </w:r>
    </w:p>
    <w:p>
      <w:pPr>
        <w:pStyle w:val="Lista2"/>
      </w:pPr>
      <w:r>
        <w:t>in other contexts, a face is one largely flat surface on any three-dimensional object</w:t>
      </w:r>
    </w:p>
    <w:p>
      <w:pPr>
        <w:pStyle w:val="Lista"/>
      </w:pPr>
      <w:r>
        <w:t xml:space="preserve">the </w:t>
      </w:r>
      <w:r>
        <w:rPr>
          <w:b/>
          <w:bCs/>
        </w:rPr>
        <w:t>recto</w:t>
      </w:r>
      <w:r>
        <w:t xml:space="preserve"> face of a plate or sheet is the obverse, the face that comes first in sequence</w:t>
      </w:r>
    </w:p>
    <w:p>
      <w:pPr>
        <w:pStyle w:val="Lista"/>
      </w:pPr>
      <w:r>
        <w:t xml:space="preserve">the </w:t>
      </w:r>
      <w:r>
        <w:rPr>
          <w:b/>
          <w:bCs/>
        </w:rPr>
        <w:t>verso</w:t>
      </w:r>
      <w:r>
        <w:t xml:space="preserve"> face of a plate or sheet is the reverse, the face that comes next in sequence</w:t>
      </w:r>
    </w:p>
    <w:p>
      <w:pPr>
        <w:pStyle w:val="Lista"/>
      </w:pPr>
      <w:r>
        <w:t xml:space="preserve">a </w:t>
      </w:r>
      <w:r>
        <w:rPr>
          <w:b/>
          <w:bCs/>
        </w:rPr>
        <w:t>page</w:t>
      </w:r>
      <w:r>
        <w:t xml:space="preserve"> is an abstract unit of text that is inscribed on one face of a plate or one side of a sheet of another substance</w:t>
      </w:r>
    </w:p>
    <w:p>
      <w:pPr>
        <w:pStyle w:val="Lista"/>
      </w:pPr>
      <w:r>
        <w:t xml:space="preserve">a </w:t>
      </w:r>
      <w:r>
        <w:rPr>
          <w:b/>
          <w:bCs/>
        </w:rPr>
        <w:t>folio</w:t>
      </w:r>
      <w:r>
        <w:t xml:space="preserve"> as an abstract unit of text comprised of two pages that belong to a single plate or sheet</w:t>
      </w:r>
    </w:p>
    <w:p>
      <w:pPr>
        <w:pStyle w:val="Cmsor3"/>
        <w:keepLines/>
      </w:pPr>
      <w:bookmarkStart w:id="217" w:name="_Ref183083979"/>
      <w:bookmarkStart w:id="218" w:name="_Ref183083980"/>
      <w:bookmarkStart w:id="219" w:name="_Toc242976606"/>
      <w:r>
        <w:t>Marking up genuine pages</w:t>
      </w:r>
      <w:bookmarkEnd w:id="213"/>
      <w:bookmarkEnd w:id="214"/>
      <w:bookmarkEnd w:id="215"/>
      <w:bookmarkEnd w:id="216"/>
      <w:bookmarkEnd w:id="217"/>
      <w:bookmarkEnd w:id="218"/>
      <w:bookmarkEnd w:id="219"/>
    </w:p>
    <w:p>
      <w:pPr>
        <w:pStyle w:val="Lista"/>
      </w:pPr>
      <w:r>
        <w:t xml:space="preserve">to encode genuine pages, as in copper plates, use the empty element </w:t>
      </w:r>
      <w:r>
        <w:rPr>
          <w:rStyle w:val="Code"/>
        </w:rPr>
        <w:t>&lt;pb/&gt;</w:t>
      </w:r>
      <w:r>
        <w:t xml:space="preserve"> as in </w:t>
      </w:r>
      <w:r>
        <w:fldChar w:fldCharType="begin"/>
      </w:r>
      <w:r>
        <w:instrText xml:space="preserve"> REF _Ref225356253 \h </w:instrText>
      </w:r>
      <w:r>
        <w:fldChar w:fldCharType="separate"/>
      </w:r>
      <w:r>
        <w:t xml:space="preserve">Exhibit </w:t>
      </w:r>
      <w:r>
        <w:rPr>
          <w:noProof/>
        </w:rPr>
        <w:t>4.4</w:t>
      </w:r>
      <w:r>
        <w:t>.</w:t>
      </w:r>
      <w:r>
        <w:rPr>
          <w:noProof/>
        </w:rPr>
        <w:t>A</w:t>
      </w:r>
      <w:r>
        <w:fldChar w:fldCharType="end"/>
      </w:r>
      <w:r>
        <w:t>, with the following attributes</w:t>
      </w:r>
    </w:p>
    <w:p>
      <w:pPr>
        <w:pStyle w:val="Lista2"/>
      </w:pPr>
      <w:bookmarkStart w:id="220" w:name="_Ref182299386"/>
      <w:r>
        <w:t xml:space="preserve">mandatorily, </w:t>
      </w:r>
      <w:r>
        <w:rPr>
          <w:rStyle w:val="Codeattribute"/>
        </w:rPr>
        <w:t>@n</w:t>
      </w:r>
      <w:r>
        <w:t xml:space="preserve"> as per §</w:t>
      </w:r>
      <w:r>
        <w:fldChar w:fldCharType="begin"/>
      </w:r>
      <w:r>
        <w:instrText xml:space="preserve"> REF _Ref182310225 \r \h </w:instrText>
      </w:r>
      <w:r>
        <w:fldChar w:fldCharType="separate"/>
      </w:r>
      <w:r>
        <w:t>4.4.2.1</w:t>
      </w:r>
      <w:r>
        <w:fldChar w:fldCharType="end"/>
      </w:r>
    </w:p>
    <w:p>
      <w:pPr>
        <w:pStyle w:val="Lista2"/>
      </w:pPr>
      <w:r>
        <w:t xml:space="preserve">as applicable, </w:t>
      </w:r>
      <w:r>
        <w:rPr>
          <w:rStyle w:val="Codeattribute"/>
        </w:rPr>
        <w:t>@break</w:t>
      </w:r>
      <w:r>
        <w:t xml:space="preserve"> for page beginnings interrupting words as per §</w:t>
      </w:r>
      <w:r>
        <w:fldChar w:fldCharType="begin"/>
      </w:r>
      <w:r>
        <w:instrText xml:space="preserve"> REF _Ref225519777 \r \h </w:instrText>
      </w:r>
      <w:r>
        <w:fldChar w:fldCharType="separate"/>
      </w:r>
      <w:r>
        <w:t>4.3.2.1</w:t>
      </w:r>
      <w:r>
        <w:fldChar w:fldCharType="end"/>
      </w:r>
    </w:p>
    <w:p>
      <w:pPr>
        <w:pStyle w:val="Lista"/>
      </w:pPr>
      <w:r>
        <w:rPr>
          <w:rStyle w:val="Code"/>
        </w:rPr>
        <w:t>&lt;pb/&gt;</w:t>
      </w:r>
      <w:r>
        <w:t xml:space="preserve"> marks page beginnings (rather than transitions) and thus, when pages are present in a document, the element must be created at the start of each page</w:t>
      </w:r>
    </w:p>
    <w:p>
      <w:pPr>
        <w:pStyle w:val="Lista2"/>
      </w:pPr>
      <w:r>
        <w:t>including the first page</w:t>
      </w:r>
    </w:p>
    <w:p>
      <w:pPr>
        <w:pStyle w:val="Lista2"/>
      </w:pPr>
      <w:r>
        <w:t>and including pages without text on them (§</w:t>
      </w:r>
      <w:r>
        <w:fldChar w:fldCharType="begin"/>
      </w:r>
      <w:r>
        <w:instrText xml:space="preserve"> REF _Ref182318940 \r \h </w:instrText>
      </w:r>
      <w:r>
        <w:fldChar w:fldCharType="separate"/>
      </w:r>
      <w:r>
        <w:t>4.4.2.2</w:t>
      </w:r>
      <w:r>
        <w:fldChar w:fldCharType="end"/>
      </w:r>
      <w:r>
        <w:t>)</w:t>
      </w:r>
    </w:p>
    <w:p>
      <w:pPr>
        <w:pStyle w:val="Lista"/>
      </w:pPr>
      <w:r>
        <w:lastRenderedPageBreak/>
        <w:t>good practice considerations applicable to structural milestones (§</w:t>
      </w:r>
      <w:r>
        <w:fldChar w:fldCharType="begin"/>
      </w:r>
      <w:r>
        <w:instrText xml:space="preserve"> REF _Ref225253138 \r \h </w:instrText>
      </w:r>
      <w:r>
        <w:fldChar w:fldCharType="separate"/>
      </w:r>
      <w:r>
        <w:t>4.3.3</w:t>
      </w:r>
      <w:r>
        <w:fldChar w:fldCharType="end"/>
      </w:r>
      <w:r>
        <w:t>) apply equally to page beginnings</w:t>
      </w:r>
    </w:p>
    <w:tbl>
      <w:tblPr>
        <w:tblStyle w:val="CodeSampleTable"/>
        <w:tblW w:w="4536" w:type="dxa"/>
        <w:jc w:val="center"/>
        <w:tblLook w:val="04A0" w:firstRow="1" w:lastRow="0" w:firstColumn="1" w:lastColumn="0" w:noHBand="0" w:noVBand="1"/>
      </w:tblPr>
      <w:tblGrid>
        <w:gridCol w:w="4536"/>
      </w:tblGrid>
      <w:tr>
        <w:trPr>
          <w:cnfStyle w:val="100000000000" w:firstRow="1" w:lastRow="0" w:firstColumn="0" w:lastColumn="0" w:oddVBand="0" w:evenVBand="0" w:oddHBand="0" w:evenHBand="0" w:firstRowFirstColumn="0" w:firstRowLastColumn="0" w:lastRowFirstColumn="0" w:lastRowLastColumn="0"/>
          <w:jc w:val="center"/>
        </w:trPr>
        <w:tc>
          <w:tcPr>
            <w:tcW w:w="5000" w:type="pct"/>
          </w:tcPr>
          <w:p>
            <w:pPr>
              <w:pStyle w:val="Kpalrs"/>
              <w:keepLines/>
            </w:pPr>
            <w:bookmarkStart w:id="221" w:name="_Ref225356253"/>
            <w:r>
              <w:t xml:space="preserve">Exhibit </w:t>
            </w:r>
            <w:fldSimple w:instr=" STYLEREF 2 \s ">
              <w:r>
                <w:rPr>
                  <w:noProof/>
                </w:rPr>
                <w:t>4.4</w:t>
              </w:r>
            </w:fldSimple>
            <w:r>
              <w:t>.</w:t>
            </w:r>
            <w:fldSimple w:instr=" SEQ Exhibit \* ALPHABETIC \s 2 ">
              <w:r>
                <w:rPr>
                  <w:noProof/>
                </w:rPr>
                <w:t>A</w:t>
              </w:r>
            </w:fldSimple>
            <w:bookmarkEnd w:id="221"/>
            <w:r>
              <w:t>: generic encoding for page beginnings</w:t>
            </w:r>
          </w:p>
        </w:tc>
      </w:tr>
      <w:tr>
        <w:trPr>
          <w:jc w:val="center"/>
        </w:trPr>
        <w:tc>
          <w:tcPr>
            <w:tcW w:w="5000" w:type="pct"/>
          </w:tcPr>
          <w:p>
            <w:pPr>
              <w:pStyle w:val="Image"/>
              <w:keepLines/>
            </w:pPr>
            <w:r>
              <w:drawing>
                <wp:inline distT="0" distB="0" distL="0" distR="0">
                  <wp:extent cx="2700000" cy="1080000"/>
                  <wp:effectExtent l="0" t="0" r="5715" b="6350"/>
                  <wp:docPr id="1888968169" name="Kép 1888968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68169" name="Kép 1888968169"/>
                          <pic:cNvPicPr>
                            <a:picLocks noChangeAspect="1" noChangeArrowheads="1"/>
                          </pic:cNvPicPr>
                        </pic:nvPicPr>
                        <pic:blipFill>
                          <a:blip r:embed="rId16"/>
                          <a:stretch>
                            <a:fillRect/>
                          </a:stretch>
                        </pic:blipFill>
                        <pic:spPr bwMode="auto">
                          <a:xfrm>
                            <a:off x="0" y="0"/>
                            <a:ext cx="2700000" cy="1080000"/>
                          </a:xfrm>
                          <a:prstGeom prst="rect">
                            <a:avLst/>
                          </a:prstGeom>
                          <a:noFill/>
                          <a:ln>
                            <a:noFill/>
                          </a:ln>
                        </pic:spPr>
                      </pic:pic>
                    </a:graphicData>
                  </a:graphic>
                </wp:inline>
              </w:drawing>
            </w:r>
          </w:p>
        </w:tc>
      </w:tr>
      <w:tr>
        <w:trPr>
          <w:jc w:val="center"/>
        </w:trPr>
        <w:tc>
          <w:tcPr>
            <w:tcW w:w="5000" w:type="pct"/>
          </w:tcPr>
          <w:p>
            <w:pPr>
              <w:pStyle w:val="CodeParagraph"/>
              <w:keepNext/>
              <w:keepLines/>
              <w:rPr>
                <w:rStyle w:val="Codetext"/>
              </w:rPr>
            </w:pPr>
            <w:r>
              <w:rPr>
                <w:rStyle w:val="Code"/>
              </w:rPr>
              <w:t xml:space="preserve">&lt;p&gt;&lt;pb </w:t>
            </w:r>
            <w:r>
              <w:rPr>
                <w:rStyle w:val="Codeattribute"/>
              </w:rPr>
              <w:t>n</w:t>
            </w:r>
            <w:r>
              <w:rPr>
                <w:rStyle w:val="Code"/>
              </w:rPr>
              <w:t>=</w:t>
            </w:r>
            <w:r>
              <w:rPr>
                <w:rStyle w:val="Codevalue"/>
              </w:rPr>
              <w:t>"1"</w:t>
            </w:r>
            <w:r>
              <w:rPr>
                <w:rStyle w:val="Code"/>
              </w:rPr>
              <w:t xml:space="preserve">/&gt;&lt;lb </w:t>
            </w:r>
            <w:r>
              <w:rPr>
                <w:rStyle w:val="Codeattribute"/>
              </w:rPr>
              <w:t>n</w:t>
            </w:r>
            <w:r>
              <w:rPr>
                <w:rStyle w:val="Code"/>
              </w:rPr>
              <w:t>=</w:t>
            </w:r>
            <w:r>
              <w:rPr>
                <w:rStyle w:val="Codevalue"/>
              </w:rPr>
              <w:t>"1"</w:t>
            </w:r>
            <w:r>
              <w:rPr>
                <w:rStyle w:val="Code"/>
              </w:rPr>
              <w:t>/&gt;</w:t>
            </w:r>
            <w:r>
              <w:rPr>
                <w:rStyle w:val="Codetext"/>
              </w:rPr>
              <w:t>...</w:t>
            </w:r>
          </w:p>
          <w:p>
            <w:pPr>
              <w:pStyle w:val="CodeParagraph"/>
              <w:keepNext/>
              <w:keepLines/>
              <w:rPr>
                <w:rStyle w:val="Codetext"/>
              </w:rPr>
            </w:pPr>
            <w:r>
              <w:rPr>
                <w:rStyle w:val="Code"/>
              </w:rPr>
              <w:t xml:space="preserve">  &lt;lb </w:t>
            </w:r>
            <w:r>
              <w:rPr>
                <w:rStyle w:val="Codeattribute"/>
              </w:rPr>
              <w:t>n</w:t>
            </w:r>
            <w:r>
              <w:rPr>
                <w:rStyle w:val="Code"/>
              </w:rPr>
              <w:t>=</w:t>
            </w:r>
            <w:r>
              <w:rPr>
                <w:rStyle w:val="Codevalue"/>
              </w:rPr>
              <w:t>"2"</w:t>
            </w:r>
            <w:r>
              <w:rPr>
                <w:rStyle w:val="Code"/>
              </w:rPr>
              <w:t>/&gt;</w:t>
            </w:r>
            <w:r>
              <w:rPr>
                <w:rStyle w:val="Codetext"/>
              </w:rPr>
              <w:t>...</w:t>
            </w:r>
          </w:p>
          <w:p>
            <w:pPr>
              <w:pStyle w:val="CodeParagraph"/>
              <w:keepNext/>
              <w:keepLines/>
              <w:rPr>
                <w:rStyle w:val="Codetext"/>
              </w:rPr>
            </w:pPr>
            <w:r>
              <w:rPr>
                <w:rStyle w:val="Code"/>
              </w:rPr>
              <w:t xml:space="preserve">  &lt;lb </w:t>
            </w:r>
            <w:r>
              <w:rPr>
                <w:rStyle w:val="Codeattribute"/>
              </w:rPr>
              <w:t>n</w:t>
            </w:r>
            <w:r>
              <w:rPr>
                <w:rStyle w:val="Code"/>
              </w:rPr>
              <w:t>=</w:t>
            </w:r>
            <w:r>
              <w:rPr>
                <w:rStyle w:val="Codevalue"/>
              </w:rPr>
              <w:t>"3"</w:t>
            </w:r>
            <w:r>
              <w:rPr>
                <w:rStyle w:val="Code"/>
              </w:rPr>
              <w:t>/&gt;</w:t>
            </w:r>
            <w:r>
              <w:rPr>
                <w:rStyle w:val="Codetext"/>
              </w:rPr>
              <w:t>...</w:t>
            </w:r>
          </w:p>
          <w:p>
            <w:pPr>
              <w:pStyle w:val="CodeParagraph"/>
              <w:keepNext/>
              <w:keepLines/>
              <w:rPr>
                <w:rStyle w:val="Codetext"/>
              </w:rPr>
            </w:pPr>
            <w:r>
              <w:rPr>
                <w:rStyle w:val="Code"/>
              </w:rPr>
              <w:t xml:space="preserve">  &lt;pb </w:t>
            </w:r>
            <w:r>
              <w:rPr>
                <w:rStyle w:val="Codeattribute"/>
              </w:rPr>
              <w:t>n</w:t>
            </w:r>
            <w:r>
              <w:rPr>
                <w:rStyle w:val="Code"/>
              </w:rPr>
              <w:t>=</w:t>
            </w:r>
            <w:r>
              <w:rPr>
                <w:rStyle w:val="Codevalue"/>
              </w:rPr>
              <w:t>"2"</w:t>
            </w:r>
            <w:r>
              <w:rPr>
                <w:rStyle w:val="Code"/>
              </w:rPr>
              <w:t xml:space="preserve">/&gt;&lt;lb </w:t>
            </w:r>
            <w:r>
              <w:rPr>
                <w:rStyle w:val="Codeattribute"/>
              </w:rPr>
              <w:t>n</w:t>
            </w:r>
            <w:r>
              <w:rPr>
                <w:rStyle w:val="Code"/>
              </w:rPr>
              <w:t>=</w:t>
            </w:r>
            <w:r>
              <w:rPr>
                <w:rStyle w:val="Codevalue"/>
              </w:rPr>
              <w:t>"4"</w:t>
            </w:r>
            <w:r>
              <w:rPr>
                <w:rStyle w:val="Code"/>
              </w:rPr>
              <w:t>/&gt;</w:t>
            </w:r>
            <w:r>
              <w:rPr>
                <w:rStyle w:val="Codetext"/>
              </w:rPr>
              <w:t>...</w:t>
            </w:r>
          </w:p>
          <w:p>
            <w:pPr>
              <w:pStyle w:val="CodeParagraph"/>
              <w:keepNext/>
              <w:keepLines/>
              <w:rPr>
                <w:rStyle w:val="Code"/>
              </w:rPr>
            </w:pPr>
            <w:r>
              <w:rPr>
                <w:rStyle w:val="Code"/>
              </w:rPr>
              <w:t xml:space="preserve">  &lt;lb </w:t>
            </w:r>
            <w:r>
              <w:rPr>
                <w:rStyle w:val="Codeattribute"/>
              </w:rPr>
              <w:t>n</w:t>
            </w:r>
            <w:r>
              <w:rPr>
                <w:rStyle w:val="Code"/>
              </w:rPr>
              <w:t>=</w:t>
            </w:r>
            <w:r>
              <w:rPr>
                <w:rStyle w:val="Codevalue"/>
              </w:rPr>
              <w:t>"5"</w:t>
            </w:r>
            <w:r>
              <w:rPr>
                <w:rStyle w:val="Code"/>
              </w:rPr>
              <w:t>/&gt;</w:t>
            </w:r>
            <w:r>
              <w:rPr>
                <w:rStyle w:val="Codetext"/>
              </w:rPr>
              <w:t>...</w:t>
            </w:r>
          </w:p>
          <w:p>
            <w:pPr>
              <w:pStyle w:val="CodeParagraph"/>
              <w:keepNext/>
              <w:keepLines/>
              <w:rPr>
                <w:rStyle w:val="Codetext"/>
              </w:rPr>
            </w:pPr>
            <w:r>
              <w:rPr>
                <w:rStyle w:val="Codetext"/>
              </w:rPr>
              <w:t xml:space="preserve">  ...</w:t>
            </w:r>
          </w:p>
          <w:p>
            <w:pPr>
              <w:pStyle w:val="CodeParagraph"/>
              <w:keepNext/>
              <w:keepLines/>
              <w:rPr>
                <w:rFonts w:ascii="Consolas" w:hAnsi="Consolas" w:cs="Consolas"/>
                <w:noProof/>
                <w:color w:val="002060"/>
                <w:shd w:val="clear" w:color="auto" w:fill="F2F2F2" w:themeFill="background1" w:themeFillShade="F2"/>
              </w:rPr>
            </w:pPr>
            <w:r>
              <w:rPr>
                <w:rStyle w:val="Code"/>
              </w:rPr>
              <w:t>&lt;/p&gt;</w:t>
            </w:r>
          </w:p>
        </w:tc>
      </w:tr>
      <w:tr>
        <w:trPr>
          <w:jc w:val="center"/>
        </w:trPr>
        <w:tc>
          <w:tcPr>
            <w:tcW w:w="5000" w:type="pct"/>
          </w:tcPr>
          <w:p>
            <w:pPr>
              <w:pStyle w:val="TableNote"/>
              <w:keepNext/>
              <w:keepLines/>
              <w:rPr>
                <w:rStyle w:val="Code"/>
              </w:rPr>
            </w:pPr>
            <w:r>
              <w:t xml:space="preserve">complete encoded illustration: </w:t>
            </w:r>
            <w:r>
              <w:fldChar w:fldCharType="begin"/>
            </w:r>
            <w:r>
              <w:instrText xml:space="preserve"> REF _Ref239844102 \r \h </w:instrText>
            </w:r>
            <w:r>
              <w:fldChar w:fldCharType="separate"/>
            </w:r>
            <w:r>
              <w:t>Appendix A.2</w:t>
            </w:r>
            <w:r>
              <w:fldChar w:fldCharType="end"/>
            </w:r>
          </w:p>
        </w:tc>
      </w:tr>
    </w:tbl>
    <w:p/>
    <w:p>
      <w:pPr>
        <w:pStyle w:val="Cmsor4"/>
      </w:pPr>
      <w:bookmarkStart w:id="222" w:name="_t032kyf4wcza" w:colFirst="0" w:colLast="0"/>
      <w:bookmarkStart w:id="223" w:name="_Ref182310225"/>
      <w:bookmarkStart w:id="224" w:name="_Ref182299822"/>
      <w:bookmarkStart w:id="225" w:name="_Ref43986679"/>
      <w:bookmarkEnd w:id="220"/>
      <w:bookmarkEnd w:id="222"/>
      <w:r>
        <w:t>Page numbering</w:t>
      </w:r>
      <w:bookmarkEnd w:id="223"/>
    </w:p>
    <w:p>
      <w:r>
        <w:t xml:space="preserve">Pages are numbered for reference. When an XML edition is rendered for display, labels for pages will be automatically generated from the encoded number. Unlike pagelike milestones, the </w:t>
      </w:r>
      <w:r>
        <w:rPr>
          <w:rStyle w:val="Code"/>
        </w:rPr>
        <w:t>&lt;label&gt;</w:t>
      </w:r>
      <w:r>
        <w:t xml:space="preserve"> element (§</w:t>
      </w:r>
      <w:r>
        <w:fldChar w:fldCharType="begin"/>
      </w:r>
      <w:r>
        <w:instrText xml:space="preserve"> REF _Ref182299869 \r \h </w:instrText>
      </w:r>
      <w:r>
        <w:fldChar w:fldCharType="separate"/>
      </w:r>
      <w:r>
        <w:t>4.4.3.2</w:t>
      </w:r>
      <w:r>
        <w:fldChar w:fldCharType="end"/>
      </w:r>
      <w:r>
        <w:t>) is not permitted in conjunction with page breaks.</w:t>
      </w:r>
    </w:p>
    <w:p>
      <w:pPr>
        <w:pStyle w:val="Lista"/>
      </w:pPr>
      <w:r>
        <w:t>pages are mandatorily numbered in DHARMA editions</w:t>
      </w:r>
    </w:p>
    <w:p>
      <w:pPr>
        <w:pStyle w:val="Lista"/>
      </w:pPr>
      <w:r>
        <w:t>the recommended values for numbering pages are 1r, 1v, 2r, 2v etc.</w:t>
      </w:r>
    </w:p>
    <w:p>
      <w:pPr>
        <w:pStyle w:val="Lista2"/>
      </w:pPr>
      <w:r>
        <w:t xml:space="preserve">the value of </w:t>
      </w:r>
      <w:r>
        <w:rPr>
          <w:rStyle w:val="Codeattribute"/>
        </w:rPr>
        <w:t>@n</w:t>
      </w:r>
      <w:r>
        <w:t xml:space="preserve"> is thus composed of</w:t>
      </w:r>
    </w:p>
    <w:p>
      <w:pPr>
        <w:pStyle w:val="Lista3"/>
      </w:pPr>
      <w:r>
        <w:t>an Arabic numeral starting with 1 and proceeding in steps of 1 per plate (folio)</w:t>
      </w:r>
    </w:p>
    <w:p>
      <w:pPr>
        <w:pStyle w:val="Lista3"/>
      </w:pPr>
      <w:r>
        <w:t xml:space="preserve">the abbreviation to identify the recto </w:t>
      </w:r>
      <w:r>
        <w:rPr>
          <w:noProof/>
        </w:rPr>
        <w:t>(</w:t>
      </w:r>
      <w:r>
        <w:t xml:space="preserve">obverse) and verso </w:t>
      </w:r>
      <w:r>
        <w:rPr>
          <w:noProof/>
        </w:rPr>
        <w:t>(</w:t>
      </w:r>
      <w:r>
        <w:t>reverse) face of each plate</w:t>
      </w:r>
    </w:p>
    <w:p>
      <w:pPr>
        <w:pStyle w:val="Lista2"/>
      </w:pPr>
      <w:r>
        <w:t xml:space="preserve">e.g. </w:t>
      </w:r>
      <w:r>
        <w:rPr>
          <w:rStyle w:val="Code"/>
        </w:rPr>
        <w:t xml:space="preserve">&lt;pb </w:t>
      </w:r>
      <w:r>
        <w:rPr>
          <w:rStyle w:val="Codeattribute"/>
        </w:rPr>
        <w:t>n</w:t>
      </w:r>
      <w:r>
        <w:rPr>
          <w:rStyle w:val="Code"/>
        </w:rPr>
        <w:t>=</w:t>
      </w:r>
      <w:r>
        <w:rPr>
          <w:rStyle w:val="Codevalue"/>
        </w:rPr>
        <w:t>"1r"</w:t>
      </w:r>
      <w:r>
        <w:rPr>
          <w:rStyle w:val="Code"/>
        </w:rPr>
        <w:t>/&gt;</w:t>
      </w:r>
    </w:p>
    <w:p>
      <w:pPr>
        <w:pStyle w:val="Lista"/>
      </w:pPr>
      <w:r>
        <w:t>if you have a good reason to do so, you may opt to use a different numbering scheme for pages with the following constraints:</w:t>
      </w:r>
    </w:p>
    <w:p>
      <w:pPr>
        <w:pStyle w:val="Lista2"/>
      </w:pPr>
      <w:r>
        <w:t xml:space="preserve">the value of </w:t>
      </w:r>
      <w:r>
        <w:rPr>
          <w:rStyle w:val="Codeattribute"/>
        </w:rPr>
        <w:t>@n</w:t>
      </w:r>
      <w:r>
        <w:t xml:space="preserve"> must not contain a space </w:t>
      </w:r>
      <w:r>
        <w:rPr>
          <w:noProof/>
        </w:rPr>
        <w:t>(</w:t>
      </w:r>
      <w:r>
        <w:t>use an underscore _ instead if a space is essential)</w:t>
      </w:r>
    </w:p>
    <w:p>
      <w:pPr>
        <w:pStyle w:val="Lista2"/>
      </w:pPr>
      <w:r>
        <w:t xml:space="preserve">each page must have a unique number within your edition </w:t>
      </w:r>
      <w:r>
        <w:rPr>
          <w:noProof/>
        </w:rPr>
        <w:t>(</w:t>
      </w:r>
      <w:r>
        <w:t>or, if applicable, within a textpart division)</w:t>
      </w:r>
    </w:p>
    <w:p>
      <w:pPr>
        <w:pStyle w:val="Lista"/>
      </w:pPr>
      <w:r>
        <w:t>when several textpart divisions of an edition include pages, page numbers must be reset in each textpart (§</w:t>
      </w:r>
      <w:r>
        <w:fldChar w:fldCharType="begin"/>
      </w:r>
      <w:r>
        <w:instrText xml:space="preserve"> REF _Ref43986747 \r \h </w:instrText>
      </w:r>
      <w:r>
        <w:fldChar w:fldCharType="separate"/>
      </w:r>
      <w:r>
        <w:t>4.2.1.4</w:t>
      </w:r>
      <w:r>
        <w:fldChar w:fldCharType="end"/>
      </w:r>
      <w:r>
        <w:t>) unless there is a strong reason not to do so</w:t>
      </w:r>
    </w:p>
    <w:p>
      <w:pPr>
        <w:pStyle w:val="Lista"/>
      </w:pPr>
      <w:r>
        <w:t>see §</w:t>
      </w:r>
      <w:r>
        <w:fldChar w:fldCharType="begin"/>
      </w:r>
      <w:r>
        <w:instrText xml:space="preserve"> REF _Ref43984607 \w \h  \* MERGEFORMAT </w:instrText>
      </w:r>
      <w:r>
        <w:fldChar w:fldCharType="separate"/>
      </w:r>
      <w:r>
        <w:t>4.7.2</w:t>
      </w:r>
      <w:r>
        <w:fldChar w:fldCharType="end"/>
      </w:r>
      <w:r>
        <w:t xml:space="preserve"> about encoding any original pagination or foliation</w:t>
      </w:r>
    </w:p>
    <w:p>
      <w:pPr>
        <w:pStyle w:val="Cmsor4"/>
      </w:pPr>
      <w:bookmarkStart w:id="226" w:name="_Ref182318940"/>
      <w:bookmarkEnd w:id="224"/>
      <w:r>
        <w:t>Uninscribed copperplate faces</w:t>
      </w:r>
      <w:bookmarkEnd w:id="226"/>
    </w:p>
    <w:p>
      <w:pPr>
        <w:pStyle w:val="Lista"/>
      </w:pPr>
      <w:r>
        <w:t xml:space="preserve">plates must always be encoded as having two pages per folio, even if one of these pages is blank; this will facilitate the eventual linking of images </w:t>
      </w:r>
      <w:r>
        <w:rPr>
          <w:noProof/>
        </w:rPr>
        <w:t>(</w:t>
      </w:r>
      <w:r>
        <w:t>including images of blank faces) to individual pages of the digital edition</w:t>
      </w:r>
    </w:p>
    <w:p>
      <w:pPr>
        <w:pStyle w:val="Lista"/>
      </w:pPr>
      <w:r>
        <w:t xml:space="preserve">blank faces shall be encoded as the corresponding </w:t>
      </w:r>
      <w:r>
        <w:rPr>
          <w:rStyle w:val="Code"/>
        </w:rPr>
        <w:t>&lt;pb/&gt;</w:t>
      </w:r>
      <w:r>
        <w:t xml:space="preserve"> element, with the following recommendations for the sake of consistency within the project</w:t>
      </w:r>
    </w:p>
    <w:p>
      <w:pPr>
        <w:pStyle w:val="Lista2"/>
      </w:pPr>
      <w:r>
        <w:t>for sets of copper plates where the first and/or last plate is only inscribed on one face, designate the blank faces to be the outer faces of the set, i.e. the recto of the first plate and the verso of the last plate</w:t>
      </w:r>
    </w:p>
    <w:p>
      <w:pPr>
        <w:pStyle w:val="Lista2"/>
      </w:pPr>
      <w:r>
        <w:t>for sets or single plates inscribed on only one face (of each plate), designate the inscribed face as the recto, and the blank face as the verso</w:t>
      </w:r>
    </w:p>
    <w:p>
      <w:pPr>
        <w:pStyle w:val="Lista2"/>
      </w:pPr>
      <w:r>
        <w:t xml:space="preserve">the </w:t>
      </w:r>
      <w:r>
        <w:rPr>
          <w:rStyle w:val="Code"/>
        </w:rPr>
        <w:t>&lt;pb/&gt;</w:t>
      </w:r>
      <w:r>
        <w:t xml:space="preserve"> elements for first/last blank pages should be placed just inside the start/end tag of the enclosing division </w:t>
      </w:r>
      <w:r>
        <w:rPr>
          <w:noProof/>
        </w:rPr>
        <w:t>(</w:t>
      </w:r>
      <w:r>
        <w:t>i.e. the edition division or a textpart division)</w:t>
      </w:r>
    </w:p>
    <w:p>
      <w:pPr>
        <w:pStyle w:val="Lista3"/>
      </w:pPr>
      <w:r>
        <w:t xml:space="preserve">thus, these </w:t>
      </w:r>
      <w:r>
        <w:rPr>
          <w:rStyle w:val="Code"/>
        </w:rPr>
        <w:t>&lt;pb/&gt;</w:t>
      </w:r>
      <w:r>
        <w:t xml:space="preserve"> elements will be outside block-level containers in spite of the general rule </w:t>
      </w:r>
      <w:r>
        <w:rPr>
          <w:noProof/>
        </w:rPr>
        <w:t>(</w:t>
      </w:r>
      <w:r>
        <w:t>§</w:t>
      </w:r>
      <w:r>
        <w:fldChar w:fldCharType="begin"/>
      </w:r>
      <w:r>
        <w:instrText xml:space="preserve"> REF _Ref43979552 \w \h  \* MERGEFORMAT </w:instrText>
      </w:r>
      <w:r>
        <w:fldChar w:fldCharType="separate"/>
      </w:r>
      <w:r>
        <w:t>16.2.4</w:t>
      </w:r>
      <w:r>
        <w:fldChar w:fldCharType="end"/>
      </w:r>
      <w:r>
        <w:t>) that such empty elements must be inside block-level containers</w:t>
      </w:r>
    </w:p>
    <w:p>
      <w:pPr>
        <w:pStyle w:val="Lista2"/>
      </w:pPr>
      <w:r>
        <w:t xml:space="preserve">see </w:t>
      </w:r>
      <w:r>
        <w:fldChar w:fldCharType="begin"/>
      </w:r>
      <w:r>
        <w:instrText xml:space="preserve"> REF _Ref239844124 \r \h </w:instrText>
      </w:r>
      <w:r>
        <w:fldChar w:fldCharType="separate"/>
      </w:r>
      <w:r>
        <w:t>Appendix A.2</w:t>
      </w:r>
      <w:r>
        <w:fldChar w:fldCharType="end"/>
      </w:r>
      <w:r>
        <w:t xml:space="preserve"> for an illustration of pages in an EpiDoc document</w:t>
      </w:r>
    </w:p>
    <w:p>
      <w:pPr>
        <w:pStyle w:val="Cmsor3"/>
      </w:pPr>
      <w:bookmarkStart w:id="227" w:name="_Toc242976607"/>
      <w:r>
        <w:lastRenderedPageBreak/>
        <w:t>Marking up other pagelike zones</w:t>
      </w:r>
      <w:bookmarkEnd w:id="225"/>
      <w:bookmarkEnd w:id="227"/>
    </w:p>
    <w:tbl>
      <w:tblPr>
        <w:tblStyle w:val="CodeSampleTable"/>
        <w:tblpPr w:leftFromText="180" w:rightFromText="180" w:vertAnchor="text" w:tblpXSpec="right" w:tblpY="1"/>
        <w:tblOverlap w:val="never"/>
        <w:tblW w:w="4536" w:type="dxa"/>
        <w:jc w:val="right"/>
        <w:tblLook w:val="04A0" w:firstRow="1" w:lastRow="0" w:firstColumn="1" w:lastColumn="0" w:noHBand="0" w:noVBand="1"/>
      </w:tblPr>
      <w:tblGrid>
        <w:gridCol w:w="4536"/>
      </w:tblGrid>
      <w:tr>
        <w:trPr>
          <w:cnfStyle w:val="100000000000" w:firstRow="1" w:lastRow="0" w:firstColumn="0" w:lastColumn="0" w:oddVBand="0" w:evenVBand="0" w:oddHBand="0" w:evenHBand="0" w:firstRowFirstColumn="0" w:firstRowLastColumn="0" w:lastRowFirstColumn="0" w:lastRowLastColumn="0"/>
          <w:jc w:val="right"/>
        </w:trPr>
        <w:tc>
          <w:tcPr>
            <w:tcW w:w="5000" w:type="pct"/>
          </w:tcPr>
          <w:p>
            <w:pPr>
              <w:pStyle w:val="Kpalrs"/>
              <w:keepLines/>
            </w:pPr>
            <w:bookmarkStart w:id="228" w:name="_Ref225354659"/>
            <w:bookmarkStart w:id="229" w:name="_Ref225354655"/>
            <w:r>
              <w:t xml:space="preserve">Exhibit </w:t>
            </w:r>
            <w:fldSimple w:instr=" STYLEREF 2 \s ">
              <w:r>
                <w:rPr>
                  <w:noProof/>
                </w:rPr>
                <w:t>4.4</w:t>
              </w:r>
            </w:fldSimple>
            <w:r>
              <w:t>.</w:t>
            </w:r>
            <w:fldSimple w:instr=" SEQ Exhibit \* ALPHABETIC \s 2 ">
              <w:r>
                <w:rPr>
                  <w:noProof/>
                </w:rPr>
                <w:t>B</w:t>
              </w:r>
            </w:fldSimple>
            <w:bookmarkEnd w:id="228"/>
            <w:r>
              <w:t>: generic encoding for pagelike partitions</w:t>
            </w:r>
            <w:bookmarkEnd w:id="229"/>
          </w:p>
        </w:tc>
      </w:tr>
      <w:tr>
        <w:trPr>
          <w:jc w:val="right"/>
        </w:trPr>
        <w:tc>
          <w:tcPr>
            <w:tcW w:w="5000" w:type="pct"/>
          </w:tcPr>
          <w:p>
            <w:pPr>
              <w:pStyle w:val="Image"/>
            </w:pPr>
            <w:r>
              <w:drawing>
                <wp:inline distT="0" distB="0" distL="0" distR="0">
                  <wp:extent cx="2700000" cy="1364400"/>
                  <wp:effectExtent l="0" t="0" r="5715" b="7620"/>
                  <wp:docPr id="1765770225" name="Kép 1765770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70225" name="Kép 1765770225"/>
                          <pic:cNvPicPr>
                            <a:picLocks noChangeAspect="1" noChangeArrowheads="1"/>
                          </pic:cNvPicPr>
                        </pic:nvPicPr>
                        <pic:blipFill>
                          <a:blip r:embed="rId17"/>
                          <a:stretch>
                            <a:fillRect/>
                          </a:stretch>
                        </pic:blipFill>
                        <pic:spPr bwMode="auto">
                          <a:xfrm>
                            <a:off x="0" y="0"/>
                            <a:ext cx="2700000" cy="1364400"/>
                          </a:xfrm>
                          <a:prstGeom prst="rect">
                            <a:avLst/>
                          </a:prstGeom>
                          <a:noFill/>
                          <a:ln>
                            <a:noFill/>
                          </a:ln>
                        </pic:spPr>
                      </pic:pic>
                    </a:graphicData>
                  </a:graphic>
                </wp:inline>
              </w:drawing>
            </w:r>
          </w:p>
        </w:tc>
      </w:tr>
      <w:tr>
        <w:trPr>
          <w:jc w:val="right"/>
        </w:trPr>
        <w:tc>
          <w:tcPr>
            <w:tcW w:w="5000" w:type="pct"/>
          </w:tcPr>
          <w:p>
            <w:pPr>
              <w:pStyle w:val="CodeParagraph"/>
              <w:keepNext/>
              <w:rPr>
                <w:rStyle w:val="Codetext"/>
              </w:rPr>
            </w:pPr>
            <w:r>
              <w:rPr>
                <w:rStyle w:val="Code"/>
              </w:rPr>
              <w:t xml:space="preserve">&lt;p&gt;&lt;pb </w:t>
            </w:r>
            <w:r>
              <w:rPr>
                <w:rStyle w:val="Codeattribute"/>
              </w:rPr>
              <w:t>n</w:t>
            </w:r>
            <w:r>
              <w:rPr>
                <w:rStyle w:val="Code"/>
              </w:rPr>
              <w:t>=</w:t>
            </w:r>
            <w:r>
              <w:rPr>
                <w:rStyle w:val="Codevalue"/>
              </w:rPr>
              <w:t>"1"</w:t>
            </w:r>
            <w:r>
              <w:rPr>
                <w:rStyle w:val="Code"/>
              </w:rPr>
              <w:t xml:space="preserve">/&gt;&lt;lb </w:t>
            </w:r>
            <w:r>
              <w:rPr>
                <w:rStyle w:val="Codeattribute"/>
              </w:rPr>
              <w:t>n</w:t>
            </w:r>
            <w:r>
              <w:rPr>
                <w:rStyle w:val="Code"/>
              </w:rPr>
              <w:t>=</w:t>
            </w:r>
            <w:r>
              <w:rPr>
                <w:rStyle w:val="Codevalue"/>
              </w:rPr>
              <w:t>"1"</w:t>
            </w:r>
            <w:r>
              <w:rPr>
                <w:rStyle w:val="Code"/>
              </w:rPr>
              <w:t>/&gt;</w:t>
            </w:r>
            <w:r>
              <w:rPr>
                <w:rStyle w:val="Codetext"/>
              </w:rPr>
              <w:t>...</w:t>
            </w:r>
          </w:p>
          <w:p>
            <w:pPr>
              <w:pStyle w:val="CodeParagraph"/>
              <w:keepNext/>
              <w:rPr>
                <w:rStyle w:val="Codetext"/>
              </w:rPr>
            </w:pPr>
            <w:r>
              <w:rPr>
                <w:rStyle w:val="Code"/>
              </w:rPr>
              <w:t xml:space="preserve">  &lt;lb </w:t>
            </w:r>
            <w:r>
              <w:rPr>
                <w:rStyle w:val="Codeattribute"/>
              </w:rPr>
              <w:t>n</w:t>
            </w:r>
            <w:r>
              <w:rPr>
                <w:rStyle w:val="Code"/>
              </w:rPr>
              <w:t>=</w:t>
            </w:r>
            <w:r>
              <w:rPr>
                <w:rStyle w:val="Codevalue"/>
              </w:rPr>
              <w:t>"2"</w:t>
            </w:r>
            <w:r>
              <w:rPr>
                <w:rStyle w:val="Code"/>
              </w:rPr>
              <w:t>/&gt;</w:t>
            </w:r>
            <w:r>
              <w:rPr>
                <w:rStyle w:val="Codetext"/>
              </w:rPr>
              <w:t>...</w:t>
            </w:r>
          </w:p>
          <w:p>
            <w:pPr>
              <w:pStyle w:val="CodeParagraph"/>
              <w:keepNext/>
              <w:rPr>
                <w:rStyle w:val="Codetext"/>
              </w:rPr>
            </w:pPr>
            <w:r>
              <w:rPr>
                <w:rStyle w:val="Codetext"/>
              </w:rPr>
              <w:t xml:space="preserve">  ...</w:t>
            </w:r>
          </w:p>
          <w:p>
            <w:pPr>
              <w:pStyle w:val="CodeParagraph"/>
              <w:keepNext/>
              <w:rPr>
                <w:rStyle w:val="Codetext"/>
              </w:rPr>
            </w:pPr>
            <w:r>
              <w:rPr>
                <w:rStyle w:val="Code"/>
              </w:rPr>
              <w:t xml:space="preserve">  &lt;pb </w:t>
            </w:r>
            <w:r>
              <w:rPr>
                <w:rStyle w:val="Codeattribute"/>
              </w:rPr>
              <w:t>n</w:t>
            </w:r>
            <w:r>
              <w:rPr>
                <w:rStyle w:val="Code"/>
              </w:rPr>
              <w:t>=</w:t>
            </w:r>
            <w:r>
              <w:rPr>
                <w:rStyle w:val="Codevalue"/>
              </w:rPr>
              <w:t>"2"</w:t>
            </w:r>
            <w:r>
              <w:rPr>
                <w:rStyle w:val="Code"/>
              </w:rPr>
              <w:t xml:space="preserve">/&gt;&lt;lb </w:t>
            </w:r>
            <w:r>
              <w:rPr>
                <w:rStyle w:val="Codeattribute"/>
              </w:rPr>
              <w:t>n</w:t>
            </w:r>
            <w:r>
              <w:rPr>
                <w:rStyle w:val="Code"/>
              </w:rPr>
              <w:t>=</w:t>
            </w:r>
            <w:r>
              <w:rPr>
                <w:rStyle w:val="Codevalue"/>
              </w:rPr>
              <w:t>"11"</w:t>
            </w:r>
            <w:r>
              <w:rPr>
                <w:rStyle w:val="Code"/>
              </w:rPr>
              <w:t>/&gt;</w:t>
            </w:r>
            <w:r>
              <w:rPr>
                <w:rStyle w:val="Codetext"/>
              </w:rPr>
              <w:t>...</w:t>
            </w:r>
          </w:p>
          <w:p>
            <w:pPr>
              <w:pStyle w:val="CodeParagraph"/>
              <w:keepNext/>
              <w:rPr>
                <w:rStyle w:val="Code"/>
              </w:rPr>
            </w:pPr>
            <w:r>
              <w:rPr>
                <w:rStyle w:val="Code"/>
              </w:rPr>
              <w:t xml:space="preserve">  &lt;lb </w:t>
            </w:r>
            <w:r>
              <w:rPr>
                <w:rStyle w:val="Codeattribute"/>
              </w:rPr>
              <w:t>n</w:t>
            </w:r>
            <w:r>
              <w:rPr>
                <w:rStyle w:val="Code"/>
              </w:rPr>
              <w:t>=</w:t>
            </w:r>
            <w:r>
              <w:rPr>
                <w:rStyle w:val="Codevalue"/>
              </w:rPr>
              <w:t>"12"</w:t>
            </w:r>
            <w:r>
              <w:rPr>
                <w:rStyle w:val="Code"/>
              </w:rPr>
              <w:t>/&gt;</w:t>
            </w:r>
            <w:r>
              <w:rPr>
                <w:rStyle w:val="Codetext"/>
              </w:rPr>
              <w:t>...</w:t>
            </w:r>
          </w:p>
          <w:p>
            <w:pPr>
              <w:pStyle w:val="CodeParagraph"/>
              <w:keepNext/>
              <w:rPr>
                <w:rStyle w:val="Codetext"/>
              </w:rPr>
            </w:pPr>
            <w:r>
              <w:rPr>
                <w:rStyle w:val="Codetext"/>
              </w:rPr>
              <w:t xml:space="preserve">  ...</w:t>
            </w:r>
          </w:p>
          <w:p>
            <w:pPr>
              <w:pStyle w:val="CodeParagraph"/>
              <w:keepNext/>
              <w:rPr>
                <w:rFonts w:ascii="Consolas" w:hAnsi="Consolas" w:cs="Consolas"/>
                <w:noProof/>
                <w:color w:val="002060"/>
                <w:shd w:val="clear" w:color="auto" w:fill="F2F2F2" w:themeFill="background1" w:themeFillShade="F2"/>
              </w:rPr>
            </w:pPr>
            <w:r>
              <w:rPr>
                <w:rStyle w:val="Code"/>
              </w:rPr>
              <w:t>&lt;/p&gt;</w:t>
            </w:r>
          </w:p>
        </w:tc>
      </w:tr>
      <w:tr>
        <w:trPr>
          <w:jc w:val="right"/>
        </w:trPr>
        <w:tc>
          <w:tcPr>
            <w:tcW w:w="5000" w:type="pct"/>
          </w:tcPr>
          <w:p>
            <w:pPr>
              <w:pStyle w:val="TableNote"/>
              <w:rPr>
                <w:rStyle w:val="Code"/>
              </w:rPr>
            </w:pPr>
            <w:r>
              <w:t>compare the exhibits in §</w:t>
            </w:r>
            <w:r>
              <w:fldChar w:fldCharType="begin"/>
            </w:r>
            <w:r>
              <w:instrText xml:space="preserve"> REF _Ref225781091 \r \h </w:instrText>
            </w:r>
            <w:r>
              <w:fldChar w:fldCharType="separate"/>
            </w:r>
            <w:r>
              <w:t>4.7.4.2</w:t>
            </w:r>
            <w:r>
              <w:fldChar w:fldCharType="end"/>
            </w:r>
          </w:p>
        </w:tc>
      </w:tr>
    </w:tbl>
    <w:p>
      <w:pPr>
        <w:pStyle w:val="Lista"/>
      </w:pPr>
      <w:r>
        <w:t xml:space="preserve">to encode pagelike partitions other than genuine pages, use the empty element </w:t>
      </w:r>
      <w:r>
        <w:rPr>
          <w:rStyle w:val="Code"/>
        </w:rPr>
        <w:t>&lt;milestone/&gt;</w:t>
      </w:r>
      <w:r>
        <w:t xml:space="preserve"> as in </w:t>
      </w:r>
      <w:r>
        <w:fldChar w:fldCharType="begin"/>
      </w:r>
      <w:r>
        <w:instrText xml:space="preserve"> REF _Ref225354659 \h </w:instrText>
      </w:r>
      <w:r>
        <w:fldChar w:fldCharType="separate"/>
      </w:r>
      <w:r>
        <w:t xml:space="preserve">Exhibit </w:t>
      </w:r>
      <w:r>
        <w:rPr>
          <w:noProof/>
        </w:rPr>
        <w:t>4.4</w:t>
      </w:r>
      <w:r>
        <w:t>.</w:t>
      </w:r>
      <w:r>
        <w:rPr>
          <w:noProof/>
        </w:rPr>
        <w:t>B</w:t>
      </w:r>
      <w:r>
        <w:fldChar w:fldCharType="end"/>
      </w:r>
      <w:r>
        <w:t>, with the following attributes</w:t>
      </w:r>
    </w:p>
    <w:p>
      <w:pPr>
        <w:pStyle w:val="Lista2"/>
      </w:pPr>
      <w:r>
        <w:t xml:space="preserve">mandatorily, </w:t>
      </w:r>
      <w:r>
        <w:rPr>
          <w:rStyle w:val="Codeattribute"/>
        </w:rPr>
        <w:t>@type</w:t>
      </w:r>
      <w:r>
        <w:t xml:space="preserve"> with the value </w:t>
      </w:r>
      <w:r>
        <w:rPr>
          <w:rStyle w:val="Codevalue"/>
        </w:rPr>
        <w:t>"pagelike"</w:t>
      </w:r>
      <w:r>
        <w:t xml:space="preserve"> </w:t>
      </w:r>
    </w:p>
    <w:p>
      <w:pPr>
        <w:pStyle w:val="Lista3"/>
      </w:pPr>
      <w:r>
        <w:t>this serves in our project to explicitly distinguish these elements from other milestones used in an edition</w:t>
      </w:r>
    </w:p>
    <w:p>
      <w:pPr>
        <w:pStyle w:val="Lista2"/>
      </w:pPr>
      <w:r>
        <w:t xml:space="preserve">mandatorily, </w:t>
      </w:r>
      <w:r>
        <w:rPr>
          <w:rStyle w:val="Codeattribute"/>
        </w:rPr>
        <w:t>@unit</w:t>
      </w:r>
      <w:r>
        <w:t xml:space="preserve"> to encode the nature of the transition explicitly as per §</w:t>
      </w:r>
      <w:r>
        <w:fldChar w:fldCharType="begin"/>
      </w:r>
      <w:r>
        <w:instrText xml:space="preserve"> REF _Ref182815315 \r \h </w:instrText>
      </w:r>
      <w:r>
        <w:fldChar w:fldCharType="separate"/>
      </w:r>
      <w:r>
        <w:t>4.3.1</w:t>
      </w:r>
      <w:r>
        <w:fldChar w:fldCharType="end"/>
      </w:r>
    </w:p>
    <w:p>
      <w:pPr>
        <w:pStyle w:val="Lista2"/>
      </w:pPr>
      <w:r>
        <w:t xml:space="preserve">mandatorily, </w:t>
      </w:r>
      <w:r>
        <w:rPr>
          <w:rStyle w:val="Codeattribute"/>
        </w:rPr>
        <w:t>@n</w:t>
      </w:r>
      <w:r>
        <w:t xml:space="preserve"> as per §</w:t>
      </w:r>
      <w:r>
        <w:fldChar w:fldCharType="begin"/>
      </w:r>
      <w:r>
        <w:instrText xml:space="preserve"> REF _Ref182318136 \r \h </w:instrText>
      </w:r>
      <w:r>
        <w:fldChar w:fldCharType="separate"/>
      </w:r>
      <w:r>
        <w:t>4.4.3.1</w:t>
      </w:r>
      <w:r>
        <w:fldChar w:fldCharType="end"/>
      </w:r>
    </w:p>
    <w:p>
      <w:pPr>
        <w:pStyle w:val="Lista2"/>
      </w:pPr>
      <w:r>
        <w:t xml:space="preserve">as applicable, </w:t>
      </w:r>
      <w:r>
        <w:rPr>
          <w:rStyle w:val="Codeattribute"/>
        </w:rPr>
        <w:t>@break</w:t>
      </w:r>
      <w:r>
        <w:t xml:space="preserve"> for partitions interrupting words as per §</w:t>
      </w:r>
      <w:r>
        <w:fldChar w:fldCharType="begin"/>
      </w:r>
      <w:r>
        <w:instrText xml:space="preserve"> REF _Ref225519777 \r \h </w:instrText>
      </w:r>
      <w:r>
        <w:fldChar w:fldCharType="separate"/>
      </w:r>
      <w:r>
        <w:t>4.3.2.1</w:t>
      </w:r>
      <w:r>
        <w:fldChar w:fldCharType="end"/>
      </w:r>
    </w:p>
    <w:p>
      <w:pPr>
        <w:pStyle w:val="Lista"/>
      </w:pPr>
      <w:r>
        <w:rPr>
          <w:rStyle w:val="Code"/>
        </w:rPr>
        <w:t>&lt;milestone/&gt;</w:t>
      </w:r>
      <w:r>
        <w:t xml:space="preserve"> marks zone beginnings (rather than transitions) and thus, when pagelike zones are present in a document, the element must be created at the start of each such zone including the first</w:t>
      </w:r>
    </w:p>
    <w:p>
      <w:pPr>
        <w:pStyle w:val="Lista"/>
      </w:pPr>
      <w:r>
        <w:t>good practice considerations applicable to structural milestones (§</w:t>
      </w:r>
      <w:r>
        <w:fldChar w:fldCharType="begin"/>
      </w:r>
      <w:r>
        <w:instrText xml:space="preserve"> REF _Ref225253138 \r \h </w:instrText>
      </w:r>
      <w:r>
        <w:fldChar w:fldCharType="separate"/>
      </w:r>
      <w:r>
        <w:t>4.3.3</w:t>
      </w:r>
      <w:r>
        <w:fldChar w:fldCharType="end"/>
      </w:r>
      <w:r>
        <w:t>) apply equally to pagelike partitions</w:t>
      </w:r>
    </w:p>
    <w:p>
      <w:pPr>
        <w:pStyle w:val="Lista"/>
      </w:pPr>
      <w:r>
        <w:t>see §</w:t>
      </w:r>
      <w:r>
        <w:fldChar w:fldCharType="begin"/>
      </w:r>
      <w:r>
        <w:instrText xml:space="preserve"> REF _Ref225759789 \r \h </w:instrText>
      </w:r>
      <w:r>
        <w:fldChar w:fldCharType="separate"/>
      </w:r>
      <w:r>
        <w:t>4.7.4</w:t>
      </w:r>
      <w:r>
        <w:fldChar w:fldCharType="end"/>
      </w:r>
      <w:r>
        <w:t xml:space="preserve"> for further discussion of when pagelike zones should be used, and the Case Studies </w:t>
      </w:r>
      <w:r>
        <w:rPr>
          <w:noProof/>
        </w:rPr>
        <w:t xml:space="preserve">in </w:t>
      </w:r>
      <w:r>
        <w:rPr>
          <w:noProof/>
        </w:rPr>
        <w:fldChar w:fldCharType="begin"/>
      </w:r>
      <w:r>
        <w:rPr>
          <w:noProof/>
        </w:rPr>
        <w:instrText xml:space="preserve"> REF _Ref239844153 \r \h </w:instrText>
      </w:r>
      <w:r>
        <w:rPr>
          <w:noProof/>
        </w:rPr>
      </w:r>
      <w:r>
        <w:rPr>
          <w:noProof/>
        </w:rPr>
        <w:fldChar w:fldCharType="separate"/>
      </w:r>
      <w:r>
        <w:rPr>
          <w:noProof/>
        </w:rPr>
        <w:t>Appendix A.5</w:t>
      </w:r>
      <w:r>
        <w:rPr>
          <w:noProof/>
        </w:rPr>
        <w:fldChar w:fldCharType="end"/>
      </w:r>
      <w:r>
        <w:rPr>
          <w:noProof/>
        </w:rPr>
        <w:t xml:space="preserve"> and </w:t>
      </w:r>
      <w:r>
        <w:rPr>
          <w:noProof/>
        </w:rPr>
        <w:fldChar w:fldCharType="begin"/>
      </w:r>
      <w:r>
        <w:rPr>
          <w:noProof/>
        </w:rPr>
        <w:instrText xml:space="preserve"> REF _Ref239844156 \r \h </w:instrText>
      </w:r>
      <w:r>
        <w:rPr>
          <w:noProof/>
        </w:rPr>
      </w:r>
      <w:r>
        <w:rPr>
          <w:noProof/>
        </w:rPr>
        <w:fldChar w:fldCharType="separate"/>
      </w:r>
      <w:r>
        <w:rPr>
          <w:noProof/>
        </w:rPr>
        <w:t>Appendix A.6</w:t>
      </w:r>
      <w:r>
        <w:rPr>
          <w:noProof/>
        </w:rPr>
        <w:fldChar w:fldCharType="end"/>
      </w:r>
      <w:r>
        <w:rPr>
          <w:noProof/>
        </w:rPr>
        <w:t xml:space="preserve"> </w:t>
      </w:r>
      <w:r>
        <w:t>for more complex scenarios</w:t>
      </w:r>
    </w:p>
    <w:p>
      <w:pPr>
        <w:pStyle w:val="Cmsor4"/>
      </w:pPr>
      <w:bookmarkStart w:id="230" w:name="_Ref182300602"/>
      <w:bookmarkStart w:id="231" w:name="_Ref182318136"/>
      <w:r>
        <w:t>Numbering pagelike milestones</w:t>
      </w:r>
      <w:bookmarkEnd w:id="230"/>
      <w:bookmarkEnd w:id="231"/>
    </w:p>
    <w:p>
      <w:pPr>
        <w:pStyle w:val="Lista"/>
      </w:pPr>
      <w:r>
        <w:t>pagelike partitions are mandatorily numbered in DHARMA editions</w:t>
      </w:r>
    </w:p>
    <w:p>
      <w:pPr>
        <w:pStyle w:val="Lista"/>
      </w:pPr>
      <w:r>
        <w:t xml:space="preserve">the values of </w:t>
      </w:r>
      <w:r>
        <w:rPr>
          <w:rStyle w:val="Codeattribute"/>
        </w:rPr>
        <w:t>@n</w:t>
      </w:r>
      <w:r>
        <w:t xml:space="preserve"> recommended for the identification of pagelike partitions other than actual pages are uppercase Latin letters beginning with “A”</w:t>
      </w:r>
    </w:p>
    <w:p>
      <w:pPr>
        <w:pStyle w:val="Lista2"/>
      </w:pPr>
      <w:r>
        <w:t>nonetheless, any numeration scheme may be used depending on your preference and the conventions of your specific field; in particular, feel free to use</w:t>
      </w:r>
    </w:p>
    <w:p>
      <w:pPr>
        <w:pStyle w:val="Lista3"/>
      </w:pPr>
      <w:r>
        <w:t>the uppercase letters N, S, E, W to indicate cardinal directions (</w:t>
      </w:r>
      <w:r>
        <w:fldChar w:fldCharType="begin"/>
      </w:r>
      <w:r>
        <w:instrText xml:space="preserve"> REF _Ref44078459 \h </w:instrText>
      </w:r>
      <w:r>
        <w:fldChar w:fldCharType="separate"/>
      </w:r>
      <w:r>
        <w:t xml:space="preserve">Exhibit </w:t>
      </w:r>
      <w:r>
        <w:rPr>
          <w:noProof/>
        </w:rPr>
        <w:t>4.4</w:t>
      </w:r>
      <w:r>
        <w:t>.</w:t>
      </w:r>
      <w:r>
        <w:rPr>
          <w:noProof/>
        </w:rPr>
        <w:t>C</w:t>
      </w:r>
      <w:r>
        <w:fldChar w:fldCharType="end"/>
      </w:r>
      <w:r>
        <w:t>)</w:t>
      </w:r>
    </w:p>
    <w:p>
      <w:pPr>
        <w:pStyle w:val="Lista3"/>
      </w:pPr>
      <w:r>
        <w:t xml:space="preserve">lowercase letters alternating with uppercase ones to denote major/frontal and minor/lateral faces of a three-dimensional object such as a Southeast Asian stele, e.g. A, b, C and d </w:t>
      </w:r>
      <w:r>
        <w:rPr>
          <w:noProof/>
        </w:rPr>
        <w:t>(</w:t>
      </w:r>
      <w:r>
        <w:t>for faces inscribed as separate zones)</w:t>
      </w:r>
    </w:p>
    <w:p>
      <w:pPr>
        <w:pStyle w:val="Lista4"/>
      </w:pPr>
      <w:r>
        <w:t xml:space="preserve">or pairs of such letters, Ab and Cd </w:t>
      </w:r>
      <w:r>
        <w:rPr>
          <w:noProof/>
        </w:rPr>
        <w:t>(</w:t>
      </w:r>
      <w:r>
        <w:t>where pairs of faces constitute single virtual zones)</w:t>
      </w:r>
    </w:p>
    <w:p>
      <w:pPr>
        <w:pStyle w:val="Lista"/>
      </w:pPr>
      <w:r>
        <w:t>when several textpart divisions of an edition include pagelike milestones, then</w:t>
      </w:r>
    </w:p>
    <w:p>
      <w:pPr>
        <w:pStyle w:val="Lista2"/>
      </w:pPr>
      <w:r>
        <w:t xml:space="preserve">if the pagelike partitions are of the same kind (i.e. have the same </w:t>
      </w:r>
      <w:r>
        <w:rPr>
          <w:rStyle w:val="Codeattribute"/>
        </w:rPr>
        <w:t>@unit</w:t>
      </w:r>
      <w:r>
        <w:t>), then their numbering must be reset in each textpart (§</w:t>
      </w:r>
      <w:r>
        <w:fldChar w:fldCharType="begin"/>
      </w:r>
      <w:r>
        <w:instrText xml:space="preserve"> REF _Ref43986747 \r \h </w:instrText>
      </w:r>
      <w:r>
        <w:fldChar w:fldCharType="separate"/>
      </w:r>
      <w:r>
        <w:t>4.2.1.4</w:t>
      </w:r>
      <w:r>
        <w:fldChar w:fldCharType="end"/>
      </w:r>
      <w:r>
        <w:t>) unless there is a strong reason not to do so</w:t>
      </w:r>
    </w:p>
    <w:p>
      <w:pPr>
        <w:pStyle w:val="Lista2"/>
      </w:pPr>
      <w:r>
        <w:t xml:space="preserve">if the pagelike partitions are of different kinds, it is recommended that you employ different numeration schemes for them in addition to distinguishing them by </w:t>
      </w:r>
      <w:r>
        <w:rPr>
          <w:rStyle w:val="Codeattribute"/>
        </w:rPr>
        <w:t>@unit</w:t>
      </w:r>
      <w:r>
        <w:t xml:space="preserve"> (§</w:t>
      </w:r>
      <w:r>
        <w:fldChar w:fldCharType="begin"/>
      </w:r>
      <w:r>
        <w:instrText xml:space="preserve"> REF _Ref182815315 \r \h </w:instrText>
      </w:r>
      <w:r>
        <w:fldChar w:fldCharType="separate"/>
      </w:r>
      <w:r>
        <w:t>4.3.1</w:t>
      </w:r>
      <w:r>
        <w:fldChar w:fldCharType="end"/>
      </w:r>
      <w:r>
        <w:t>)</w:t>
      </w:r>
    </w:p>
    <w:p>
      <w:pPr>
        <w:pStyle w:val="Lista2"/>
      </w:pPr>
      <w:r>
        <w:t>recall from §</w:t>
      </w:r>
      <w:r>
        <w:fldChar w:fldCharType="begin"/>
      </w:r>
      <w:r>
        <w:instrText xml:space="preserve"> REF _Ref182923075 \r \h </w:instrText>
      </w:r>
      <w:r>
        <w:fldChar w:fldCharType="separate"/>
      </w:r>
      <w:r>
        <w:t>4.1</w:t>
      </w:r>
      <w:r>
        <w:fldChar w:fldCharType="end"/>
      </w:r>
      <w:r>
        <w:t xml:space="preserve"> that only one kind of pagelike partition is allowed within any single division (i.e. in the edition or in each textpart, as the case may be)</w:t>
      </w:r>
    </w:p>
    <w:p>
      <w:pPr>
        <w:pStyle w:val="Cmsor4"/>
      </w:pPr>
      <w:bookmarkStart w:id="232" w:name="_Ref182299869"/>
      <w:r>
        <w:t>Labels for pagelike milestones</w:t>
      </w:r>
      <w:bookmarkEnd w:id="232"/>
    </w:p>
    <w:p>
      <w:pPr>
        <w:rPr>
          <w:lang w:eastAsia="en-US" w:bidi="ar-SA"/>
        </w:rPr>
      </w:pPr>
      <w:r>
        <w:t>Milestones are numbered for reference. When an XML edition is rendered for display, labels for pagelike partitions will be automatically generated from the unit and the number, as noted in the examples in this section. When these automatic headings are deemed insufficient, an optional custom label may be added to the encoding, which will replace the auto-generated label.</w:t>
      </w:r>
    </w:p>
    <w:p>
      <w:pPr>
        <w:pStyle w:val="Lista"/>
      </w:pPr>
      <w:r>
        <w:t xml:space="preserve">auto-generated labels will consist of the value of </w:t>
      </w:r>
      <w:r>
        <w:rPr>
          <w:rStyle w:val="Codeattribute"/>
        </w:rPr>
        <w:t>@unit</w:t>
      </w:r>
      <w:r>
        <w:t xml:space="preserve"> (with the initial letter changed to uppercase), followed by the value of </w:t>
      </w:r>
      <w:r>
        <w:rPr>
          <w:rStyle w:val="Codeattribute"/>
        </w:rPr>
        <w:t>@n</w:t>
      </w:r>
      <w:r>
        <w:t xml:space="preserve"> (unchanged), for example as follows</w:t>
      </w:r>
    </w:p>
    <w:p>
      <w:pPr>
        <w:pStyle w:val="Lista2"/>
      </w:pP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t xml:space="preserve"> → “Face A” </w:t>
      </w:r>
    </w:p>
    <w:p>
      <w:pPr>
        <w:pStyle w:val="Lista2"/>
      </w:pP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"zone"</w:t>
      </w:r>
      <w:r>
        <w:rPr>
          <w:rStyle w:val="Code"/>
        </w:rPr>
        <w:t xml:space="preserve"> </w:t>
      </w:r>
      <w:r>
        <w:rPr>
          <w:rStyle w:val="Codeattribute"/>
        </w:rPr>
        <w:t>n</w:t>
      </w:r>
      <w:r>
        <w:rPr>
          <w:rStyle w:val="Code"/>
        </w:rPr>
        <w:t>=</w:t>
      </w:r>
      <w:r>
        <w:rPr>
          <w:rStyle w:val="Codevalue"/>
        </w:rPr>
        <w:t>"1"</w:t>
      </w:r>
      <w:r>
        <w:rPr>
          <w:rStyle w:val="Code"/>
        </w:rPr>
        <w:t>/&gt;</w:t>
      </w:r>
      <w:r>
        <w:t xml:space="preserve"> → “Zone 1” </w:t>
      </w:r>
    </w:p>
    <w:p>
      <w:pPr>
        <w:pStyle w:val="Lista"/>
      </w:pPr>
      <w:r>
        <w:lastRenderedPageBreak/>
        <w:t xml:space="preserve">to add flexibility to the titling displayed for pagelike partitions, use the optional element </w:t>
      </w:r>
      <w:r>
        <w:rPr>
          <w:rStyle w:val="Code"/>
        </w:rPr>
        <w:t xml:space="preserve">&lt;label </w:t>
      </w:r>
      <w:r>
        <w:rPr>
          <w:rStyle w:val="Codeattribute"/>
        </w:rPr>
        <w:t>xml:lang</w:t>
      </w:r>
      <w:r>
        <w:rPr>
          <w:rStyle w:val="Code"/>
        </w:rPr>
        <w:t>=</w:t>
      </w:r>
      <w:r>
        <w:rPr>
          <w:rStyle w:val="Codevalue"/>
        </w:rPr>
        <w:t>"eng"</w:t>
      </w:r>
      <w:r>
        <w:rPr>
          <w:rStyle w:val="Code"/>
        </w:rPr>
        <w:t>&gt;</w:t>
      </w:r>
      <w:r>
        <w:t xml:space="preserve"> immediately after the </w:t>
      </w:r>
      <w:r>
        <w:rPr>
          <w:rStyle w:val="Code"/>
        </w:rPr>
        <w:t>&lt;milestone/&gt;</w:t>
      </w:r>
      <w:r>
        <w:t xml:space="preserve"> element</w:t>
      </w:r>
    </w:p>
    <w:p>
      <w:pPr>
        <w:pStyle w:val="Lista2"/>
      </w:pPr>
      <w:r>
        <w:t>such elements in our editions will by default be regarded as editorial and therefore need not be marked up explicitly as such; the mandatory language attribute (§</w:t>
      </w:r>
      <w:r>
        <w:fldChar w:fldCharType="begin"/>
      </w:r>
      <w:r>
        <w:instrText xml:space="preserve"> REF _Ref233727317 \r \h </w:instrText>
      </w:r>
      <w:r>
        <w:fldChar w:fldCharType="separate"/>
      </w:r>
      <w:r>
        <w:t>14.4.1</w:t>
      </w:r>
      <w:r>
        <w:fldChar w:fldCharType="end"/>
      </w:r>
      <w:r>
        <w:t>) makes it sufficiently clear that their content is not part of the original text</w:t>
      </w:r>
    </w:p>
    <w:p>
      <w:pPr>
        <w:pStyle w:val="Lista2"/>
      </w:pPr>
      <w:r>
        <w:t xml:space="preserve">only add labels to zones if you find that the combination of </w:t>
      </w:r>
      <w:r>
        <w:rPr>
          <w:rStyle w:val="Codeattribute"/>
        </w:rPr>
        <w:t>@unit</w:t>
      </w:r>
      <w:r>
        <w:t xml:space="preserve"> and </w:t>
      </w:r>
      <w:r>
        <w:rPr>
          <w:rStyle w:val="Codeattribute"/>
        </w:rPr>
        <w:t>@n</w:t>
      </w:r>
      <w:r>
        <w:t xml:space="preserve"> cannot produce a sufficiently meaningful title; complex details such as the size and relative position of zones should be annotated, not encoded within the edition</w:t>
      </w:r>
    </w:p>
    <w:p>
      <w:pPr>
        <w:pStyle w:val="Lista2"/>
      </w:pPr>
      <w:r>
        <w:t>for the sake of consistency it is recommended that you stick to concise labels in English</w:t>
      </w:r>
    </w:p>
    <w:p>
      <w:pPr>
        <w:pStyle w:val="Lista2"/>
      </w:pPr>
      <w:r>
        <w:t xml:space="preserve">see </w:t>
      </w:r>
      <w:r>
        <w:fldChar w:fldCharType="begin"/>
      </w:r>
      <w:r>
        <w:instrText xml:space="preserve"> REF _Ref44078459 \h </w:instrText>
      </w:r>
      <w:r>
        <w:fldChar w:fldCharType="separate"/>
      </w:r>
      <w:r>
        <w:t xml:space="preserve">Exhibit </w:t>
      </w:r>
      <w:r>
        <w:rPr>
          <w:noProof/>
        </w:rPr>
        <w:t>4.4</w:t>
      </w:r>
      <w:r>
        <w:t>.</w:t>
      </w:r>
      <w:r>
        <w:rPr>
          <w:noProof/>
        </w:rPr>
        <w:t>C</w:t>
      </w:r>
      <w:r>
        <w:fldChar w:fldCharType="end"/>
      </w:r>
      <w:r>
        <w:t xml:space="preserve"> for an illustration</w:t>
      </w:r>
    </w:p>
    <w:p>
      <w:pPr>
        <w:pStyle w:val="Lista"/>
      </w:pPr>
      <w:r>
        <w:t xml:space="preserve">although the content of editorial labels will replace the title auto-generated from </w:t>
      </w:r>
      <w:r>
        <w:rPr>
          <w:rStyle w:val="Codeattribute"/>
        </w:rPr>
        <w:t>@unit</w:t>
      </w:r>
      <w:r>
        <w:t xml:space="preserve"> and </w:t>
      </w:r>
      <w:r>
        <w:rPr>
          <w:rStyle w:val="Codeattribute"/>
        </w:rPr>
        <w:t>@n</w:t>
      </w:r>
      <w:r>
        <w:t xml:space="preserve"> in display, the use of the attributes </w:t>
      </w:r>
      <w:r>
        <w:rPr>
          <w:rStyle w:val="Codeattribute"/>
        </w:rPr>
        <w:t>@unit</w:t>
      </w:r>
      <w:r>
        <w:t xml:space="preserve"> and </w:t>
      </w:r>
      <w:r>
        <w:rPr>
          <w:rStyle w:val="Codeattribute"/>
        </w:rPr>
        <w:t>@n</w:t>
      </w:r>
      <w:r>
        <w:t xml:space="preserve"> on the </w:t>
      </w:r>
      <w:r>
        <w:rPr>
          <w:rStyle w:val="Code"/>
        </w:rPr>
        <w:t>&lt;milestone/&gt;</w:t>
      </w:r>
      <w:r>
        <w:t xml:space="preserve"> element remains mandatory even if a </w:t>
      </w:r>
      <w:r>
        <w:rPr>
          <w:rStyle w:val="Code"/>
        </w:rPr>
        <w:t>&lt;label&gt;</w:t>
      </w:r>
      <w:r>
        <w:t xml:space="preserve"> is present</w:t>
      </w:r>
    </w:p>
    <w:p>
      <w:pPr>
        <w:pStyle w:val="Lista"/>
      </w:pPr>
      <w:r>
        <w:t>the contents of the label will not be altered in display, so</w:t>
      </w:r>
    </w:p>
    <w:p>
      <w:pPr>
        <w:pStyle w:val="Lista2"/>
      </w:pPr>
      <w:bookmarkStart w:id="233" w:name="_h6lmsgu4umfd" w:colFirst="0" w:colLast="0"/>
      <w:bookmarkEnd w:id="233"/>
      <w:r>
        <w:t>use a capital initial and feel free to include spaces, additional capitals and punctuation as necessary</w:t>
      </w:r>
    </w:p>
    <w:p>
      <w:pPr>
        <w:pStyle w:val="Lista2"/>
      </w:pPr>
      <w:r>
        <w:t xml:space="preserve">however, to avoid complications, do not use any further markup within this element, except the element </w:t>
      </w:r>
      <w:r>
        <w:rPr>
          <w:rStyle w:val="Code"/>
        </w:rPr>
        <w:t>&lt;foreign&gt;</w:t>
      </w:r>
      <w:r>
        <w:t xml:space="preserve"> </w:t>
      </w:r>
      <w:r>
        <w:rPr>
          <w:noProof/>
        </w:rPr>
        <w:t>(</w:t>
      </w:r>
      <w:r>
        <w:t>§</w:t>
      </w:r>
      <w:r>
        <w:fldChar w:fldCharType="begin"/>
      </w:r>
      <w:r>
        <w:instrText xml:space="preserve"> REF _Ref43986658 \w \h  \* MERGEFORMAT </w:instrText>
      </w:r>
      <w:r>
        <w:fldChar w:fldCharType="separate"/>
      </w:r>
      <w:r>
        <w:t>14.4.2</w:t>
      </w:r>
      <w:r>
        <w:fldChar w:fldCharType="end"/>
      </w:r>
      <w:r>
        <w:t>), which you may employ if you deem necessary</w:t>
      </w:r>
    </w:p>
    <w:p/>
    <w:tbl>
      <w:tblPr>
        <w:tblStyle w:val="CodeSampleTable"/>
        <w:tblW w:w="0" w:type="auto"/>
        <w:tblLook w:val="04A0" w:firstRow="1" w:lastRow="0" w:firstColumn="1" w:lastColumn="0" w:noHBand="0" w:noVBand="1"/>
      </w:tblPr>
      <w:tblGrid>
        <w:gridCol w:w="9054"/>
      </w:tblGrid>
      <w:tr>
        <w:trPr>
          <w:cnfStyle w:val="100000000000" w:firstRow="1" w:lastRow="0" w:firstColumn="0" w:lastColumn="0" w:oddVBand="0" w:evenVBand="0" w:oddHBand="0" w:evenHBand="0" w:firstRowFirstColumn="0" w:firstRowLastColumn="0" w:lastRowFirstColumn="0" w:lastRowLastColumn="0"/>
        </w:trPr>
        <w:tc>
          <w:tcPr>
            <w:tcW w:w="9054" w:type="dxa"/>
          </w:tcPr>
          <w:p>
            <w:pPr>
              <w:pStyle w:val="Kpalrs"/>
            </w:pPr>
            <w:bookmarkStart w:id="234" w:name="_Ref44078459"/>
            <w:bookmarkStart w:id="235" w:name="_Ref182300601"/>
            <w:bookmarkStart w:id="236" w:name="_Ref182300603"/>
            <w:r>
              <w:t xml:space="preserve">Exhibit </w:t>
            </w:r>
            <w:fldSimple w:instr=" STYLEREF 2 \s ">
              <w:r>
                <w:rPr>
                  <w:noProof/>
                </w:rPr>
                <w:t>4.4</w:t>
              </w:r>
            </w:fldSimple>
            <w:r>
              <w:t>.</w:t>
            </w:r>
            <w:fldSimple w:instr=" SEQ Exhibit \* ALPHABETIC \s 2 ">
              <w:r>
                <w:rPr>
                  <w:noProof/>
                </w:rPr>
                <w:t>C</w:t>
              </w:r>
            </w:fldSimple>
            <w:bookmarkEnd w:id="234"/>
            <w:r>
              <w:t>: two doorjambs as a pagelike partition with custom headings</w:t>
            </w:r>
          </w:p>
        </w:tc>
      </w:tr>
      <w:tr>
        <w:tc>
          <w:tcPr>
            <w:tcW w:w="9054" w:type="dxa"/>
          </w:tcPr>
          <w:p>
            <w:pPr>
              <w:pStyle w:val="CodeParagraph"/>
              <w:keepNext/>
              <w:rPr>
                <w:rStyle w:val="Codetext"/>
              </w:rPr>
            </w:pP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"item"</w:t>
            </w:r>
            <w:r>
              <w:rPr>
                <w:rStyle w:val="Code"/>
              </w:rPr>
              <w:t xml:space="preserve"> </w:t>
            </w:r>
            <w:r>
              <w:rPr>
                <w:rStyle w:val="Codeattribute"/>
              </w:rPr>
              <w:t>n</w:t>
            </w:r>
            <w:r>
              <w:rPr>
                <w:rStyle w:val="Code"/>
              </w:rPr>
              <w:t>=</w:t>
            </w:r>
            <w:r>
              <w:rPr>
                <w:rStyle w:val="Codevalue"/>
              </w:rPr>
              <w:t>"N"</w:t>
            </w:r>
            <w:r>
              <w:rPr>
                <w:rStyle w:val="Code"/>
              </w:rPr>
              <w:t xml:space="preserve">/&gt;&lt;label </w:t>
            </w:r>
            <w:r>
              <w:rPr>
                <w:rStyle w:val="Codeattribute"/>
              </w:rPr>
              <w:t>xml:lang</w:t>
            </w:r>
            <w:r>
              <w:rPr>
                <w:rStyle w:val="Code"/>
              </w:rPr>
              <w:t>=</w:t>
            </w:r>
            <w:r>
              <w:rPr>
                <w:rStyle w:val="Codevalue"/>
              </w:rPr>
              <w:t>"eng"</w:t>
            </w:r>
            <w:r>
              <w:rPr>
                <w:rStyle w:val="Code"/>
              </w:rPr>
              <w:t>&gt;</w:t>
            </w:r>
            <w:r>
              <w:rPr>
                <w:rStyle w:val="Codetext"/>
              </w:rPr>
              <w:t>Northern Doorjamb</w:t>
            </w:r>
            <w:r>
              <w:rPr>
                <w:rStyle w:val="Code"/>
              </w:rPr>
              <w:t>&lt;/label&gt;</w:t>
            </w:r>
            <w:r>
              <w:rPr>
                <w:rStyle w:val="Codetext"/>
              </w:rPr>
              <w:t>...</w:t>
            </w:r>
          </w:p>
          <w:p>
            <w:pPr>
              <w:pStyle w:val="CodeParagraph"/>
              <w:keepNext/>
            </w:pP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"item"</w:t>
            </w:r>
            <w:r>
              <w:rPr>
                <w:rStyle w:val="Code"/>
              </w:rPr>
              <w:t xml:space="preserve"> </w:t>
            </w:r>
            <w:r>
              <w:rPr>
                <w:rStyle w:val="Codeattribute"/>
              </w:rPr>
              <w:t>n</w:t>
            </w:r>
            <w:r>
              <w:rPr>
                <w:rStyle w:val="Code"/>
              </w:rPr>
              <w:t>=</w:t>
            </w:r>
            <w:r>
              <w:rPr>
                <w:rStyle w:val="Codevalue"/>
              </w:rPr>
              <w:t>"S"</w:t>
            </w:r>
            <w:r>
              <w:rPr>
                <w:rStyle w:val="Code"/>
              </w:rPr>
              <w:t xml:space="preserve">/&gt;&lt;label </w:t>
            </w:r>
            <w:r>
              <w:rPr>
                <w:rStyle w:val="Codeattribute"/>
              </w:rPr>
              <w:t>xml:lang</w:t>
            </w:r>
            <w:r>
              <w:rPr>
                <w:rStyle w:val="Code"/>
              </w:rPr>
              <w:t>=</w:t>
            </w:r>
            <w:r>
              <w:rPr>
                <w:rStyle w:val="Codevalue"/>
              </w:rPr>
              <w:t>"eng"</w:t>
            </w:r>
            <w:r>
              <w:rPr>
                <w:rStyle w:val="Code"/>
              </w:rPr>
              <w:t>&gt;</w:t>
            </w:r>
            <w:r>
              <w:rPr>
                <w:rStyle w:val="Codetext"/>
              </w:rPr>
              <w:t>Southern Doorjamb</w:t>
            </w:r>
            <w:r>
              <w:rPr>
                <w:rStyle w:val="Code"/>
              </w:rPr>
              <w:t>&lt;/label&gt;</w:t>
            </w:r>
            <w:r>
              <w:rPr>
                <w:rStyle w:val="Codetext"/>
              </w:rPr>
              <w:t>...</w:t>
            </w:r>
          </w:p>
        </w:tc>
      </w:tr>
      <w:tr>
        <w:tc>
          <w:tcPr>
            <w:tcW w:w="9054" w:type="dxa"/>
          </w:tcPr>
          <w:p>
            <w:pPr>
              <w:pStyle w:val="TableNote"/>
              <w:rPr>
                <w:rStyle w:val="Code"/>
              </w:rPr>
            </w:pPr>
            <w:r>
              <w:t>explicitly encoded headings will show “Northern Doorjamb” and “Southern Doorjamb”</w:t>
            </w:r>
          </w:p>
        </w:tc>
      </w:tr>
      <w:bookmarkEnd w:id="235"/>
      <w:bookmarkEnd w:id="236"/>
    </w:tbl>
    <w:p/>
    <w:p>
      <w:pPr>
        <w:pStyle w:val="Cmsor3"/>
      </w:pPr>
      <w:bookmarkStart w:id="237" w:name="_tezue83pb823" w:colFirst="0" w:colLast="0"/>
      <w:bookmarkStart w:id="238" w:name="_Ref43986994"/>
      <w:bookmarkStart w:id="239" w:name="_Toc242976608"/>
      <w:bookmarkEnd w:id="237"/>
      <w:r>
        <w:t>Numbered elements in pagelike partitions</w:t>
      </w:r>
      <w:bookmarkEnd w:id="238"/>
      <w:bookmarkEnd w:id="239"/>
    </w:p>
    <w:p>
      <w:pPr>
        <w:pStyle w:val="Lista"/>
      </w:pPr>
      <w:r>
        <w:t>as set out under §</w:t>
      </w:r>
      <w:r>
        <w:fldChar w:fldCharType="begin"/>
      </w:r>
      <w:r>
        <w:instrText xml:space="preserve"> REF _Ref225761016 \r \h </w:instrText>
      </w:r>
      <w:r>
        <w:fldChar w:fldCharType="separate"/>
      </w:r>
      <w:r>
        <w:t>4.5.2</w:t>
      </w:r>
      <w:r>
        <w:fldChar w:fldCharType="end"/>
      </w:r>
      <w:r>
        <w:t>, physical line numbering may be either</w:t>
      </w:r>
    </w:p>
    <w:p>
      <w:pPr>
        <w:pStyle w:val="Lista2"/>
      </w:pPr>
      <w:r>
        <w:t>consecutive throughout successive pagelike partitions, or</w:t>
      </w:r>
    </w:p>
    <w:p>
      <w:pPr>
        <w:pStyle w:val="Lista2"/>
      </w:pPr>
      <w:r>
        <w:t>restarted in each pagelike partition, provided that complex line numbers are used, which incorporate the number of the page or zone</w:t>
      </w:r>
    </w:p>
    <w:p>
      <w:pPr>
        <w:pStyle w:val="Lista"/>
      </w:pPr>
      <w:r>
        <w:t>the numeration of any other numbered elements must ignore pagelike partitions, i.e. continue consecutively through each such partition</w:t>
      </w:r>
    </w:p>
    <w:p>
      <w:pPr>
        <w:pStyle w:val="Lista2"/>
      </w:pPr>
      <w:r>
        <w:t>this explicitly includes stanzas, whose numbering is normally reset in boxlike partitions, but never after a pagelike partition</w:t>
      </w:r>
    </w:p>
    <w:p>
      <w:pPr>
        <w:pStyle w:val="Cmsor2"/>
      </w:pPr>
      <w:bookmarkStart w:id="240" w:name="_Ref224720139"/>
      <w:bookmarkStart w:id="241" w:name="_Ref224720155"/>
      <w:r>
        <w:t>Physical lines</w:t>
      </w:r>
      <w:bookmarkEnd w:id="181"/>
      <w:bookmarkEnd w:id="182"/>
      <w:bookmarkEnd w:id="183"/>
      <w:bookmarkEnd w:id="184"/>
      <w:bookmarkEnd w:id="185"/>
      <w:bookmarkEnd w:id="240"/>
      <w:bookmarkEnd w:id="241"/>
    </w:p>
    <w:p>
      <w:r>
        <w:t xml:space="preserve">To make the distinction from verse lines </w:t>
      </w:r>
      <w:r>
        <w:rPr>
          <w:noProof/>
        </w:rPr>
        <w:t>(§</w:t>
      </w:r>
      <w:r>
        <w:rPr>
          <w:noProof/>
        </w:rPr>
        <w:fldChar w:fldCharType="begin"/>
      </w:r>
      <w:r>
        <w:rPr>
          <w:noProof/>
        </w:rPr>
        <w:instrText xml:space="preserve"> REF _Ref224740501 \r \h </w:instrText>
      </w:r>
      <w:r>
        <w:rPr>
          <w:noProof/>
        </w:rPr>
      </w:r>
      <w:r>
        <w:rPr>
          <w:noProof/>
        </w:rPr>
        <w:fldChar w:fldCharType="separate"/>
      </w:r>
      <w:r>
        <w:rPr>
          <w:noProof/>
        </w:rPr>
        <w:t>3.2.2</w:t>
      </w:r>
      <w:r>
        <w:rPr>
          <w:noProof/>
        </w:rPr>
        <w:fldChar w:fldCharType="end"/>
      </w:r>
      <w:r>
        <w:t xml:space="preserve">) explicit, inscribed lines are referred to in this guide as </w:t>
      </w:r>
      <w:r>
        <w:rPr>
          <w:i/>
          <w:iCs/>
        </w:rPr>
        <w:t>epigraphic lines</w:t>
      </w:r>
      <w:r>
        <w:t xml:space="preserve"> or </w:t>
      </w:r>
      <w:r>
        <w:rPr>
          <w:i/>
          <w:iCs/>
        </w:rPr>
        <w:t>physical lines</w:t>
      </w:r>
      <w:r>
        <w:t xml:space="preserve"> where ambiguity is possible. The beginning of each epigraphic line must always be marked up within the edition. For the purpose of encoding in our project, we define a physical line as a stretch of text whose glyphs comprise a spatially and textually contiguous sequence while being spatially distinct from glyphs belonging to other lines.</w:t>
      </w:r>
    </w:p>
    <w:p/>
    <w:tbl>
      <w:tblPr>
        <w:tblStyle w:val="FigureTable"/>
        <w:tblW w:w="0" w:type="auto"/>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9628" w:type="dxa"/>
          </w:tcPr>
          <w:p>
            <w:pPr>
              <w:pStyle w:val="Kpalrs"/>
            </w:pPr>
            <w:bookmarkStart w:id="242" w:name="_Ref225427746"/>
            <w:r>
              <w:lastRenderedPageBreak/>
              <w:t xml:space="preserve">Exhibit </w:t>
            </w:r>
            <w:fldSimple w:instr=" STYLEREF 2 \s ">
              <w:r>
                <w:rPr>
                  <w:noProof/>
                </w:rPr>
                <w:t>4.5</w:t>
              </w:r>
            </w:fldSimple>
            <w:r>
              <w:t>.</w:t>
            </w:r>
            <w:fldSimple w:instr=" SEQ Exhibit \* ALPHABETIC \s 2 ">
              <w:r>
                <w:rPr>
                  <w:noProof/>
                </w:rPr>
                <w:t>A</w:t>
              </w:r>
            </w:fldSimple>
            <w:bookmarkEnd w:id="242"/>
            <w:r>
              <w:t>. A tidy inscription</w:t>
            </w:r>
          </w:p>
        </w:tc>
      </w:tr>
      <w:tr>
        <w:tc>
          <w:tcPr>
            <w:tcW w:w="9628" w:type="dxa"/>
          </w:tcPr>
          <w:p>
            <w:pPr>
              <w:pStyle w:val="Image"/>
            </w:pPr>
            <w:r>
              <w:drawing>
                <wp:inline distT="0" distB="0" distL="0" distR="0">
                  <wp:extent cx="5400000" cy="1483200"/>
                  <wp:effectExtent l="0" t="0" r="0" b="3175"/>
                  <wp:docPr id="16"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8.png"/>
                          <pic:cNvPicPr/>
                        </pic:nvPicPr>
                        <pic:blipFill>
                          <a:blip r:embed="rId18"/>
                          <a:stretch>
                            <a:fillRect/>
                          </a:stretch>
                        </pic:blipFill>
                        <pic:spPr>
                          <a:xfrm>
                            <a:off x="0" y="0"/>
                            <a:ext cx="5400000" cy="1483200"/>
                          </a:xfrm>
                          <a:prstGeom prst="rect">
                            <a:avLst/>
                          </a:prstGeom>
                          <a:ln/>
                        </pic:spPr>
                      </pic:pic>
                    </a:graphicData>
                  </a:graphic>
                </wp:inline>
              </w:drawing>
            </w:r>
          </w:p>
        </w:tc>
      </w:tr>
    </w:tbl>
    <w:p/>
    <w:p>
      <w:r>
        <w:t>This definition includes no presumptions concerning a line’s</w:t>
      </w:r>
    </w:p>
    <w:p>
      <w:pPr>
        <w:pStyle w:val="Lista"/>
      </w:pPr>
      <w:r>
        <w:t xml:space="preserve">position </w:t>
      </w:r>
      <w:r>
        <w:rPr>
          <w:noProof/>
        </w:rPr>
        <w:t>(</w:t>
      </w:r>
      <w:r>
        <w:t>some lines of a text may be set off from other lines; see §</w:t>
      </w:r>
      <w:r>
        <w:fldChar w:fldCharType="begin"/>
      </w:r>
      <w:r>
        <w:instrText xml:space="preserve"> REF _Ref43978135 \r \h </w:instrText>
      </w:r>
      <w:r>
        <w:fldChar w:fldCharType="separate"/>
      </w:r>
      <w:r>
        <w:t>4.7.1.1</w:t>
      </w:r>
      <w:r>
        <w:fldChar w:fldCharType="end"/>
      </w:r>
      <w:r>
        <w:t xml:space="preserve"> and §</w:t>
      </w:r>
      <w:r>
        <w:fldChar w:fldCharType="begin"/>
      </w:r>
      <w:r>
        <w:instrText xml:space="preserve"> REF _Ref182233273 \r \h </w:instrText>
      </w:r>
      <w:r>
        <w:fldChar w:fldCharType="separate"/>
      </w:r>
      <w:r>
        <w:t>4.7.1.2</w:t>
      </w:r>
      <w:r>
        <w:fldChar w:fldCharType="end"/>
      </w:r>
      <w:r>
        <w:t xml:space="preserve"> for specific cases)</w:t>
      </w:r>
    </w:p>
    <w:p>
      <w:pPr>
        <w:pStyle w:val="Lista"/>
      </w:pPr>
      <w:r>
        <w:t xml:space="preserve">directionality </w:t>
      </w:r>
      <w:r>
        <w:rPr>
          <w:noProof/>
        </w:rPr>
        <w:t>(</w:t>
      </w:r>
      <w:r>
        <w:t>e.g. some lines run right to left while others run left to right; see §</w:t>
      </w:r>
      <w:r>
        <w:fldChar w:fldCharType="begin"/>
      </w:r>
      <w:r>
        <w:instrText xml:space="preserve"> REF _Ref43984782 \w \h  \* MERGEFORMAT </w:instrText>
      </w:r>
      <w:r>
        <w:fldChar w:fldCharType="separate"/>
      </w:r>
      <w:r>
        <w:t>8.5.2</w:t>
      </w:r>
      <w:r>
        <w:fldChar w:fldCharType="end"/>
      </w:r>
      <w:r>
        <w:t>)</w:t>
      </w:r>
    </w:p>
    <w:p>
      <w:pPr>
        <w:pStyle w:val="Lista"/>
      </w:pPr>
      <w:r>
        <w:t xml:space="preserve">orientation </w:t>
      </w:r>
      <w:r>
        <w:rPr>
          <w:noProof/>
        </w:rPr>
        <w:t>(</w:t>
      </w:r>
      <w:r>
        <w:t>e.g. some lines may be vertical while others are horizontal; see §</w:t>
      </w:r>
      <w:r>
        <w:fldChar w:fldCharType="begin"/>
      </w:r>
      <w:r>
        <w:instrText xml:space="preserve"> REF _Ref43984782 \w \h  \* MERGEFORMAT </w:instrText>
      </w:r>
      <w:r>
        <w:fldChar w:fldCharType="separate"/>
      </w:r>
      <w:r>
        <w:t>8.5.2</w:t>
      </w:r>
      <w:r>
        <w:fldChar w:fldCharType="end"/>
      </w:r>
      <w:r>
        <w:t>)</w:t>
      </w:r>
    </w:p>
    <w:p>
      <w:pPr>
        <w:pStyle w:val="Lista"/>
      </w:pPr>
      <w:r>
        <w:t xml:space="preserve">shape </w:t>
      </w:r>
      <w:r>
        <w:rPr>
          <w:noProof/>
        </w:rPr>
        <w:t>(</w:t>
      </w:r>
      <w:r>
        <w:t>lines may bend in various ways to follow an uneven surface, or the ends of certain lines may bend upward or downward to accommodate extra glyphs before the margin or the edge of the support)</w:t>
      </w:r>
    </w:p>
    <w:p/>
    <w:p>
      <w:r>
        <w:t xml:space="preserve">The concrete topology of the inscription is, however, irrelevant, so the tidy slab in </w:t>
      </w:r>
      <w:r>
        <w:fldChar w:fldCharType="begin"/>
      </w:r>
      <w:r>
        <w:instrText xml:space="preserve"> REF _Ref225427746 \h </w:instrText>
      </w:r>
      <w:r>
        <w:fldChar w:fldCharType="separate"/>
      </w:r>
      <w:r>
        <w:t xml:space="preserve">Exhibit </w:t>
      </w:r>
      <w:r>
        <w:rPr>
          <w:noProof/>
        </w:rPr>
        <w:t>4.5</w:t>
      </w:r>
      <w:r>
        <w:t>.</w:t>
      </w:r>
      <w:r>
        <w:rPr>
          <w:noProof/>
        </w:rPr>
        <w:t>A</w:t>
      </w:r>
      <w:r>
        <w:fldChar w:fldCharType="end"/>
      </w:r>
      <w:r>
        <w:t xml:space="preserve"> and the untidy boulder in </w:t>
      </w:r>
      <w:r>
        <w:fldChar w:fldCharType="begin"/>
      </w:r>
      <w:r>
        <w:instrText xml:space="preserve"> REF _Ref225427753 \h </w:instrText>
      </w:r>
      <w:r>
        <w:fldChar w:fldCharType="separate"/>
      </w:r>
      <w:r>
        <w:t xml:space="preserve">Exhibit </w:t>
      </w:r>
      <w:r>
        <w:rPr>
          <w:noProof/>
        </w:rPr>
        <w:t>4.5</w:t>
      </w:r>
      <w:r>
        <w:t>.</w:t>
      </w:r>
      <w:r>
        <w:rPr>
          <w:noProof/>
        </w:rPr>
        <w:t>B</w:t>
      </w:r>
      <w:r>
        <w:fldChar w:fldCharType="end"/>
      </w:r>
      <w:r>
        <w:t xml:space="preserve"> are encoded in the same manner, differing only in the number of lines. The arrangement of lines can be annotated as needed, but not encoded in the edition except for some basic layout features, which will be discussed in §</w:t>
      </w:r>
      <w:r>
        <w:fldChar w:fldCharType="begin"/>
      </w:r>
      <w:r>
        <w:instrText xml:space="preserve"> REF _Ref225428243 \r \h </w:instrText>
      </w:r>
      <w:r>
        <w:fldChar w:fldCharType="separate"/>
      </w:r>
      <w:r>
        <w:t>8.2.2</w:t>
      </w:r>
      <w:r>
        <w:fldChar w:fldCharType="end"/>
      </w:r>
      <w:r>
        <w:t>.</w:t>
      </w:r>
    </w:p>
    <w:p/>
    <w:tbl>
      <w:tblPr>
        <w:tblStyle w:val="FigureTable"/>
        <w:tblW w:w="0" w:type="auto"/>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9628" w:type="dxa"/>
          </w:tcPr>
          <w:p>
            <w:pPr>
              <w:pStyle w:val="Kpalrs"/>
            </w:pPr>
            <w:bookmarkStart w:id="243" w:name="_Ref225427753"/>
            <w:r>
              <w:t xml:space="preserve">Exhibit </w:t>
            </w:r>
            <w:fldSimple w:instr=" STYLEREF 2 \s ">
              <w:r>
                <w:rPr>
                  <w:noProof/>
                </w:rPr>
                <w:t>4.5</w:t>
              </w:r>
            </w:fldSimple>
            <w:r>
              <w:t>.</w:t>
            </w:r>
            <w:fldSimple w:instr=" SEQ Exhibit \* ALPHABETIC \s 2 ">
              <w:r>
                <w:rPr>
                  <w:noProof/>
                </w:rPr>
                <w:t>B</w:t>
              </w:r>
            </w:fldSimple>
            <w:bookmarkEnd w:id="243"/>
            <w:r>
              <w:t>. An untidy inscription</w:t>
            </w:r>
          </w:p>
        </w:tc>
      </w:tr>
      <w:tr>
        <w:tc>
          <w:tcPr>
            <w:tcW w:w="9628" w:type="dxa"/>
          </w:tcPr>
          <w:p>
            <w:pPr>
              <w:pStyle w:val="Image"/>
            </w:pPr>
            <w:r>
              <w:drawing>
                <wp:inline distT="0" distB="0" distL="0" distR="0">
                  <wp:extent cx="5398770" cy="1945640"/>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8770" cy="1945640"/>
                          </a:xfrm>
                          <a:prstGeom prst="rect">
                            <a:avLst/>
                          </a:prstGeom>
                          <a:noFill/>
                          <a:ln>
                            <a:noFill/>
                          </a:ln>
                        </pic:spPr>
                      </pic:pic>
                    </a:graphicData>
                  </a:graphic>
                </wp:inline>
              </w:drawing>
            </w:r>
          </w:p>
        </w:tc>
      </w:tr>
    </w:tbl>
    <w:p/>
    <w:p>
      <w:pPr>
        <w:pStyle w:val="Cmsor3"/>
      </w:pPr>
      <w:bookmarkStart w:id="244" w:name="_xui16zrp0wzt" w:colFirst="0" w:colLast="0"/>
      <w:bookmarkStart w:id="245" w:name="_Ref43980100"/>
      <w:bookmarkStart w:id="246" w:name="_Toc242976609"/>
      <w:bookmarkEnd w:id="244"/>
      <w:r>
        <w:t>Marking up line beginnings</w:t>
      </w:r>
      <w:bookmarkEnd w:id="245"/>
      <w:bookmarkEnd w:id="246"/>
    </w:p>
    <w:tbl>
      <w:tblPr>
        <w:tblStyle w:val="CodeSampleTable"/>
        <w:tblpPr w:leftFromText="180" w:rightFromText="180" w:vertAnchor="text" w:tblpXSpec="right" w:tblpY="1"/>
        <w:tblOverlap w:val="never"/>
        <w:tblW w:w="4536" w:type="dxa"/>
        <w:jc w:val="right"/>
        <w:tblLook w:val="04A0" w:firstRow="1" w:lastRow="0" w:firstColumn="1" w:lastColumn="0" w:noHBand="0" w:noVBand="1"/>
      </w:tblPr>
      <w:tblGrid>
        <w:gridCol w:w="4536"/>
      </w:tblGrid>
      <w:tr>
        <w:trPr>
          <w:cnfStyle w:val="100000000000" w:firstRow="1" w:lastRow="0" w:firstColumn="0" w:lastColumn="0" w:oddVBand="0" w:evenVBand="0" w:oddHBand="0" w:evenHBand="0" w:firstRowFirstColumn="0" w:firstRowLastColumn="0" w:lastRowFirstColumn="0" w:lastRowLastColumn="0"/>
          <w:jc w:val="right"/>
        </w:trPr>
        <w:tc>
          <w:tcPr>
            <w:tcW w:w="5000" w:type="pct"/>
          </w:tcPr>
          <w:p>
            <w:pPr>
              <w:pStyle w:val="Kpalrs"/>
              <w:keepLines/>
            </w:pPr>
            <w:bookmarkStart w:id="247" w:name="_Ref225428834"/>
            <w:r>
              <w:t xml:space="preserve">Exhibit </w:t>
            </w:r>
            <w:fldSimple w:instr=" STYLEREF 2 \s ">
              <w:r>
                <w:rPr>
                  <w:noProof/>
                </w:rPr>
                <w:t>4.5</w:t>
              </w:r>
            </w:fldSimple>
            <w:r>
              <w:t>.</w:t>
            </w:r>
            <w:fldSimple w:instr=" SEQ Exhibit \* ALPHABETIC \s 2 ">
              <w:r>
                <w:rPr>
                  <w:noProof/>
                </w:rPr>
                <w:t>C</w:t>
              </w:r>
            </w:fldSimple>
            <w:bookmarkEnd w:id="247"/>
            <w:r>
              <w:t>: generic encoding for line beginnings</w:t>
            </w:r>
          </w:p>
        </w:tc>
      </w:tr>
      <w:tr>
        <w:trPr>
          <w:jc w:val="right"/>
        </w:trPr>
        <w:tc>
          <w:tcPr>
            <w:tcW w:w="5000" w:type="pct"/>
          </w:tcPr>
          <w:p>
            <w:pPr>
              <w:pStyle w:val="Image"/>
            </w:pPr>
            <w:r>
              <w:drawing>
                <wp:inline distT="0" distB="0" distL="0" distR="0">
                  <wp:extent cx="2700000" cy="741600"/>
                  <wp:effectExtent l="0" t="0" r="5715" b="1905"/>
                  <wp:docPr id="20"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8.png"/>
                          <pic:cNvPicPr/>
                        </pic:nvPicPr>
                        <pic:blipFill>
                          <a:blip r:embed="rId18"/>
                          <a:stretch>
                            <a:fillRect/>
                          </a:stretch>
                        </pic:blipFill>
                        <pic:spPr>
                          <a:xfrm>
                            <a:off x="0" y="0"/>
                            <a:ext cx="2700000" cy="741600"/>
                          </a:xfrm>
                          <a:prstGeom prst="rect">
                            <a:avLst/>
                          </a:prstGeom>
                          <a:ln/>
                        </pic:spPr>
                      </pic:pic>
                    </a:graphicData>
                  </a:graphic>
                </wp:inline>
              </w:drawing>
            </w:r>
          </w:p>
        </w:tc>
      </w:tr>
      <w:tr>
        <w:trPr>
          <w:jc w:val="right"/>
        </w:trPr>
        <w:tc>
          <w:tcPr>
            <w:tcW w:w="5000" w:type="pct"/>
          </w:tcPr>
          <w:p>
            <w:pPr>
              <w:pStyle w:val="CodeParagraph"/>
              <w:keepNext/>
              <w:rPr>
                <w:rStyle w:val="Codetext"/>
              </w:rPr>
            </w:pPr>
            <w:r>
              <w:rPr>
                <w:rStyle w:val="Code"/>
              </w:rPr>
              <w:t xml:space="preserve">&lt;p&gt;&lt;lb </w:t>
            </w:r>
            <w:r>
              <w:rPr>
                <w:rStyle w:val="Codeattribute"/>
              </w:rPr>
              <w:t>n</w:t>
            </w:r>
            <w:r>
              <w:rPr>
                <w:rStyle w:val="Code"/>
              </w:rPr>
              <w:t>=</w:t>
            </w:r>
            <w:r>
              <w:rPr>
                <w:rStyle w:val="Codevalue"/>
              </w:rPr>
              <w:t>"1"</w:t>
            </w:r>
            <w:r>
              <w:rPr>
                <w:rStyle w:val="Code"/>
              </w:rPr>
              <w:t>/&gt;</w:t>
            </w:r>
            <w:r>
              <w:rPr>
                <w:rStyle w:val="Codetext"/>
              </w:rPr>
              <w:t>In a hole in the ground...</w:t>
            </w:r>
          </w:p>
          <w:p>
            <w:pPr>
              <w:pStyle w:val="CodeParagraph"/>
              <w:keepNext/>
              <w:rPr>
                <w:rStyle w:val="Codetext"/>
              </w:rPr>
            </w:pPr>
            <w:r>
              <w:rPr>
                <w:rStyle w:val="Code"/>
              </w:rPr>
              <w:t xml:space="preserve">  &lt;lb </w:t>
            </w:r>
            <w:r>
              <w:rPr>
                <w:rStyle w:val="Codeattribute"/>
              </w:rPr>
              <w:t>n</w:t>
            </w:r>
            <w:r>
              <w:rPr>
                <w:rStyle w:val="Code"/>
              </w:rPr>
              <w:t>=</w:t>
            </w:r>
            <w:r>
              <w:rPr>
                <w:rStyle w:val="Codevalue"/>
              </w:rPr>
              <w:t>"2"</w:t>
            </w:r>
            <w:r>
              <w:rPr>
                <w:rStyle w:val="Code"/>
              </w:rPr>
              <w:t>/&gt;</w:t>
            </w:r>
            <w:r>
              <w:rPr>
                <w:rStyle w:val="Codetext"/>
              </w:rPr>
              <w:t>nasty, dirty, wet...</w:t>
            </w:r>
          </w:p>
          <w:p>
            <w:pPr>
              <w:pStyle w:val="CodeParagraph"/>
              <w:keepNext/>
              <w:rPr>
                <w:rStyle w:val="Codetext"/>
              </w:rPr>
            </w:pPr>
            <w:r>
              <w:rPr>
                <w:rStyle w:val="Code"/>
              </w:rPr>
              <w:t xml:space="preserve">  &lt;lb </w:t>
            </w:r>
            <w:r>
              <w:rPr>
                <w:rStyle w:val="Codeattribute"/>
              </w:rPr>
              <w:t>n</w:t>
            </w:r>
            <w:r>
              <w:rPr>
                <w:rStyle w:val="Code"/>
              </w:rPr>
              <w:t>=</w:t>
            </w:r>
            <w:r>
              <w:rPr>
                <w:rStyle w:val="Codevalue"/>
              </w:rPr>
              <w:t>"3"</w:t>
            </w:r>
            <w:r>
              <w:rPr>
                <w:rStyle w:val="Code"/>
              </w:rPr>
              <w:t>/&gt;</w:t>
            </w:r>
            <w:r>
              <w:rPr>
                <w:rStyle w:val="Codetext"/>
              </w:rPr>
              <w:t>and an oozy smell...</w:t>
            </w:r>
          </w:p>
          <w:p>
            <w:pPr>
              <w:pStyle w:val="CodeParagraph"/>
              <w:keepNext/>
              <w:rPr>
                <w:rStyle w:val="Codetext"/>
              </w:rPr>
            </w:pPr>
            <w:r>
              <w:rPr>
                <w:rStyle w:val="Code"/>
              </w:rPr>
              <w:t xml:space="preserve">  &lt;lb </w:t>
            </w:r>
            <w:r>
              <w:rPr>
                <w:rStyle w:val="Codeattribute"/>
              </w:rPr>
              <w:t>n</w:t>
            </w:r>
            <w:r>
              <w:rPr>
                <w:rStyle w:val="Code"/>
              </w:rPr>
              <w:t>=</w:t>
            </w:r>
            <w:r>
              <w:rPr>
                <w:rStyle w:val="Codevalue"/>
              </w:rPr>
              <w:t>"4"</w:t>
            </w:r>
            <w:r>
              <w:rPr>
                <w:rStyle w:val="Code"/>
              </w:rPr>
              <w:t>/&gt;with nothing in it</w:t>
            </w:r>
            <w:r>
              <w:rPr>
                <w:rStyle w:val="Codetext"/>
              </w:rPr>
              <w:t>...</w:t>
            </w:r>
          </w:p>
          <w:p>
            <w:pPr>
              <w:pStyle w:val="CodeParagraph"/>
              <w:keepNext/>
              <w:rPr>
                <w:rStyle w:val="Code"/>
              </w:rPr>
            </w:pPr>
            <w:r>
              <w:rPr>
                <w:rStyle w:val="Code"/>
              </w:rPr>
              <w:t xml:space="preserve">  &lt;lb </w:t>
            </w:r>
            <w:r>
              <w:rPr>
                <w:rStyle w:val="Codeattribute"/>
              </w:rPr>
              <w:t>n</w:t>
            </w:r>
            <w:r>
              <w:rPr>
                <w:rStyle w:val="Code"/>
              </w:rPr>
              <w:t>=</w:t>
            </w:r>
            <w:r>
              <w:rPr>
                <w:rStyle w:val="Codevalue"/>
              </w:rPr>
              <w:t>"5"</w:t>
            </w:r>
            <w:r>
              <w:rPr>
                <w:rStyle w:val="Code"/>
              </w:rPr>
              <w:t>/&gt;hobbit-hole, and</w:t>
            </w:r>
            <w:r>
              <w:rPr>
                <w:rStyle w:val="Codetext"/>
              </w:rPr>
              <w:t>...</w:t>
            </w:r>
          </w:p>
          <w:p>
            <w:pPr>
              <w:pStyle w:val="CodeParagraph"/>
              <w:keepNext/>
              <w:rPr>
                <w:rFonts w:ascii="Consolas" w:hAnsi="Consolas" w:cs="Consolas"/>
                <w:noProof/>
                <w:color w:val="002060"/>
                <w:shd w:val="clear" w:color="auto" w:fill="F2F2F2" w:themeFill="background1" w:themeFillShade="F2"/>
              </w:rPr>
            </w:pPr>
            <w:r>
              <w:rPr>
                <w:rStyle w:val="Code"/>
              </w:rPr>
              <w:t>&lt;/p&gt;</w:t>
            </w:r>
          </w:p>
        </w:tc>
      </w:tr>
    </w:tbl>
    <w:p>
      <w:pPr>
        <w:pStyle w:val="Lista"/>
      </w:pPr>
      <w:r>
        <w:t xml:space="preserve">marking up line beginnings is mandatory for all lines of all our editions, using the empty element </w:t>
      </w:r>
      <w:r>
        <w:rPr>
          <w:rStyle w:val="Code"/>
        </w:rPr>
        <w:t>&lt;lb/&gt;</w:t>
      </w:r>
      <w:r>
        <w:t xml:space="preserve"> as in </w:t>
      </w:r>
      <w:r>
        <w:fldChar w:fldCharType="begin"/>
      </w:r>
      <w:r>
        <w:instrText xml:space="preserve"> REF _Ref225428834 \h </w:instrText>
      </w:r>
      <w:r>
        <w:fldChar w:fldCharType="separate"/>
      </w:r>
      <w:r>
        <w:t xml:space="preserve">Exhibit </w:t>
      </w:r>
      <w:r>
        <w:rPr>
          <w:noProof/>
        </w:rPr>
        <w:t>4.5</w:t>
      </w:r>
      <w:r>
        <w:t>.</w:t>
      </w:r>
      <w:r>
        <w:rPr>
          <w:noProof/>
        </w:rPr>
        <w:t>C</w:t>
      </w:r>
      <w:r>
        <w:fldChar w:fldCharType="end"/>
      </w:r>
      <w:r>
        <w:t>, with the following attributes</w:t>
      </w:r>
    </w:p>
    <w:p>
      <w:pPr>
        <w:pStyle w:val="Lista2"/>
      </w:pPr>
      <w:r>
        <w:t xml:space="preserve">mandatorily, </w:t>
      </w:r>
      <w:r>
        <w:rPr>
          <w:rStyle w:val="Codeattribute"/>
        </w:rPr>
        <w:t>@n</w:t>
      </w:r>
      <w:r>
        <w:t xml:space="preserve"> as per §</w:t>
      </w:r>
      <w:r>
        <w:fldChar w:fldCharType="begin"/>
      </w:r>
      <w:r>
        <w:instrText xml:space="preserve"> REF _Ref225761017 \r \h </w:instrText>
      </w:r>
      <w:r>
        <w:fldChar w:fldCharType="separate"/>
      </w:r>
      <w:r>
        <w:t>4.5.2</w:t>
      </w:r>
      <w:r>
        <w:fldChar w:fldCharType="end"/>
      </w:r>
      <w:r>
        <w:t xml:space="preserve"> </w:t>
      </w:r>
    </w:p>
    <w:p>
      <w:pPr>
        <w:pStyle w:val="Lista2"/>
      </w:pPr>
      <w:r>
        <w:t xml:space="preserve">as applicable, </w:t>
      </w:r>
      <w:r>
        <w:rPr>
          <w:rStyle w:val="Codeattribute"/>
        </w:rPr>
        <w:t>@break</w:t>
      </w:r>
      <w:r>
        <w:t xml:space="preserve"> for line beginnings interrupting words as per §</w:t>
      </w:r>
      <w:r>
        <w:fldChar w:fldCharType="begin"/>
      </w:r>
      <w:r>
        <w:instrText xml:space="preserve"> REF _Ref225519777 \r \h </w:instrText>
      </w:r>
      <w:r>
        <w:fldChar w:fldCharType="separate"/>
      </w:r>
      <w:r>
        <w:t>4.3.2.1</w:t>
      </w:r>
      <w:r>
        <w:fldChar w:fldCharType="end"/>
      </w:r>
    </w:p>
    <w:p>
      <w:pPr>
        <w:pStyle w:val="Lista2"/>
      </w:pPr>
      <w:r>
        <w:t>when applicable, additional attributes representing the visual features of a line (§</w:t>
      </w:r>
      <w:r>
        <w:fldChar w:fldCharType="begin"/>
      </w:r>
      <w:r>
        <w:instrText xml:space="preserve"> REF _Ref225428243 \r \h </w:instrText>
      </w:r>
      <w:r>
        <w:fldChar w:fldCharType="separate"/>
      </w:r>
      <w:r>
        <w:t>8.2.2</w:t>
      </w:r>
      <w:r>
        <w:fldChar w:fldCharType="end"/>
      </w:r>
      <w:r>
        <w:t>)</w:t>
      </w:r>
    </w:p>
    <w:p>
      <w:pPr>
        <w:pStyle w:val="Lista"/>
      </w:pPr>
      <w:r>
        <w:rPr>
          <w:rStyle w:val="Code"/>
        </w:rPr>
        <w:lastRenderedPageBreak/>
        <w:t>&lt;lb/&gt;</w:t>
      </w:r>
      <w:r>
        <w:t xml:space="preserve"> marks line beginnings (rather than transitions) and must thus be present at the start of each line including the first</w:t>
      </w:r>
    </w:p>
    <w:p>
      <w:pPr>
        <w:pStyle w:val="Lista"/>
      </w:pPr>
      <w:r>
        <w:t xml:space="preserve">since the use of this element is mandatory, it must be present even in inscriptions </w:t>
      </w:r>
      <w:r>
        <w:rPr>
          <w:noProof/>
        </w:rPr>
        <w:t>(</w:t>
      </w:r>
      <w:r>
        <w:t>or textparts) consisting of a single line</w:t>
      </w:r>
    </w:p>
    <w:p>
      <w:pPr>
        <w:pStyle w:val="Cmsor3"/>
      </w:pPr>
      <w:bookmarkStart w:id="248" w:name="_Ref225761016"/>
      <w:bookmarkStart w:id="249" w:name="_Ref225761017"/>
      <w:bookmarkStart w:id="250" w:name="_Toc242976610"/>
      <w:r>
        <w:t>Numbering lines</w:t>
      </w:r>
      <w:bookmarkEnd w:id="248"/>
      <w:bookmarkEnd w:id="249"/>
      <w:bookmarkEnd w:id="250"/>
    </w:p>
    <w:p>
      <w:pPr>
        <w:pStyle w:val="Lista"/>
      </w:pPr>
      <w:r>
        <w:t xml:space="preserve">every physical line of text in your edition must have a number encoded in the </w:t>
      </w:r>
      <w:r>
        <w:rPr>
          <w:rStyle w:val="Codeattribute"/>
        </w:rPr>
        <w:t>@n</w:t>
      </w:r>
      <w:r>
        <w:t xml:space="preserve"> attribute of the corresponding </w:t>
      </w:r>
      <w:r>
        <w:rPr>
          <w:rStyle w:val="Code"/>
        </w:rPr>
        <w:t>&lt;lb/&gt;</w:t>
      </w:r>
      <w:r>
        <w:t xml:space="preserve"> element</w:t>
      </w:r>
    </w:p>
    <w:p>
      <w:pPr>
        <w:pStyle w:val="Lista2"/>
      </w:pPr>
      <w:r>
        <w:t xml:space="preserve">line numbering is mandatory even if an inscription </w:t>
      </w:r>
      <w:r>
        <w:rPr>
          <w:noProof/>
        </w:rPr>
        <w:t>(</w:t>
      </w:r>
      <w:r>
        <w:t>or textpart) contains only one line</w:t>
      </w:r>
    </w:p>
    <w:p>
      <w:pPr>
        <w:pStyle w:val="Lista"/>
      </w:pPr>
      <w:r>
        <w:t>in order to eliminate ambiguity in referencing, every line number in an XML edition must be unique</w:t>
      </w:r>
    </w:p>
    <w:p>
      <w:pPr>
        <w:pStyle w:val="Lista2"/>
      </w:pPr>
      <w:r>
        <w:t xml:space="preserve">except that if your document has textpart divisions, then the requirement of uniqueness only applies within such a division </w:t>
      </w:r>
      <w:r>
        <w:rPr>
          <w:noProof/>
        </w:rPr>
        <w:t>(</w:t>
      </w:r>
      <w:r>
        <w:t>§</w:t>
      </w:r>
      <w:r>
        <w:fldChar w:fldCharType="begin"/>
      </w:r>
      <w:r>
        <w:instrText xml:space="preserve"> REF _Ref225324541 \r \h </w:instrText>
      </w:r>
      <w:r>
        <w:fldChar w:fldCharType="separate"/>
      </w:r>
      <w:r>
        <w:t>4.2.1.4</w:t>
      </w:r>
      <w:r>
        <w:fldChar w:fldCharType="end"/>
      </w:r>
      <w:r>
        <w:t>)</w:t>
      </w:r>
    </w:p>
    <w:p>
      <w:pPr>
        <w:pStyle w:val="Lista"/>
      </w:pPr>
      <w:r>
        <w:t>line numbering in DHARMA editions normally follows a consecutive scheme (§</w:t>
      </w:r>
      <w:r>
        <w:fldChar w:fldCharType="begin"/>
      </w:r>
      <w:r>
        <w:instrText xml:space="preserve"> REF _Ref225429069 \r \h </w:instrText>
      </w:r>
      <w:r>
        <w:fldChar w:fldCharType="separate"/>
      </w:r>
      <w:r>
        <w:t>4.5.2.1</w:t>
      </w:r>
      <w:r>
        <w:fldChar w:fldCharType="end"/>
      </w:r>
      <w:r>
        <w:t>) but can alternatively follow a repetitive scheme (§</w:t>
      </w:r>
      <w:r>
        <w:fldChar w:fldCharType="begin"/>
      </w:r>
      <w:r>
        <w:instrText xml:space="preserve"> REF _Ref182228380 \r \h </w:instrText>
      </w:r>
      <w:r>
        <w:fldChar w:fldCharType="separate"/>
      </w:r>
      <w:r>
        <w:t>4.5.2.2</w:t>
      </w:r>
      <w:r>
        <w:fldChar w:fldCharType="end"/>
      </w:r>
      <w:r>
        <w:t>)</w:t>
      </w:r>
    </w:p>
    <w:p>
      <w:pPr>
        <w:pStyle w:val="Lista2"/>
      </w:pPr>
      <w:r>
        <w:t>the repetitive scheme is preferred for certain subcorpora in order to accommodate the line numbering conventions of the subfield</w:t>
      </w:r>
    </w:p>
    <w:p>
      <w:pPr>
        <w:pStyle w:val="Lista2"/>
      </w:pPr>
      <w:r>
        <w:t>the choice between the consecutive or repetitive system shall be determined on the level of subcorpora, but may be overridden on a case-by-case basis</w:t>
      </w:r>
    </w:p>
    <w:p>
      <w:pPr>
        <w:pStyle w:val="Lista2"/>
      </w:pPr>
      <w:r>
        <w:t xml:space="preserve">in rare cases </w:t>
      </w:r>
      <w:r>
        <w:rPr>
          <w:noProof/>
        </w:rPr>
        <w:t>(</w:t>
      </w:r>
      <w:r>
        <w:t>namely, copperplate grants with a lost medial plate encoded without the use of textparts as per §</w:t>
      </w:r>
      <w:r>
        <w:fldChar w:fldCharType="begin"/>
      </w:r>
      <w:r>
        <w:instrText xml:space="preserve"> REF _Ref149918878 \r \h </w:instrText>
      </w:r>
      <w:r>
        <w:fldChar w:fldCharType="separate"/>
      </w:r>
      <w:r>
        <w:t>6.5.5.3</w:t>
      </w:r>
      <w:r>
        <w:fldChar w:fldCharType="end"/>
      </w:r>
      <w:r>
        <w:t>), you will have to resort to complex line numbering even if related editions normally use the consecutive system</w:t>
      </w:r>
    </w:p>
    <w:p>
      <w:pPr>
        <w:pStyle w:val="Cmsor4"/>
      </w:pPr>
      <w:bookmarkStart w:id="251" w:name="_Ref225429069"/>
      <w:r>
        <w:t>Consecutive line numbering</w:t>
      </w:r>
      <w:bookmarkEnd w:id="251"/>
    </w:p>
    <w:p>
      <w:r>
        <w:t>By default, our editions use consecutive line numbering with simple numbers.</w:t>
      </w:r>
    </w:p>
    <w:p>
      <w:pPr>
        <w:pStyle w:val="Lista"/>
      </w:pPr>
      <w:r>
        <w:t xml:space="preserve">the value of the </w:t>
      </w:r>
      <w:r>
        <w:rPr>
          <w:rStyle w:val="Codeattribute"/>
        </w:rPr>
        <w:t>@n</w:t>
      </w:r>
      <w:r>
        <w:t xml:space="preserve"> attribute shall be an Arabic numeral starting with 1 for the first line and increasing with a step of 1 for each subsequent line</w:t>
      </w:r>
    </w:p>
    <w:p>
      <w:pPr>
        <w:pStyle w:val="Lista"/>
      </w:pPr>
      <w:r>
        <w:t xml:space="preserve">line numbers for visually separate incipits may deviate from this numeration scheme </w:t>
      </w:r>
      <w:r>
        <w:rPr>
          <w:noProof/>
        </w:rPr>
        <w:t xml:space="preserve">as per </w:t>
      </w:r>
      <w:r>
        <w:t>§</w:t>
      </w:r>
      <w:r>
        <w:fldChar w:fldCharType="begin"/>
      </w:r>
      <w:r>
        <w:instrText xml:space="preserve"> REF _Ref43978135 \w \h  \* MERGEFORMAT </w:instrText>
      </w:r>
      <w:r>
        <w:fldChar w:fldCharType="separate"/>
      </w:r>
      <w:r>
        <w:t>4.7.1.1</w:t>
      </w:r>
      <w:r>
        <w:fldChar w:fldCharType="end"/>
      </w:r>
    </w:p>
    <w:p>
      <w:pPr>
        <w:pStyle w:val="Lista"/>
      </w:pPr>
      <w:r>
        <w:t>line numeration must be restarted in each textpart (this is not a technical requirement but an arbitrary rule for consistency across the corpus</w:t>
      </w:r>
      <w:r>
        <w:rPr>
          <w:noProof/>
        </w:rPr>
        <w:t xml:space="preserve">, </w:t>
      </w:r>
      <w:r>
        <w:t>§</w:t>
      </w:r>
      <w:r>
        <w:fldChar w:fldCharType="begin"/>
      </w:r>
      <w:r>
        <w:instrText xml:space="preserve"> REF _Ref225324541 \r \h </w:instrText>
      </w:r>
      <w:r>
        <w:fldChar w:fldCharType="separate"/>
      </w:r>
      <w:r>
        <w:t>4.2.1.4</w:t>
      </w:r>
      <w:r>
        <w:fldChar w:fldCharType="end"/>
      </w:r>
      <w:r>
        <w:t>)</w:t>
      </w:r>
    </w:p>
    <w:p>
      <w:pPr>
        <w:pStyle w:val="Lista"/>
      </w:pPr>
      <w:r>
        <w:t xml:space="preserve">line numeration must not be restarted with pagelike partitions, so lines of copperplate inscriptions must be numbered consecutively through the pages (see the Case Study in </w:t>
      </w:r>
      <w:r>
        <w:fldChar w:fldCharType="begin"/>
      </w:r>
      <w:r>
        <w:instrText xml:space="preserve"> REF _Ref239844181 \r \h </w:instrText>
      </w:r>
      <w:r>
        <w:fldChar w:fldCharType="separate"/>
      </w:r>
      <w:r>
        <w:t>Appendix A.2</w:t>
      </w:r>
      <w:r>
        <w:fldChar w:fldCharType="end"/>
      </w:r>
      <w:r>
        <w:t xml:space="preserve"> for an illustration)</w:t>
      </w:r>
    </w:p>
    <w:p>
      <w:pPr>
        <w:pStyle w:val="Cmsor4"/>
      </w:pPr>
      <w:bookmarkStart w:id="252" w:name="_Ref182228380"/>
      <w:r>
        <w:t>Repetitive line numbering with complex numbers</w:t>
      </w:r>
      <w:bookmarkEnd w:id="252"/>
    </w:p>
    <w:p>
      <w:r>
        <w:t xml:space="preserve">When pagelike partitions </w:t>
      </w:r>
      <w:r>
        <w:rPr>
          <w:noProof/>
        </w:rPr>
        <w:t>(</w:t>
      </w:r>
      <w:r>
        <w:t>§</w:t>
      </w:r>
      <w:r>
        <w:fldChar w:fldCharType="begin"/>
      </w:r>
      <w:r>
        <w:instrText xml:space="preserve"> REF _Ref233982406 \r \h </w:instrText>
      </w:r>
      <w:r>
        <w:fldChar w:fldCharType="separate"/>
      </w:r>
      <w:r>
        <w:t>4.4</w:t>
      </w:r>
      <w:r>
        <w:fldChar w:fldCharType="end"/>
      </w:r>
      <w:r>
        <w:t>) are present in an inscription, repetitive numeration may be used as an alternative.  In the repetitive scheme of line numbering, the numbers are reset for each successive pagelike partition.</w:t>
      </w:r>
    </w:p>
    <w:p>
      <w:pPr>
        <w:pStyle w:val="Lista"/>
      </w:pPr>
      <w:r>
        <w:t>to ensure the uniqueness of line numbers throughout the edition, complex line numbers must be used in this system</w:t>
      </w:r>
    </w:p>
    <w:p>
      <w:pPr>
        <w:pStyle w:val="Lista2"/>
      </w:pPr>
      <w:r>
        <w:t>complex numbers consist of a simple line number as per §</w:t>
      </w:r>
      <w:r>
        <w:fldChar w:fldCharType="begin"/>
      </w:r>
      <w:r>
        <w:instrText xml:space="preserve"> REF _Ref225429069 \r \h </w:instrText>
      </w:r>
      <w:r>
        <w:fldChar w:fldCharType="separate"/>
      </w:r>
      <w:r>
        <w:t>4.5.2.1</w:t>
      </w:r>
      <w:r>
        <w:fldChar w:fldCharType="end"/>
      </w:r>
      <w:r>
        <w:t xml:space="preserve">, preceded by a prefix that is the identifier of the current partition, i.e. the value of the </w:t>
      </w:r>
      <w:r>
        <w:rPr>
          <w:rStyle w:val="Codeattribute"/>
        </w:rPr>
        <w:t>@n</w:t>
      </w:r>
      <w:r>
        <w:t xml:space="preserve"> attribute of the “parent” </w:t>
      </w:r>
      <w:r>
        <w:rPr>
          <w:rStyle w:val="Code"/>
        </w:rPr>
        <w:t>&lt;pb/&gt;</w:t>
      </w:r>
      <w:r>
        <w:t xml:space="preserve"> or </w:t>
      </w:r>
      <w:r>
        <w:rPr>
          <w:rStyle w:val="Code"/>
        </w:rPr>
        <w:t>&lt;milestone/&gt;</w:t>
      </w:r>
      <w:r>
        <w:t xml:space="preserve"> element; for example,</w:t>
      </w:r>
    </w:p>
    <w:p>
      <w:pPr>
        <w:pStyle w:val="Lista3"/>
      </w:pPr>
      <w:r>
        <w:t xml:space="preserve">for a stele inscribed on faces A and B, the lines must be numbered </w:t>
      </w:r>
      <w:r>
        <w:rPr>
          <w:rStyle w:val="Codevalue"/>
        </w:rPr>
        <w:t>"A1"</w:t>
      </w:r>
      <w:r>
        <w:t xml:space="preserve">, </w:t>
      </w:r>
      <w:r>
        <w:rPr>
          <w:rStyle w:val="Codevalue"/>
        </w:rPr>
        <w:t>"A2"</w:t>
      </w:r>
      <w:r>
        <w:t xml:space="preserve">, etc., and </w:t>
      </w:r>
      <w:r>
        <w:rPr>
          <w:rStyle w:val="Codevalue"/>
        </w:rPr>
        <w:t>"B1"</w:t>
      </w:r>
      <w:r>
        <w:t xml:space="preserve">, </w:t>
      </w:r>
      <w:r>
        <w:rPr>
          <w:rStyle w:val="Codevalue"/>
        </w:rPr>
        <w:t>"B2"</w:t>
      </w:r>
      <w:r>
        <w:t xml:space="preserve">, etc. on these faces (see </w:t>
      </w:r>
      <w:r>
        <w:fldChar w:fldCharType="begin"/>
      </w:r>
      <w:r>
        <w:instrText xml:space="preserve"> REF _Ref239844198 \r \h </w:instrText>
      </w:r>
      <w:r>
        <w:fldChar w:fldCharType="separate"/>
      </w:r>
      <w:r>
        <w:t>Appendix A.5</w:t>
      </w:r>
      <w:r>
        <w:fldChar w:fldCharType="end"/>
      </w:r>
      <w:r>
        <w:t xml:space="preserve"> and </w:t>
      </w:r>
      <w:r>
        <w:fldChar w:fldCharType="begin"/>
      </w:r>
      <w:r>
        <w:instrText xml:space="preserve"> REF _Ref239844200 \r \h </w:instrText>
      </w:r>
      <w:r>
        <w:fldChar w:fldCharType="separate"/>
      </w:r>
      <w:r>
        <w:t>Appendix A.6</w:t>
      </w:r>
      <w:r>
        <w:fldChar w:fldCharType="end"/>
      </w:r>
      <w:r>
        <w:t xml:space="preserve"> for illustrations)</w:t>
      </w:r>
    </w:p>
    <w:p>
      <w:pPr>
        <w:pStyle w:val="Lista3"/>
      </w:pPr>
      <w:r>
        <w:t xml:space="preserve">for a set of copper plates with pages 1v and 2r, lines must be numbered </w:t>
      </w:r>
      <w:r>
        <w:rPr>
          <w:rStyle w:val="Codevalue"/>
        </w:rPr>
        <w:t>"1v1"</w:t>
      </w:r>
      <w:r>
        <w:t xml:space="preserve">, </w:t>
      </w:r>
      <w:r>
        <w:rPr>
          <w:rStyle w:val="Codevalue"/>
        </w:rPr>
        <w:t>"1v2"</w:t>
      </w:r>
      <w:r>
        <w:t xml:space="preserve">, etc., and </w:t>
      </w:r>
      <w:r>
        <w:rPr>
          <w:rStyle w:val="Codevalue"/>
        </w:rPr>
        <w:t>"2r1"</w:t>
      </w:r>
      <w:r>
        <w:t xml:space="preserve">, </w:t>
      </w:r>
      <w:r>
        <w:rPr>
          <w:rStyle w:val="Codevalue"/>
        </w:rPr>
        <w:t>"2r2"</w:t>
      </w:r>
      <w:r>
        <w:t xml:space="preserve">, etc. on these pages (see </w:t>
      </w:r>
      <w:r>
        <w:fldChar w:fldCharType="begin"/>
      </w:r>
      <w:r>
        <w:instrText xml:space="preserve"> REF _Ref239844217 \r \h </w:instrText>
      </w:r>
      <w:r>
        <w:fldChar w:fldCharType="separate"/>
      </w:r>
      <w:r>
        <w:t>Appendix A.3</w:t>
      </w:r>
      <w:r>
        <w:fldChar w:fldCharType="end"/>
      </w:r>
      <w:r>
        <w:t xml:space="preserve"> for an illustration)</w:t>
      </w:r>
    </w:p>
    <w:p>
      <w:pPr>
        <w:pStyle w:val="Lista2"/>
      </w:pPr>
      <w:r>
        <w:t>should the number of your partitions be a numeral or end with a numeral</w:t>
      </w:r>
      <w:r>
        <w:rPr>
          <w:rStyle w:val="Lbjegyzet-hivatkozs"/>
        </w:rPr>
        <w:footnoteReference w:id="18"/>
      </w:r>
      <w:r>
        <w:t xml:space="preserve"> </w:t>
      </w:r>
      <w:r>
        <w:rPr>
          <w:noProof/>
        </w:rPr>
        <w:t>(</w:t>
      </w:r>
      <w:r>
        <w:t xml:space="preserve">including Roman numerals), add a . </w:t>
      </w:r>
      <w:r>
        <w:rPr>
          <w:noProof/>
        </w:rPr>
        <w:t>(</w:t>
      </w:r>
      <w:r>
        <w:t>period, full stop) as a separator between the partition number and the simple line number</w:t>
      </w:r>
    </w:p>
    <w:p>
      <w:pPr>
        <w:pStyle w:val="Lista3"/>
      </w:pPr>
      <w:r>
        <w:lastRenderedPageBreak/>
        <w:t xml:space="preserve">e.g. if your partitions are numbered A1, b1, etc., then your line numbers should be </w:t>
      </w:r>
      <w:r>
        <w:rPr>
          <w:rStyle w:val="Codevalue"/>
        </w:rPr>
        <w:t>"A1.1"</w:t>
      </w:r>
      <w:r>
        <w:t xml:space="preserve">, </w:t>
      </w:r>
      <w:r>
        <w:rPr>
          <w:rStyle w:val="Codevalue"/>
        </w:rPr>
        <w:t>"A1.2"</w:t>
      </w:r>
      <w:r>
        <w:t xml:space="preserve">, etc., and </w:t>
      </w:r>
      <w:r>
        <w:rPr>
          <w:rStyle w:val="Codevalue"/>
        </w:rPr>
        <w:t>"b1.1"</w:t>
      </w:r>
      <w:r>
        <w:t xml:space="preserve">, </w:t>
      </w:r>
      <w:r>
        <w:rPr>
          <w:rStyle w:val="Codevalue"/>
        </w:rPr>
        <w:t>"b1.2"</w:t>
      </w:r>
      <w:r>
        <w:t>, etc.</w:t>
      </w:r>
    </w:p>
    <w:p>
      <w:pPr>
        <w:pStyle w:val="Lista"/>
      </w:pPr>
      <w:r>
        <w:t>if your subcorpus follows the repetitive scheme, then it is recommended that for consistency’s sake you use complex line numbers even on copper plates with just a single inscribed page</w:t>
      </w:r>
    </w:p>
    <w:p>
      <w:pPr>
        <w:pStyle w:val="Lista"/>
      </w:pPr>
      <w:r>
        <w:t>also for consistency’s sake, if your subcorpus follows the repetitive scheme, then complex numbers should be preferred for numbering lines across boxlike partitions, even though the uniqueness of line numbers is only a requirement within each such partition</w:t>
      </w:r>
    </w:p>
    <w:p>
      <w:pPr>
        <w:pStyle w:val="Cmsor2"/>
      </w:pPr>
      <w:bookmarkStart w:id="253" w:name="_r2qg54jy8w2e" w:colFirst="0" w:colLast="0"/>
      <w:bookmarkStart w:id="254" w:name="_7n9w5r6yzssj" w:colFirst="0" w:colLast="0"/>
      <w:bookmarkStart w:id="255" w:name="_a0jia5gsgfab" w:colFirst="0" w:colLast="0"/>
      <w:bookmarkStart w:id="256" w:name="_dzwqp0ufpcn5" w:colFirst="0" w:colLast="0"/>
      <w:bookmarkStart w:id="257" w:name="_k0nurnm93lxl" w:colFirst="0" w:colLast="0"/>
      <w:bookmarkStart w:id="258" w:name="_8rycat4dh5yx" w:colFirst="0" w:colLast="0"/>
      <w:bookmarkStart w:id="259" w:name="_wf6bj4i4k83j" w:colFirst="0" w:colLast="0"/>
      <w:bookmarkStart w:id="260" w:name="_17dlwttgms9w" w:colFirst="0" w:colLast="0"/>
      <w:bookmarkStart w:id="261" w:name="_Ref43984651"/>
      <w:bookmarkEnd w:id="253"/>
      <w:bookmarkEnd w:id="254"/>
      <w:bookmarkEnd w:id="255"/>
      <w:bookmarkEnd w:id="256"/>
      <w:bookmarkEnd w:id="257"/>
      <w:bookmarkEnd w:id="258"/>
      <w:bookmarkEnd w:id="259"/>
      <w:bookmarkEnd w:id="260"/>
      <w:r>
        <w:t>Gridlike partitions</w:t>
      </w:r>
      <w:bookmarkEnd w:id="261"/>
    </w:p>
    <w:p>
      <w:bookmarkStart w:id="262" w:name="_8u6cxgxomq4n" w:colFirst="0" w:colLast="0"/>
      <w:bookmarkEnd w:id="262"/>
      <w:r>
        <w:t>Recall from §</w:t>
      </w:r>
      <w:r>
        <w:fldChar w:fldCharType="begin"/>
      </w:r>
      <w:r>
        <w:instrText xml:space="preserve"> REF _Ref182923075 \r \h </w:instrText>
      </w:r>
      <w:r>
        <w:fldChar w:fldCharType="separate"/>
      </w:r>
      <w:r>
        <w:t>4.1</w:t>
      </w:r>
      <w:r>
        <w:fldChar w:fldCharType="end"/>
      </w:r>
      <w:r>
        <w:t xml:space="preserve"> that a gridlike partition is what happens when each line of the text, having reached the end </w:t>
      </w:r>
      <w:r>
        <w:rPr>
          <w:noProof/>
        </w:rPr>
        <w:t>(</w:t>
      </w:r>
      <w:r>
        <w:t xml:space="preserve">normally the right edge) of a zone, continues at the beginning </w:t>
      </w:r>
      <w:r>
        <w:rPr>
          <w:noProof/>
        </w:rPr>
        <w:t>(</w:t>
      </w:r>
      <w:r>
        <w:t xml:space="preserve">normally the left edge) of the next zone, and returns to the first zone with the next line, as in </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/3. A patchwork of adjacent but physically distinct zones thus together comprise a single virtual text field. We call these partitions gridlike because each zone is analogous to a cell in the grid of a table. The extrinsic boundary is usually incidental and irrelevant to the text’s semantic structure, although it may coincide with a semantic break either inadvertently or by design. Since such a partition often occurs inside a unit of intrinsic structure, the encoding equivalent of a gridlike partition is a milestone element (</w:t>
      </w:r>
      <w:r>
        <w:fldChar w:fldCharType="begin"/>
      </w:r>
      <w:r>
        <w:instrText xml:space="preserve"> REF _Ref225327729 \r \h </w:instrText>
      </w:r>
      <w:r>
        <w:fldChar w:fldCharType="separate"/>
      </w:r>
      <w:r>
        <w:t>4.3</w:t>
      </w:r>
      <w:r>
        <w:fldChar w:fldCharType="end"/>
      </w:r>
      <w:r>
        <w:t xml:space="preserve">), namely </w:t>
      </w:r>
      <w:r>
        <w:rPr>
          <w:rStyle w:val="Code"/>
        </w:rPr>
        <w:t>&lt;milestone/&gt;</w:t>
      </w:r>
      <w:r>
        <w:t xml:space="preserve"> without </w:t>
      </w:r>
      <w:r>
        <w:rPr>
          <w:rStyle w:val="Codeattribute"/>
        </w:rPr>
        <w:t>@type</w:t>
      </w:r>
      <w:r>
        <w:t xml:space="preserve"> (§</w:t>
      </w:r>
      <w:r>
        <w:fldChar w:fldCharType="begin"/>
      </w:r>
      <w:r>
        <w:instrText xml:space="preserve"> REF _Ref182310382 \r \h </w:instrText>
      </w:r>
      <w:r>
        <w:fldChar w:fldCharType="separate"/>
      </w:r>
      <w:r>
        <w:t>4.6.1</w:t>
      </w:r>
      <w:r>
        <w:fldChar w:fldCharType="end"/>
      </w:r>
      <w:r>
        <w:t>).</w:t>
      </w:r>
    </w:p>
    <w:p>
      <w:pPr>
        <w:pStyle w:val="Normlbehzs"/>
      </w:pPr>
      <w:r>
        <w:t>The encoding of gridlike partitions is optional in DHARMA practice, with §</w:t>
      </w:r>
      <w:r>
        <w:fldChar w:fldCharType="begin"/>
      </w:r>
      <w:r>
        <w:instrText xml:space="preserve"> REF _Ref182322267 \r \h </w:instrText>
      </w:r>
      <w:r>
        <w:fldChar w:fldCharType="separate"/>
      </w:r>
      <w:r>
        <w:t>4.7.5</w:t>
      </w:r>
      <w:r>
        <w:fldChar w:fldCharType="end"/>
      </w:r>
      <w:r>
        <w:t xml:space="preserve"> describing when it is desirable. There is no technical limit to the number of different kinds of gridlike partitions that a document may contain, and it may in certain rare cases be expedient to encode more than one gridlike structure in a text, for example when the text is laid out by design in quasi-columns and a secondary grid has been superimposed on the inscription by fragmentation. It is therefore permitted to use gridlike milestones with two (or even more) different units within a single document (or textpart). It will not, however, be possible to create a machine-actionable reference to a section of text involving a combination of gridlike partitions, and keeping track of the grids will be difficult for the encoder and thus error-prone. Therefore, given that encoding gridlike partitions is optional to begin with, consider carefully whether encoding more than one grid in an edition is worth the complication.</w:t>
      </w:r>
    </w:p>
    <w:p>
      <w:pPr>
        <w:pStyle w:val="Cmsor3"/>
      </w:pPr>
      <w:bookmarkStart w:id="263" w:name="_mq9ex2gduvu8" w:colFirst="0" w:colLast="0"/>
      <w:bookmarkStart w:id="264" w:name="_rs0n67ntt3ye" w:colFirst="0" w:colLast="0"/>
      <w:bookmarkStart w:id="265" w:name="_Ref181694099"/>
      <w:bookmarkStart w:id="266" w:name="_Ref182310382"/>
      <w:bookmarkStart w:id="267" w:name="_Toc242976611"/>
      <w:bookmarkEnd w:id="263"/>
      <w:bookmarkEnd w:id="264"/>
      <w:r>
        <w:t>Marking up gridlike partitions</w:t>
      </w:r>
      <w:bookmarkEnd w:id="265"/>
      <w:bookmarkEnd w:id="266"/>
      <w:bookmarkEnd w:id="267"/>
    </w:p>
    <w:tbl>
      <w:tblPr>
        <w:tblStyle w:val="CodeSampleTable"/>
        <w:tblpPr w:leftFromText="180" w:rightFromText="180" w:vertAnchor="text" w:tblpXSpec="right" w:tblpY="1"/>
        <w:tblOverlap w:val="never"/>
        <w:tblW w:w="4536" w:type="dxa"/>
        <w:jc w:val="right"/>
        <w:tblLook w:val="04A0" w:firstRow="1" w:lastRow="0" w:firstColumn="1" w:lastColumn="0" w:noHBand="0" w:noVBand="1"/>
      </w:tblPr>
      <w:tblGrid>
        <w:gridCol w:w="4536"/>
      </w:tblGrid>
      <w:tr>
        <w:trPr>
          <w:cnfStyle w:val="100000000000" w:firstRow="1" w:lastRow="0" w:firstColumn="0" w:lastColumn="0" w:oddVBand="0" w:evenVBand="0" w:oddHBand="0" w:evenHBand="0" w:firstRowFirstColumn="0" w:firstRowLastColumn="0" w:lastRowFirstColumn="0" w:lastRowLastColumn="0"/>
          <w:jc w:val="right"/>
        </w:trPr>
        <w:tc>
          <w:tcPr>
            <w:tcW w:w="5000" w:type="pct"/>
          </w:tcPr>
          <w:p>
            <w:pPr>
              <w:pStyle w:val="Kpalrs"/>
              <w:keepLines/>
            </w:pPr>
            <w:bookmarkStart w:id="268" w:name="_Ref225495852"/>
            <w:r>
              <w:t xml:space="preserve">Exhibit </w:t>
            </w:r>
            <w:fldSimple w:instr=" STYLEREF 2 \s ">
              <w:r>
                <w:rPr>
                  <w:noProof/>
                </w:rPr>
                <w:t>4.6</w:t>
              </w:r>
            </w:fldSimple>
            <w:r>
              <w:t>.</w:t>
            </w:r>
            <w:fldSimple w:instr=" SEQ Exhibit \* ALPHABETIC \s 2 ">
              <w:r>
                <w:rPr>
                  <w:noProof/>
                </w:rPr>
                <w:t>A</w:t>
              </w:r>
            </w:fldSimple>
            <w:bookmarkEnd w:id="268"/>
            <w:r>
              <w:t>: generic encoding for gridlike partitions</w:t>
            </w:r>
          </w:p>
        </w:tc>
      </w:tr>
      <w:tr>
        <w:trPr>
          <w:jc w:val="right"/>
        </w:trPr>
        <w:tc>
          <w:tcPr>
            <w:tcW w:w="5000" w:type="pct"/>
          </w:tcPr>
          <w:p>
            <w:pPr>
              <w:pStyle w:val="Image"/>
            </w:pPr>
            <w:r>
              <w:drawing>
                <wp:inline distT="0" distB="0" distL="0" distR="0">
                  <wp:extent cx="2700000" cy="741490"/>
                  <wp:effectExtent l="0" t="0" r="5715" b="1905"/>
                  <wp:docPr id="263807111"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07111" name="image27.png"/>
                          <pic:cNvPicPr/>
                        </pic:nvPicPr>
                        <pic:blipFill>
                          <a:blip r:embed="rId20"/>
                          <a:stretch>
                            <a:fillRect/>
                          </a:stretch>
                        </pic:blipFill>
                        <pic:spPr>
                          <a:xfrm>
                            <a:off x="0" y="0"/>
                            <a:ext cx="2700000" cy="741490"/>
                          </a:xfrm>
                          <a:prstGeom prst="rect">
                            <a:avLst/>
                          </a:prstGeom>
                          <a:ln/>
                        </pic:spPr>
                      </pic:pic>
                    </a:graphicData>
                  </a:graphic>
                </wp:inline>
              </w:drawing>
            </w:r>
          </w:p>
        </w:tc>
      </w:tr>
      <w:tr>
        <w:trPr>
          <w:jc w:val="right"/>
        </w:trPr>
        <w:tc>
          <w:tcPr>
            <w:tcW w:w="5000" w:type="pct"/>
          </w:tcPr>
          <w:p>
            <w:pPr>
              <w:pStyle w:val="CodeParagraph"/>
              <w:rPr>
                <w:rFonts w:ascii="Consolas" w:hAnsi="Consolas" w:cs="Consolas"/>
                <w:noProof/>
                <w:color w:val="002060"/>
                <w:shd w:val="clear" w:color="auto" w:fill="F2F2F2" w:themeFill="background1" w:themeFillShade="F2"/>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the ground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there lived 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nasty, dirty, wet hole, fil</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 xml:space="preserve">"b" </w:t>
            </w:r>
            <w:r>
              <w:rPr>
                <w:rStyle w:val="Codeattribute"/>
              </w:rPr>
              <w:t>break</w:t>
            </w:r>
            <w:r>
              <w:rPr>
                <w:rStyle w:val="Code"/>
              </w:rPr>
              <w:t>=</w:t>
            </w:r>
            <w:r>
              <w:rPr>
                <w:rStyle w:val="Codevalue"/>
              </w:rPr>
              <w:t>"no"</w:t>
            </w:r>
            <w:r>
              <w:rPr>
                <w:rStyle w:val="Code"/>
              </w:rPr>
              <w:t>/&gt;</w:t>
            </w:r>
            <w:r>
              <w:rPr>
                <w:rStyle w:val="Codetext"/>
              </w:rPr>
              <w:t>led with the ends of worms</w:t>
            </w:r>
            <w:r>
              <w:rPr>
                <w:rStyle w:val="Codetext"/>
              </w:rPr>
              <w:br/>
              <w:t xml:space="preserve">  ...</w:t>
            </w:r>
            <w:r>
              <w:rPr>
                <w:rStyle w:val="Codetext"/>
              </w:rPr>
              <w:br/>
            </w:r>
            <w:r>
              <w:rPr>
                <w:rStyle w:val="Code"/>
              </w:rPr>
              <w:t>&lt;/p&gt;</w:t>
            </w:r>
          </w:p>
        </w:tc>
      </w:tr>
      <w:tr>
        <w:trPr>
          <w:jc w:val="right"/>
        </w:trPr>
        <w:tc>
          <w:tcPr>
            <w:tcW w:w="5000" w:type="pct"/>
          </w:tcPr>
          <w:p>
            <w:pPr>
              <w:pStyle w:val="TableNote"/>
              <w:rPr>
                <w:rStyle w:val="Code"/>
              </w:rPr>
            </w:pPr>
            <w:r>
              <w:t xml:space="preserve">complete encoded illustration: </w:t>
            </w:r>
            <w:r>
              <w:fldChar w:fldCharType="begin"/>
            </w:r>
            <w:r>
              <w:instrText xml:space="preserve"> REF _Ref44078533 \h </w:instrText>
            </w:r>
            <w:r>
              <w:fldChar w:fldCharType="separate"/>
            </w:r>
            <w:r>
              <w:t xml:space="preserve">Exhibit </w:t>
            </w:r>
            <w:r>
              <w:rPr>
                <w:noProof/>
              </w:rPr>
              <w:t>4.7</w:t>
            </w:r>
            <w:r>
              <w:t>.</w:t>
            </w:r>
            <w:r>
              <w:rPr>
                <w:noProof/>
              </w:rPr>
              <w:t>O</w:t>
            </w:r>
            <w:r>
              <w:fldChar w:fldCharType="end"/>
            </w:r>
          </w:p>
        </w:tc>
      </w:tr>
    </w:tbl>
    <w:p>
      <w:pPr>
        <w:pStyle w:val="Lista"/>
      </w:pPr>
      <w:r>
        <w:t xml:space="preserve">gridlike partitions may be encoded with the element </w:t>
      </w:r>
      <w:r>
        <w:rPr>
          <w:rStyle w:val="Code"/>
        </w:rPr>
        <w:t>&lt;milestone/&gt;</w:t>
      </w:r>
      <w:r>
        <w:t xml:space="preserve">  as in </w:t>
      </w:r>
      <w:r>
        <w:fldChar w:fldCharType="begin"/>
      </w:r>
      <w:r>
        <w:instrText xml:space="preserve"> REF _Ref225495852 \h </w:instrText>
      </w:r>
      <w:r>
        <w:fldChar w:fldCharType="separate"/>
      </w:r>
      <w:r>
        <w:t xml:space="preserve">Exhibit </w:t>
      </w:r>
      <w:r>
        <w:rPr>
          <w:noProof/>
        </w:rPr>
        <w:t>4.6</w:t>
      </w:r>
      <w:r>
        <w:t>.</w:t>
      </w:r>
      <w:r>
        <w:rPr>
          <w:noProof/>
        </w:rPr>
        <w:t>A</w:t>
      </w:r>
      <w:r>
        <w:fldChar w:fldCharType="end"/>
      </w:r>
      <w:r>
        <w:t>, with the following attributes</w:t>
      </w:r>
    </w:p>
    <w:p>
      <w:pPr>
        <w:pStyle w:val="Lista2"/>
      </w:pPr>
      <w:r>
        <w:rPr>
          <w:rStyle w:val="Codeattribute"/>
        </w:rPr>
        <w:t>@type=</w:t>
      </w:r>
      <w:r>
        <w:rPr>
          <w:rStyle w:val="Codevalue"/>
        </w:rPr>
        <w:t>"gridlike"</w:t>
      </w:r>
      <w:r>
        <w:t xml:space="preserve"> is understood by default in the DHARMA scheme, so </w:t>
      </w:r>
      <w:r>
        <w:rPr>
          <w:rStyle w:val="Codeattribute"/>
        </w:rPr>
        <w:t>@type</w:t>
      </w:r>
      <w:r>
        <w:t xml:space="preserve"> need not be explicitly present</w:t>
      </w:r>
    </w:p>
    <w:p>
      <w:pPr>
        <w:pStyle w:val="Lista2"/>
      </w:pPr>
      <w:bookmarkStart w:id="269" w:name="_444cwmslg3uo" w:colFirst="0" w:colLast="0"/>
      <w:bookmarkStart w:id="270" w:name="_Ref63674302"/>
      <w:bookmarkEnd w:id="269"/>
      <w:r>
        <w:t xml:space="preserve">mandatorily, </w:t>
      </w:r>
      <w:r>
        <w:rPr>
          <w:rStyle w:val="Codeattribute"/>
        </w:rPr>
        <w:t>@unit</w:t>
      </w:r>
      <w:r>
        <w:t xml:space="preserve"> to encode the nature of the transition explicitly as per §</w:t>
      </w:r>
      <w:r>
        <w:fldChar w:fldCharType="begin"/>
      </w:r>
      <w:r>
        <w:instrText xml:space="preserve"> REF _Ref182815315 \r \h </w:instrText>
      </w:r>
      <w:r>
        <w:fldChar w:fldCharType="separate"/>
      </w:r>
      <w:r>
        <w:t>4.3.1</w:t>
      </w:r>
      <w:r>
        <w:fldChar w:fldCharType="end"/>
      </w:r>
    </w:p>
    <w:p>
      <w:pPr>
        <w:pStyle w:val="Lista2"/>
      </w:pPr>
      <w:r>
        <w:t xml:space="preserve">mandatorily, </w:t>
      </w:r>
      <w:r>
        <w:rPr>
          <w:rStyle w:val="Codeattribute"/>
        </w:rPr>
        <w:t>@n</w:t>
      </w:r>
      <w:r>
        <w:t xml:space="preserve"> as per §</w:t>
      </w:r>
      <w:r>
        <w:fldChar w:fldCharType="begin"/>
      </w:r>
      <w:r>
        <w:instrText xml:space="preserve"> REF _Ref182580407 \r \h </w:instrText>
      </w:r>
      <w:r>
        <w:fldChar w:fldCharType="separate"/>
      </w:r>
      <w:r>
        <w:t>4.6.1.1</w:t>
      </w:r>
      <w:r>
        <w:fldChar w:fldCharType="end"/>
      </w:r>
    </w:p>
    <w:p>
      <w:pPr>
        <w:pStyle w:val="Lista2"/>
      </w:pPr>
      <w:r>
        <w:t xml:space="preserve">as applicable, </w:t>
      </w:r>
      <w:r>
        <w:rPr>
          <w:rStyle w:val="Codeattribute"/>
        </w:rPr>
        <w:t>@break</w:t>
      </w:r>
      <w:r>
        <w:t xml:space="preserve"> for partitions interrupting words as per §</w:t>
      </w:r>
      <w:r>
        <w:fldChar w:fldCharType="begin"/>
      </w:r>
      <w:r>
        <w:instrText xml:space="preserve"> REF _Ref225519777 \r \h </w:instrText>
      </w:r>
      <w:r>
        <w:fldChar w:fldCharType="separate"/>
      </w:r>
      <w:r>
        <w:t>4.3.2.1</w:t>
      </w:r>
      <w:r>
        <w:fldChar w:fldCharType="end"/>
      </w:r>
    </w:p>
    <w:p>
      <w:pPr>
        <w:pStyle w:val="Lista"/>
      </w:pPr>
      <w:r>
        <w:rPr>
          <w:rStyle w:val="Code"/>
        </w:rPr>
        <w:t>&lt;milestone/&gt;</w:t>
      </w:r>
      <w:r>
        <w:t xml:space="preserve"> marks zone beginnings (rather than transitions) and thus, when gridlike zones are present in a document, the element must be created at the start of each such zone including the first</w:t>
      </w:r>
    </w:p>
    <w:p>
      <w:pPr>
        <w:pStyle w:val="Lista"/>
      </w:pPr>
      <w:r>
        <w:t>since gridlike zones cut across lines, the milestones for each zone must be iterated in every line of the text that is affected by the gridlike partition</w:t>
      </w:r>
    </w:p>
    <w:p>
      <w:pPr>
        <w:pStyle w:val="Lista"/>
      </w:pPr>
      <w:r>
        <w:t xml:space="preserve">gridlike features may occasionally split an </w:t>
      </w:r>
      <w:r>
        <w:rPr>
          <w:rStyle w:val="Foreign"/>
        </w:rPr>
        <w:t>akṣara</w:t>
      </w:r>
      <w:r>
        <w:t xml:space="preserve"> into parts that cannot be represented separately in transliteration; see §</w:t>
      </w:r>
      <w:r>
        <w:fldChar w:fldCharType="begin"/>
      </w:r>
      <w:r>
        <w:instrText xml:space="preserve"> REF _Ref182813737 \r \h </w:instrText>
      </w:r>
      <w:r>
        <w:fldChar w:fldCharType="separate"/>
      </w:r>
      <w:r>
        <w:t>4.7.6.1</w:t>
      </w:r>
      <w:r>
        <w:fldChar w:fldCharType="end"/>
      </w:r>
      <w:r>
        <w:t xml:space="preserve"> about encoding such cases</w:t>
      </w:r>
    </w:p>
    <w:p>
      <w:pPr>
        <w:pStyle w:val="Lista"/>
      </w:pPr>
      <w:r>
        <w:t>see §</w:t>
      </w:r>
      <w:r>
        <w:fldChar w:fldCharType="begin"/>
      </w:r>
      <w:r>
        <w:instrText xml:space="preserve"> REF _Ref182322267 \r \h </w:instrText>
      </w:r>
      <w:r>
        <w:fldChar w:fldCharType="separate"/>
      </w:r>
      <w:r>
        <w:t>4.7.5</w:t>
      </w:r>
      <w:r>
        <w:fldChar w:fldCharType="end"/>
      </w:r>
      <w:r>
        <w:t xml:space="preserve"> for further discussion of when gridlike partitions should be used</w:t>
      </w:r>
    </w:p>
    <w:p>
      <w:pPr>
        <w:pStyle w:val="Cmsor4"/>
      </w:pPr>
      <w:bookmarkStart w:id="271" w:name="_Ref182321707"/>
      <w:bookmarkStart w:id="272" w:name="_Ref182322544"/>
      <w:bookmarkStart w:id="273" w:name="_Ref182580407"/>
      <w:bookmarkStart w:id="274" w:name="_Ref182580433"/>
      <w:bookmarkEnd w:id="270"/>
      <w:r>
        <w:lastRenderedPageBreak/>
        <w:t>Numbering gridlike milestones</w:t>
      </w:r>
      <w:bookmarkEnd w:id="271"/>
      <w:bookmarkEnd w:id="272"/>
      <w:bookmarkEnd w:id="273"/>
      <w:bookmarkEnd w:id="274"/>
    </w:p>
    <w:p>
      <w:r>
        <w:t xml:space="preserve">Milestones are numbered for reference. When an XML edition is rendered for display, labels for gridlike milestones will be automatically generated from the encoded number. Unlike pagelike milestones, the </w:t>
      </w:r>
      <w:r>
        <w:rPr>
          <w:rStyle w:val="Code"/>
        </w:rPr>
        <w:t>&lt;label&gt;</w:t>
      </w:r>
      <w:r>
        <w:t xml:space="preserve"> element (§</w:t>
      </w:r>
      <w:r>
        <w:fldChar w:fldCharType="begin"/>
      </w:r>
      <w:r>
        <w:instrText xml:space="preserve"> REF _Ref182299869 \r \h </w:instrText>
      </w:r>
      <w:r>
        <w:fldChar w:fldCharType="separate"/>
      </w:r>
      <w:r>
        <w:t>4.4.3.2</w:t>
      </w:r>
      <w:r>
        <w:fldChar w:fldCharType="end"/>
      </w:r>
      <w:r>
        <w:t>) is not permitted in conjunction with these milestones.</w:t>
      </w:r>
    </w:p>
    <w:p>
      <w:pPr>
        <w:pStyle w:val="Lista"/>
      </w:pPr>
      <w:r>
        <w:t>gridlike milestones are mandatorily numbered in DHARMA editions</w:t>
      </w:r>
    </w:p>
    <w:p>
      <w:pPr>
        <w:pStyle w:val="Lista"/>
      </w:pPr>
      <w:r>
        <w:t xml:space="preserve">the values of </w:t>
      </w:r>
      <w:r>
        <w:rPr>
          <w:rStyle w:val="Codeattribute"/>
        </w:rPr>
        <w:t>@n</w:t>
      </w:r>
      <w:r>
        <w:t xml:space="preserve"> recommended for the identification of gridlike partitions are lowercase Latin letters beginning with “a”</w:t>
      </w:r>
    </w:p>
    <w:p>
      <w:pPr>
        <w:pStyle w:val="Lista2"/>
      </w:pPr>
      <w:r>
        <w:t>nonetheless, any numeration scheme may be used depending on your preference, the conventions of your specific field, and the idiosyncratic nature of the grid you are encoding</w:t>
      </w:r>
    </w:p>
    <w:p>
      <w:pPr>
        <w:pStyle w:val="Lista3"/>
      </w:pPr>
      <w:r>
        <w:t>in particular, feel free to use lowercase letters alternating with uppercase ones to denote major/frontal and minor/lateral faces of a three-dimensional object such as a Southeast Asian stele, e.g. A, b, C and d</w:t>
      </w:r>
    </w:p>
    <w:p>
      <w:pPr>
        <w:pStyle w:val="Lista"/>
      </w:pPr>
      <w:r>
        <w:t>the number referring to every zone of the grid must be unique</w:t>
      </w:r>
    </w:p>
    <w:p>
      <w:pPr>
        <w:pStyle w:val="Lista2"/>
      </w:pPr>
      <w:r>
        <w:t xml:space="preserve">since gridlike milestones with a given combination of </w:t>
      </w:r>
      <w:r>
        <w:rPr>
          <w:rStyle w:val="Codeattribute"/>
        </w:rPr>
        <w:t>@unit</w:t>
      </w:r>
      <w:r>
        <w:t xml:space="preserve"> and </w:t>
      </w:r>
      <w:r>
        <w:rPr>
          <w:rStyle w:val="Codeattribute"/>
        </w:rPr>
        <w:t>@n</w:t>
      </w:r>
      <w:r>
        <w:t xml:space="preserve"> will normally be iterated several times in a document (namely once in every line that crosses the zone to which that combination pertains), in complicated cases feel free, at your discretion, to assign a unique number to each cell of the grid</w:t>
      </w:r>
    </w:p>
    <w:p>
      <w:pPr>
        <w:pStyle w:val="Lista2"/>
      </w:pPr>
      <w:r>
        <w:t xml:space="preserve">should you need to encode gridlike milestones with two or more different units within a single document </w:t>
      </w:r>
      <w:r>
        <w:rPr>
          <w:noProof/>
        </w:rPr>
        <w:t>(</w:t>
      </w:r>
      <w:r>
        <w:t xml:space="preserve">e.g. </w:t>
      </w:r>
      <w:r>
        <w:rPr>
          <w:rStyle w:val="Codevalue"/>
        </w:rPr>
        <w:t>"column"</w:t>
      </w:r>
      <w:r>
        <w:t xml:space="preserve"> alternating with </w:t>
      </w:r>
      <w:r>
        <w:rPr>
          <w:rStyle w:val="Codevalue"/>
        </w:rPr>
        <w:t>"fragment"</w:t>
      </w:r>
      <w:r>
        <w:t xml:space="preserve"> to encode an inscription on whose original gridlike layout a secondary gridlike layout was superimposed by fragmentation), it is recommended that you use a different numeration scheme for the two</w:t>
      </w:r>
    </w:p>
    <w:p>
      <w:pPr>
        <w:pStyle w:val="Cmsor2"/>
      </w:pPr>
      <w:bookmarkStart w:id="275" w:name="_kqgib25um4gs" w:colFirst="0" w:colLast="0"/>
      <w:bookmarkStart w:id="276" w:name="_toz4tvrpqg6p" w:colFirst="0" w:colLast="0"/>
      <w:bookmarkStart w:id="277" w:name="_varsapous7ty" w:colFirst="0" w:colLast="0"/>
      <w:bookmarkStart w:id="278" w:name="_4iehglajtm57" w:colFirst="0" w:colLast="0"/>
      <w:bookmarkStart w:id="279" w:name="_Ref225242905"/>
      <w:bookmarkStart w:id="280" w:name="_Ref225350898"/>
      <w:bookmarkEnd w:id="275"/>
      <w:bookmarkEnd w:id="276"/>
      <w:bookmarkEnd w:id="277"/>
      <w:bookmarkEnd w:id="278"/>
      <w:r>
        <w:t xml:space="preserve">Dealing with the realities of extrinsic </w:t>
      </w:r>
      <w:bookmarkStart w:id="281" w:name="_Ref43990458"/>
      <w:bookmarkEnd w:id="279"/>
      <w:bookmarkEnd w:id="280"/>
      <w:r>
        <w:t>structure</w:t>
      </w:r>
    </w:p>
    <w:p>
      <w:pPr>
        <w:rPr>
          <w:lang w:eastAsia="en-US" w:bidi="ar-SA"/>
        </w:rPr>
      </w:pPr>
      <w:r>
        <w:rPr>
          <w:lang w:eastAsia="en-US" w:bidi="ar-SA"/>
        </w:rPr>
        <w:t>As already noted (§</w:t>
      </w:r>
      <w:r>
        <w:rPr>
          <w:lang w:eastAsia="en-US" w:bidi="ar-SA"/>
        </w:rPr>
        <w:fldChar w:fldCharType="begin"/>
      </w:r>
      <w:r>
        <w:rPr>
          <w:lang w:eastAsia="en-US" w:bidi="ar-SA"/>
        </w:rPr>
        <w:instrText xml:space="preserve"> REF _Ref182923075 \r \h </w:instrText>
      </w:r>
      <w:r>
        <w:rPr>
          <w:lang w:eastAsia="en-US" w:bidi="ar-SA"/>
        </w:rPr>
      </w:r>
      <w:r>
        <w:rPr>
          <w:lang w:eastAsia="en-US" w:bidi="ar-SA"/>
        </w:rPr>
        <w:fldChar w:fldCharType="separate"/>
      </w:r>
      <w:r>
        <w:rPr>
          <w:lang w:eastAsia="en-US" w:bidi="ar-SA"/>
        </w:rPr>
        <w:t>4.1</w:t>
      </w:r>
      <w:r>
        <w:rPr>
          <w:lang w:eastAsia="en-US" w:bidi="ar-SA"/>
        </w:rPr>
        <w:fldChar w:fldCharType="end"/>
      </w:r>
      <w:r>
        <w:rPr>
          <w:lang w:eastAsia="en-US" w:bidi="ar-SA"/>
        </w:rPr>
        <w:t xml:space="preserve">), in DHARMA editions we deliberately keep the complexity of encoding within reasonable limits. In this section we discuss cases where </w:t>
      </w:r>
      <w:r>
        <w:t>the primary field of an inscription (or, as the case may be, a partition of a multipage inscription) is accompanied by one or more supplementary zones (§</w:t>
      </w:r>
      <w:r>
        <w:fldChar w:fldCharType="begin"/>
      </w:r>
      <w:r>
        <w:instrText xml:space="preserve"> REF _Ref225779703 \r \h </w:instrText>
      </w:r>
      <w:r>
        <w:fldChar w:fldCharType="separate"/>
      </w:r>
      <w:r>
        <w:t>4.7.1</w:t>
      </w:r>
      <w:r>
        <w:fldChar w:fldCharType="end"/>
      </w:r>
      <w:r>
        <w:t>) or by page or folio numeration marks (§</w:t>
      </w:r>
      <w:r>
        <w:fldChar w:fldCharType="begin"/>
      </w:r>
      <w:r>
        <w:instrText xml:space="preserve"> REF _Ref43984607 \r \h </w:instrText>
      </w:r>
      <w:r>
        <w:fldChar w:fldCharType="separate"/>
      </w:r>
      <w:r>
        <w:t>4.7.2</w:t>
      </w:r>
      <w:r>
        <w:fldChar w:fldCharType="end"/>
      </w:r>
      <w:r>
        <w:t xml:space="preserve">). We also </w:t>
      </w:r>
      <w:r>
        <w:rPr>
          <w:lang w:eastAsia="en-US" w:bidi="ar-SA"/>
        </w:rPr>
        <w:t>examine situations that are best encoded with boxlike (§</w:t>
      </w:r>
      <w:r>
        <w:rPr>
          <w:lang w:eastAsia="en-US" w:bidi="ar-SA"/>
        </w:rPr>
        <w:fldChar w:fldCharType="begin"/>
      </w:r>
      <w:r>
        <w:rPr>
          <w:lang w:eastAsia="en-US" w:bidi="ar-SA"/>
        </w:rPr>
        <w:instrText xml:space="preserve"> REF _Ref225759775 \r \h </w:instrText>
      </w:r>
      <w:r>
        <w:rPr>
          <w:lang w:eastAsia="en-US" w:bidi="ar-SA"/>
        </w:rPr>
      </w:r>
      <w:r>
        <w:rPr>
          <w:lang w:eastAsia="en-US" w:bidi="ar-SA"/>
        </w:rPr>
        <w:fldChar w:fldCharType="separate"/>
      </w:r>
      <w:r>
        <w:rPr>
          <w:lang w:eastAsia="en-US" w:bidi="ar-SA"/>
        </w:rPr>
        <w:t>4.7.3</w:t>
      </w:r>
      <w:r>
        <w:rPr>
          <w:lang w:eastAsia="en-US" w:bidi="ar-SA"/>
        </w:rPr>
        <w:fldChar w:fldCharType="end"/>
      </w:r>
      <w:r>
        <w:rPr>
          <w:lang w:eastAsia="en-US" w:bidi="ar-SA"/>
        </w:rPr>
        <w:t>), pagelike (§</w:t>
      </w:r>
      <w:r>
        <w:rPr>
          <w:lang w:eastAsia="en-US" w:bidi="ar-SA"/>
        </w:rPr>
        <w:fldChar w:fldCharType="begin"/>
      </w:r>
      <w:r>
        <w:rPr>
          <w:lang w:eastAsia="en-US" w:bidi="ar-SA"/>
        </w:rPr>
        <w:instrText xml:space="preserve"> REF _Ref225759789 \r \h </w:instrText>
      </w:r>
      <w:r>
        <w:rPr>
          <w:lang w:eastAsia="en-US" w:bidi="ar-SA"/>
        </w:rPr>
      </w:r>
      <w:r>
        <w:rPr>
          <w:lang w:eastAsia="en-US" w:bidi="ar-SA"/>
        </w:rPr>
        <w:fldChar w:fldCharType="separate"/>
      </w:r>
      <w:r>
        <w:rPr>
          <w:lang w:eastAsia="en-US" w:bidi="ar-SA"/>
        </w:rPr>
        <w:t>4.7.4</w:t>
      </w:r>
      <w:r>
        <w:rPr>
          <w:lang w:eastAsia="en-US" w:bidi="ar-SA"/>
        </w:rPr>
        <w:fldChar w:fldCharType="end"/>
      </w:r>
      <w:r>
        <w:rPr>
          <w:lang w:eastAsia="en-US" w:bidi="ar-SA"/>
        </w:rPr>
        <w:t>) and gridlike (§</w:t>
      </w:r>
      <w:r>
        <w:rPr>
          <w:lang w:eastAsia="en-US" w:bidi="ar-SA"/>
        </w:rPr>
        <w:fldChar w:fldCharType="begin"/>
      </w:r>
      <w:r>
        <w:rPr>
          <w:lang w:eastAsia="en-US" w:bidi="ar-SA"/>
        </w:rPr>
        <w:instrText xml:space="preserve"> REF _Ref225759805 \r \h </w:instrText>
      </w:r>
      <w:r>
        <w:rPr>
          <w:lang w:eastAsia="en-US" w:bidi="ar-SA"/>
        </w:rPr>
      </w:r>
      <w:r>
        <w:rPr>
          <w:lang w:eastAsia="en-US" w:bidi="ar-SA"/>
        </w:rPr>
        <w:fldChar w:fldCharType="separate"/>
      </w:r>
      <w:r>
        <w:rPr>
          <w:lang w:eastAsia="en-US" w:bidi="ar-SA"/>
        </w:rPr>
        <w:t>4.7.5</w:t>
      </w:r>
      <w:r>
        <w:rPr>
          <w:lang w:eastAsia="en-US" w:bidi="ar-SA"/>
        </w:rPr>
        <w:fldChar w:fldCharType="end"/>
      </w:r>
      <w:r>
        <w:rPr>
          <w:lang w:eastAsia="en-US" w:bidi="ar-SA"/>
        </w:rPr>
        <w:t>) partitions, and discuss some realistic cases with a less-than-neat extrinsic structure, resulting most commonly from fragmentation (§</w:t>
      </w:r>
      <w:r>
        <w:rPr>
          <w:lang w:eastAsia="en-US" w:bidi="ar-SA"/>
        </w:rPr>
        <w:fldChar w:fldCharType="begin"/>
      </w:r>
      <w:r>
        <w:rPr>
          <w:lang w:eastAsia="en-US" w:bidi="ar-SA"/>
        </w:rPr>
        <w:instrText xml:space="preserve"> REF _Ref225759925 \r \h </w:instrText>
      </w:r>
      <w:r>
        <w:rPr>
          <w:lang w:eastAsia="en-US" w:bidi="ar-SA"/>
        </w:rPr>
      </w:r>
      <w:r>
        <w:rPr>
          <w:lang w:eastAsia="en-US" w:bidi="ar-SA"/>
        </w:rPr>
        <w:fldChar w:fldCharType="separate"/>
      </w:r>
      <w:r>
        <w:rPr>
          <w:lang w:eastAsia="en-US" w:bidi="ar-SA"/>
        </w:rPr>
        <w:t>4.7.6</w:t>
      </w:r>
      <w:r>
        <w:rPr>
          <w:lang w:eastAsia="en-US" w:bidi="ar-SA"/>
        </w:rPr>
        <w:fldChar w:fldCharType="end"/>
      </w:r>
      <w:r>
        <w:rPr>
          <w:lang w:eastAsia="en-US" w:bidi="ar-SA"/>
        </w:rPr>
        <w:t>).</w:t>
      </w:r>
    </w:p>
    <w:p>
      <w:pPr>
        <w:pStyle w:val="Cmsor3"/>
      </w:pPr>
      <w:bookmarkStart w:id="282" w:name="_Ref225779703"/>
      <w:bookmarkStart w:id="283" w:name="_Toc242976612"/>
      <w:r>
        <w:t>Peripheral inscribed zones</w:t>
      </w:r>
      <w:bookmarkEnd w:id="282"/>
      <w:bookmarkEnd w:id="283"/>
    </w:p>
    <w:p>
      <w:r>
        <w:t>Smaller inscribed zones supplementing a primary inscribed field and containing, for instance, an auspicious invocation, word or symbol, are generally handled simply through the encoding of lines as explained in §</w:t>
      </w:r>
      <w:r>
        <w:fldChar w:fldCharType="begin"/>
      </w:r>
      <w:r>
        <w:instrText xml:space="preserve"> REF _Ref43978135 \r \h </w:instrText>
      </w:r>
      <w:r>
        <w:fldChar w:fldCharType="separate"/>
      </w:r>
      <w:r>
        <w:t>4.7.1.1</w:t>
      </w:r>
      <w:r>
        <w:fldChar w:fldCharType="end"/>
      </w:r>
      <w:r>
        <w:t xml:space="preserve"> and §</w:t>
      </w:r>
      <w:r>
        <w:fldChar w:fldCharType="begin"/>
      </w:r>
      <w:r>
        <w:instrText xml:space="preserve"> REF _Ref182233273 \r \h </w:instrText>
      </w:r>
      <w:r>
        <w:fldChar w:fldCharType="separate"/>
      </w:r>
      <w:r>
        <w:t>4.7.1.2</w:t>
      </w:r>
      <w:r>
        <w:fldChar w:fldCharType="end"/>
      </w:r>
      <w:r>
        <w:t>.</w:t>
      </w:r>
    </w:p>
    <w:p>
      <w:pPr>
        <w:pStyle w:val="Normlbehzs"/>
      </w:pPr>
      <w:r>
        <w:t xml:space="preserve">In the Western epigraphic and codicological tradition, opening symbols, words, phrases or stanzas in a document are called </w:t>
      </w:r>
      <w:r>
        <w:rPr>
          <w:rStyle w:val="Foreign"/>
        </w:rPr>
        <w:t>incipit</w:t>
      </w:r>
      <w:r>
        <w:t xml:space="preserve">. Concluding passages and symbols are called </w:t>
      </w:r>
      <w:r>
        <w:rPr>
          <w:rStyle w:val="Foreign"/>
        </w:rPr>
        <w:t>explicit</w:t>
      </w:r>
      <w:r>
        <w:t xml:space="preserve"> or, when recording details about the creation of the document, </w:t>
      </w:r>
      <w:r>
        <w:rPr>
          <w:i/>
          <w:iCs/>
        </w:rPr>
        <w:t>colophon</w:t>
      </w:r>
      <w:r>
        <w:t>. The last lines of inscriptions can also be visually separated from the rest of the principal inscribed field for physical rather than semantic considerations, such as when the engraver had simply run out of space and wrote the last line</w:t>
      </w:r>
      <w:r>
        <w:rPr>
          <w:noProof/>
        </w:rPr>
        <w:t>(</w:t>
      </w:r>
      <w:r>
        <w:t>s) in a margin or interpolated it between the regular lines.</w:t>
      </w:r>
    </w:p>
    <w:p>
      <w:pPr>
        <w:pStyle w:val="Normlbehzs"/>
      </w:pPr>
      <w:r>
        <w:t xml:space="preserve">In DHARMA editions, neither incipits nor explicits (including colophons) are distinguished in the encoding. If they are semantically autonomous, then they are wrapped, like any other portion of the text, in one or more </w:t>
      </w:r>
      <w:r>
        <w:rPr>
          <w:rStyle w:val="Code"/>
        </w:rPr>
        <w:t>&lt;ab&gt;</w:t>
      </w:r>
      <w:r>
        <w:t xml:space="preserve">, </w:t>
      </w:r>
      <w:r>
        <w:rPr>
          <w:rStyle w:val="Code"/>
        </w:rPr>
        <w:t>&lt;p&gt;</w:t>
      </w:r>
      <w:r>
        <w:t xml:space="preserve"> or </w:t>
      </w:r>
      <w:r>
        <w:rPr>
          <w:rStyle w:val="Code"/>
        </w:rPr>
        <w:t>&lt;lg&gt;</w:t>
      </w:r>
      <w:r>
        <w:t xml:space="preserve"> elements as applicable </w:t>
      </w:r>
      <w:r>
        <w:rPr>
          <w:noProof/>
        </w:rPr>
        <w:t>(</w:t>
      </w:r>
      <w:r>
        <w:t>§</w:t>
      </w:r>
      <w:r>
        <w:fldChar w:fldCharType="begin"/>
      </w:r>
      <w:r>
        <w:instrText xml:space="preserve"> REF _Ref43978632 \w \h  \* MERGEFORMAT </w:instrText>
      </w:r>
      <w:r>
        <w:fldChar w:fldCharType="separate"/>
      </w:r>
      <w:r>
        <w:t>3</w:t>
      </w:r>
      <w:r>
        <w:fldChar w:fldCharType="end"/>
      </w:r>
      <w:r>
        <w:t>). If they are visually offset from the main text, we still prefer not to encode them as partitions in extrinsic structure. Recall that epigraphic lines may appear in any visual arrangement (§</w:t>
      </w:r>
      <w:r>
        <w:fldChar w:fldCharType="begin"/>
      </w:r>
      <w:r>
        <w:instrText xml:space="preserve"> REF _Ref224720139 \r \h </w:instrText>
      </w:r>
      <w:r>
        <w:fldChar w:fldCharType="separate"/>
      </w:r>
      <w:r>
        <w:t>4.5</w:t>
      </w:r>
      <w:r>
        <w:fldChar w:fldCharType="end"/>
      </w:r>
      <w:r>
        <w:t xml:space="preserve">), so if one line or a small number of lines is visually offset, it or they do not necessarily have to be conceptualised as a separate zone. Therefore, opening and closing lines are encoded just like any other line, as in </w:t>
      </w:r>
      <w:r>
        <w:fldChar w:fldCharType="begin"/>
      </w:r>
      <w:r>
        <w:instrText xml:space="preserve"> REF _Ref225762334 \h </w:instrText>
      </w:r>
      <w:r>
        <w:fldChar w:fldCharType="separate"/>
      </w:r>
      <w:r>
        <w:t xml:space="preserve">Exhibit </w:t>
      </w:r>
      <w:r>
        <w:rPr>
          <w:noProof/>
        </w:rPr>
        <w:t>4.7</w:t>
      </w:r>
      <w:r>
        <w:t>.</w:t>
      </w:r>
      <w:r>
        <w:rPr>
          <w:noProof/>
        </w:rPr>
        <w:t>A</w:t>
      </w:r>
      <w:r>
        <w:fldChar w:fldCharType="end"/>
      </w:r>
      <w:r>
        <w:t>. The fact that they are spatially offset from the principal body can be annotated, while specially aligned lines may be optionally encoded as per §</w:t>
      </w:r>
      <w:r>
        <w:fldChar w:fldCharType="begin"/>
      </w:r>
      <w:r>
        <w:instrText xml:space="preserve"> REF _Ref43987598 \r \h </w:instrText>
      </w:r>
      <w:r>
        <w:fldChar w:fldCharType="separate"/>
      </w:r>
      <w:r>
        <w:t>8.5.1</w:t>
      </w:r>
      <w:r>
        <w:fldChar w:fldCharType="end"/>
      </w:r>
      <w:r>
        <w:t>. That said, we do recommend a special numbering scheme for incipits, which shall conventionally indicate to the reader that such lines are spatially offset from the principal field.</w:t>
      </w:r>
    </w:p>
    <w:p>
      <w:pPr>
        <w:rPr>
          <w:lang w:eastAsia="en-US" w:bidi="ar-SA"/>
        </w:rPr>
      </w:pP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284" w:name="_Ref225762334"/>
            <w:r>
              <w:t xml:space="preserve">Exhibit </w:t>
            </w:r>
            <w:fldSimple w:instr=" STYLEREF 2 \s ">
              <w:r>
                <w:rPr>
                  <w:noProof/>
                </w:rPr>
                <w:t>4.7</w:t>
              </w:r>
            </w:fldSimple>
            <w:r>
              <w:t>.</w:t>
            </w:r>
            <w:fldSimple w:instr=" SEQ Exhibit \* ALPHABETIC \s 2 ">
              <w:r>
                <w:rPr>
                  <w:noProof/>
                </w:rPr>
                <w:t>A</w:t>
              </w:r>
            </w:fldSimple>
            <w:bookmarkEnd w:id="284"/>
            <w:r>
              <w:t>: incipit and colophon</w:t>
            </w:r>
          </w:p>
        </w:tc>
      </w:tr>
      <w:tr>
        <w:tc>
          <w:tcPr>
            <w:tcW w:w="5000" w:type="pct"/>
            <w:vAlign w:val="center"/>
          </w:tcPr>
          <w:p>
            <w:pPr>
              <w:pStyle w:val="Image"/>
              <w:keepLines/>
              <w:rPr>
                <w:rStyle w:val="Code"/>
              </w:rPr>
            </w:pPr>
            <w:r>
              <w:drawing>
                <wp:inline distT="0" distB="0" distL="0" distR="0">
                  <wp:extent cx="5397500" cy="2593340"/>
                  <wp:effectExtent l="0" t="0" r="0" b="0"/>
                  <wp:docPr id="1460987304"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7500" cy="2593340"/>
                          </a:xfrm>
                          <a:prstGeom prst="rect">
                            <a:avLst/>
                          </a:prstGeom>
                          <a:noFill/>
                          <a:ln>
                            <a:noFill/>
                          </a:ln>
                        </pic:spPr>
                      </pic:pic>
                    </a:graphicData>
                  </a:graphic>
                </wp:inline>
              </w:drawing>
            </w:r>
          </w:p>
        </w:tc>
      </w:tr>
      <w:tr>
        <w:tc>
          <w:tcPr>
            <w:tcW w:w="5000" w:type="pct"/>
          </w:tcPr>
          <w:p>
            <w:pPr>
              <w:pStyle w:val="CodeParagraph"/>
              <w:keepNext/>
              <w:keepLines/>
              <w:rPr>
                <w:rStyle w:val="Code"/>
              </w:rPr>
            </w:pPr>
            <w:r>
              <w:rPr>
                <w:rStyle w:val="Code"/>
              </w:rPr>
              <w:t>&lt;ab&gt;</w:t>
            </w:r>
          </w:p>
          <w:p>
            <w:pPr>
              <w:pStyle w:val="CodeParagraph"/>
              <w:keepNext/>
              <w:keepLines/>
              <w:rPr>
                <w:rStyle w:val="Codetext"/>
              </w:rPr>
            </w:pPr>
            <w:r>
              <w:rPr>
                <w:rStyle w:val="Code"/>
              </w:rPr>
              <w:t xml:space="preserve">  &lt;lb </w:t>
            </w:r>
            <w:r>
              <w:rPr>
                <w:rStyle w:val="Codeattribute"/>
              </w:rPr>
              <w:t>n</w:t>
            </w:r>
            <w:r>
              <w:rPr>
                <w:rStyle w:val="Code"/>
              </w:rPr>
              <w:t>=</w:t>
            </w:r>
            <w:r>
              <w:rPr>
                <w:rStyle w:val="Codevalue"/>
              </w:rPr>
              <w:t>"1"</w:t>
            </w:r>
            <w:r>
              <w:rPr>
                <w:rStyle w:val="Code"/>
              </w:rPr>
              <w:t>/&gt;</w:t>
            </w:r>
            <w:r>
              <w:rPr>
                <w:rStyle w:val="Codetext"/>
              </w:rPr>
              <w:t>J. R. R. Tolkien: The Hobbit</w:t>
            </w:r>
          </w:p>
          <w:p>
            <w:pPr>
              <w:pStyle w:val="CodeParagraph"/>
              <w:keepNext/>
              <w:keepLines/>
              <w:rPr>
                <w:rStyle w:val="Codetext"/>
              </w:rPr>
            </w:pPr>
            <w:r>
              <w:rPr>
                <w:rStyle w:val="Code"/>
              </w:rPr>
              <w:t>&lt;/ab&gt;</w:t>
            </w:r>
          </w:p>
          <w:p>
            <w:pPr>
              <w:pStyle w:val="CodeParagraph"/>
              <w:keepNext/>
              <w:keepLines/>
              <w:rPr>
                <w:rStyle w:val="Code"/>
              </w:rPr>
            </w:pPr>
            <w:r>
              <w:rPr>
                <w:rStyle w:val="Code"/>
              </w:rPr>
              <w:t>&lt;p&gt;</w:t>
            </w:r>
          </w:p>
          <w:p>
            <w:pPr>
              <w:pStyle w:val="CodeParagraph"/>
              <w:keepNext/>
              <w:keepLines/>
              <w:rPr>
                <w:rStyle w:val="Code"/>
              </w:rPr>
            </w:pPr>
            <w:r>
              <w:rPr>
                <w:rStyle w:val="Code"/>
              </w:rPr>
              <w:t xml:space="preserve">  &lt;lb </w:t>
            </w:r>
            <w:r>
              <w:rPr>
                <w:rStyle w:val="Codeattribute"/>
              </w:rPr>
              <w:t>n</w:t>
            </w:r>
            <w:r>
              <w:rPr>
                <w:rStyle w:val="Code"/>
              </w:rPr>
              <w:t>=</w:t>
            </w:r>
            <w:r>
              <w:rPr>
                <w:rStyle w:val="Codevalue"/>
              </w:rPr>
              <w:t>"2"</w:t>
            </w:r>
            <w:r>
              <w:rPr>
                <w:rStyle w:val="Code"/>
              </w:rPr>
              <w:t>/&gt;</w:t>
            </w:r>
            <w:r>
              <w:rPr>
                <w:rStyle w:val="Codetext"/>
              </w:rPr>
              <w:t>In a hole in the ground...</w:t>
            </w:r>
            <w:r>
              <w:rPr>
                <w:rStyle w:val="Codetext"/>
              </w:rPr>
              <w:br/>
            </w:r>
            <w:r>
              <w:rPr>
                <w:rStyle w:val="Code"/>
              </w:rPr>
              <w:t xml:space="preserve">  ...</w:t>
            </w:r>
          </w:p>
          <w:p>
            <w:pPr>
              <w:pStyle w:val="CodeParagraph"/>
              <w:keepNext/>
              <w:keepLines/>
              <w:rPr>
                <w:rStyle w:val="Codetext"/>
              </w:rPr>
            </w:pPr>
            <w:r>
              <w:rPr>
                <w:rStyle w:val="Code"/>
              </w:rPr>
              <w:t xml:space="preserve">  &lt;lb </w:t>
            </w:r>
            <w:r>
              <w:rPr>
                <w:rStyle w:val="Codeattribute"/>
              </w:rPr>
              <w:t>n</w:t>
            </w:r>
            <w:r>
              <w:rPr>
                <w:rStyle w:val="Code"/>
              </w:rPr>
              <w:t>=</w:t>
            </w:r>
            <w:r>
              <w:rPr>
                <w:rStyle w:val="Codevalue"/>
              </w:rPr>
              <w:t>"6"</w:t>
            </w:r>
            <w:r>
              <w:rPr>
                <w:rStyle w:val="Code"/>
              </w:rPr>
              <w:t>/&gt;</w:t>
            </w:r>
            <w:r>
              <w:rPr>
                <w:rStyle w:val="Codetext"/>
              </w:rPr>
              <w:t>hobbit-hole, and that means comfort.</w:t>
            </w:r>
          </w:p>
          <w:p>
            <w:pPr>
              <w:pStyle w:val="CodeParagraph"/>
              <w:keepNext/>
              <w:keepLines/>
              <w:rPr>
                <w:rStyle w:val="Codetext"/>
              </w:rPr>
            </w:pPr>
            <w:r>
              <w:rPr>
                <w:rStyle w:val="Code"/>
              </w:rPr>
              <w:t>&lt;/p&gt;</w:t>
            </w:r>
          </w:p>
          <w:p>
            <w:pPr>
              <w:pStyle w:val="CodeParagraph"/>
              <w:keepNext/>
              <w:keepLines/>
              <w:rPr>
                <w:rStyle w:val="Code"/>
              </w:rPr>
            </w:pPr>
            <w:r>
              <w:rPr>
                <w:rStyle w:val="Code"/>
              </w:rPr>
              <w:t>&lt;ab&gt;</w:t>
            </w:r>
          </w:p>
          <w:p>
            <w:pPr>
              <w:pStyle w:val="CodeParagraph"/>
              <w:keepNext/>
              <w:keepLines/>
              <w:rPr>
                <w:rStyle w:val="Codetext"/>
              </w:rPr>
            </w:pPr>
            <w:r>
              <w:rPr>
                <w:rStyle w:val="Code"/>
              </w:rPr>
              <w:t xml:space="preserve">  &lt;lb </w:t>
            </w:r>
            <w:r>
              <w:rPr>
                <w:rStyle w:val="Codeattribute"/>
              </w:rPr>
              <w:t>n</w:t>
            </w:r>
            <w:r>
              <w:rPr>
                <w:rStyle w:val="Code"/>
              </w:rPr>
              <w:t>=</w:t>
            </w:r>
            <w:r>
              <w:rPr>
                <w:rStyle w:val="Codevalue"/>
              </w:rPr>
              <w:t>"7"</w:t>
            </w:r>
            <w:r>
              <w:rPr>
                <w:rStyle w:val="Code"/>
              </w:rPr>
              <w:t>/&gt;</w:t>
            </w:r>
            <w:r>
              <w:rPr>
                <w:rStyle w:val="Codetext"/>
              </w:rPr>
              <w:t>23 December 2024</w:t>
            </w:r>
          </w:p>
          <w:p>
            <w:pPr>
              <w:pStyle w:val="CodeParagraph"/>
              <w:keepNext/>
              <w:keepLines/>
            </w:pPr>
            <w:r>
              <w:rPr>
                <w:rStyle w:val="Code"/>
              </w:rPr>
              <w:t>&lt;/ab&gt;</w:t>
            </w:r>
          </w:p>
        </w:tc>
      </w:tr>
      <w:tr>
        <w:tc>
          <w:tcPr>
            <w:tcW w:w="5000" w:type="pct"/>
          </w:tcPr>
          <w:p>
            <w:pPr>
              <w:pStyle w:val="TableNote"/>
            </w:pPr>
            <w:r>
              <w:t xml:space="preserve">the alignment of the first and last line may be encoded as in </w:t>
            </w:r>
            <w:r>
              <w:fldChar w:fldCharType="begin"/>
            </w:r>
            <w:r>
              <w:instrText xml:space="preserve"> REF _Ref225762134 \h </w:instrText>
            </w:r>
            <w:r>
              <w:fldChar w:fldCharType="separate"/>
            </w:r>
            <w:r>
              <w:t xml:space="preserve">Exhibit </w:t>
            </w:r>
            <w:r>
              <w:rPr>
                <w:noProof/>
              </w:rPr>
              <w:t>8.5</w:t>
            </w:r>
            <w:r>
              <w:t>.</w:t>
            </w:r>
            <w:r>
              <w:rPr>
                <w:noProof/>
              </w:rPr>
              <w:t>A</w:t>
            </w:r>
            <w:r>
              <w:fldChar w:fldCharType="end"/>
            </w:r>
          </w:p>
          <w:p>
            <w:pPr>
              <w:pStyle w:val="TableNote"/>
            </w:pPr>
            <w:r>
              <w:t>the first line could be optionally encoded with special numeration (§</w:t>
            </w:r>
            <w:r>
              <w:fldChar w:fldCharType="begin"/>
            </w:r>
            <w:r>
              <w:instrText xml:space="preserve"> REF _Ref43978135 \r \h </w:instrText>
            </w:r>
            <w:r>
              <w:fldChar w:fldCharType="separate"/>
            </w:r>
            <w:r>
              <w:t>4.7.1.1</w:t>
            </w:r>
            <w:r>
              <w:fldChar w:fldCharType="end"/>
            </w:r>
            <w:r>
              <w:t>)</w:t>
            </w:r>
          </w:p>
        </w:tc>
      </w:tr>
    </w:tbl>
    <w:p>
      <w:pPr>
        <w:pStyle w:val="Cmsor4"/>
      </w:pPr>
      <w:bookmarkStart w:id="285" w:name="_2aaf1avj18kw" w:colFirst="0" w:colLast="0"/>
      <w:bookmarkStart w:id="286" w:name="_rr8pkbi3b1cc" w:colFirst="0" w:colLast="0"/>
      <w:bookmarkStart w:id="287" w:name="_tmbjz6tt6rwk" w:colFirst="0" w:colLast="0"/>
      <w:bookmarkStart w:id="288" w:name="_Ref43978135"/>
      <w:bookmarkEnd w:id="285"/>
      <w:bookmarkEnd w:id="286"/>
      <w:bookmarkEnd w:id="287"/>
      <w:r>
        <w:t xml:space="preserve">Spatially offset opening sections </w:t>
      </w:r>
      <w:r>
        <w:rPr>
          <w:noProof/>
        </w:rPr>
        <w:t>(</w:t>
      </w:r>
      <w:r>
        <w:t>incipits)</w:t>
      </w:r>
      <w:bookmarkEnd w:id="288"/>
    </w:p>
    <w:p>
      <w:pPr>
        <w:pStyle w:val="Lista"/>
      </w:pPr>
      <w:r>
        <w:t xml:space="preserve">incipits are usually semantically separate from the principal inscription, and will therefore be normally enclosed in one or more separate </w:t>
      </w:r>
      <w:r>
        <w:rPr>
          <w:rStyle w:val="Code"/>
        </w:rPr>
        <w:t>&lt;ab&gt;</w:t>
      </w:r>
      <w:r>
        <w:t xml:space="preserve">, </w:t>
      </w:r>
      <w:r>
        <w:rPr>
          <w:rStyle w:val="Code"/>
        </w:rPr>
        <w:t>&lt;p&gt;</w:t>
      </w:r>
      <w:r>
        <w:t xml:space="preserve"> or </w:t>
      </w:r>
      <w:r>
        <w:rPr>
          <w:rStyle w:val="Code"/>
        </w:rPr>
        <w:t>&lt;lg&gt;</w:t>
      </w:r>
      <w:r>
        <w:t xml:space="preserve"> element as applicable </w:t>
      </w:r>
      <w:r>
        <w:rPr>
          <w:noProof/>
        </w:rPr>
        <w:t>(</w:t>
      </w:r>
      <w:r>
        <w:t>§</w:t>
      </w:r>
      <w:r>
        <w:fldChar w:fldCharType="begin"/>
      </w:r>
      <w:r>
        <w:instrText xml:space="preserve"> REF _Ref43978632 \w \h  \* MERGEFORMAT </w:instrText>
      </w:r>
      <w:r>
        <w:fldChar w:fldCharType="separate"/>
      </w:r>
      <w:r>
        <w:t>3</w:t>
      </w:r>
      <w:r>
        <w:fldChar w:fldCharType="end"/>
      </w:r>
      <w:r>
        <w:t>)</w:t>
      </w:r>
    </w:p>
    <w:p>
      <w:pPr>
        <w:pStyle w:val="Lista"/>
      </w:pPr>
      <w:r>
        <w:t xml:space="preserve">the line(s) containing an incipit may be numbered from 1, with the numeration continuing seamlessly into the main field, as in </w:t>
      </w:r>
      <w:r>
        <w:fldChar w:fldCharType="begin"/>
      </w:r>
      <w:r>
        <w:instrText xml:space="preserve"> REF _Ref225762334 \h </w:instrText>
      </w:r>
      <w:r>
        <w:fldChar w:fldCharType="separate"/>
      </w:r>
      <w:r>
        <w:t xml:space="preserve">Exhibit </w:t>
      </w:r>
      <w:r>
        <w:rPr>
          <w:noProof/>
        </w:rPr>
        <w:t>4.7</w:t>
      </w:r>
      <w:r>
        <w:t>.</w:t>
      </w:r>
      <w:r>
        <w:rPr>
          <w:noProof/>
        </w:rPr>
        <w:t>A</w:t>
      </w:r>
      <w:r>
        <w:fldChar w:fldCharType="end"/>
      </w:r>
    </w:p>
    <w:p>
      <w:pPr>
        <w:pStyle w:val="Lista2"/>
      </w:pPr>
      <w:r>
        <w:t>this is recommended for incipits whose spatial location fits into the regular sequence of lines in the main field</w:t>
      </w:r>
    </w:p>
    <w:p>
      <w:pPr>
        <w:pStyle w:val="Lista"/>
      </w:pPr>
      <w:r>
        <w:t>optionally, the incipit’s line(s) may be given a different numeration scheme, which by DHARMA convention indicates a visually offset incipit</w:t>
      </w:r>
    </w:p>
    <w:p>
      <w:pPr>
        <w:pStyle w:val="Lista2"/>
      </w:pPr>
      <w:r>
        <w:t>this is recommended when the incipit is outside the regular sequence of lines, such as</w:t>
      </w:r>
    </w:p>
    <w:p>
      <w:pPr>
        <w:pStyle w:val="Lista3"/>
      </w:pPr>
      <w:r>
        <w:t xml:space="preserve">above the principal field and conspicuously separate from it (as in </w:t>
      </w:r>
      <w:r>
        <w:fldChar w:fldCharType="begin"/>
      </w:r>
      <w:r>
        <w:instrText xml:space="preserve"> REF _Ref239843991 \r \h </w:instrText>
      </w:r>
      <w:r>
        <w:fldChar w:fldCharType="separate"/>
      </w:r>
      <w:r>
        <w:t>Appendix A.6</w:t>
      </w:r>
      <w:r>
        <w:fldChar w:fldCharType="end"/>
      </w:r>
      <w:r>
        <w:t>)</w:t>
      </w:r>
    </w:p>
    <w:p>
      <w:pPr>
        <w:pStyle w:val="Lista3"/>
      </w:pPr>
      <w:r>
        <w:t xml:space="preserve">inset into the principal campus at a corner, edge, or floating inside (as in </w:t>
      </w:r>
      <w:r>
        <w:fldChar w:fldCharType="begin"/>
      </w:r>
      <w:r>
        <w:instrText xml:space="preserve"> REF _Ref225765626 \h </w:instrText>
      </w:r>
      <w:r>
        <w:fldChar w:fldCharType="separate"/>
      </w:r>
      <w:r>
        <w:t xml:space="preserve">Exhibit </w:t>
      </w:r>
      <w:r>
        <w:rPr>
          <w:noProof/>
        </w:rPr>
        <w:t>4.7</w:t>
      </w:r>
      <w:r>
        <w:t>.</w:t>
      </w:r>
      <w:r>
        <w:rPr>
          <w:noProof/>
        </w:rPr>
        <w:t>B</w:t>
      </w:r>
      <w:r>
        <w:fldChar w:fldCharType="end"/>
      </w:r>
      <w:r>
        <w:t>)</w:t>
      </w:r>
    </w:p>
    <w:p>
      <w:pPr>
        <w:pStyle w:val="Lista3"/>
      </w:pPr>
      <w:r>
        <w:t xml:space="preserve">in a margin (as in </w:t>
      </w:r>
      <w:r>
        <w:fldChar w:fldCharType="begin"/>
      </w:r>
      <w:r>
        <w:instrText xml:space="preserve"> REF _Ref225765627 \h </w:instrText>
      </w:r>
      <w:r>
        <w:fldChar w:fldCharType="separate"/>
      </w:r>
      <w:r>
        <w:t xml:space="preserve">Exhibit </w:t>
      </w:r>
      <w:r>
        <w:rPr>
          <w:noProof/>
        </w:rPr>
        <w:t>4.7</w:t>
      </w:r>
      <w:r>
        <w:t>.</w:t>
      </w:r>
      <w:r>
        <w:rPr>
          <w:noProof/>
        </w:rPr>
        <w:t>C</w:t>
      </w:r>
      <w:r>
        <w:fldChar w:fldCharType="end"/>
      </w:r>
      <w:r>
        <w:t>)</w:t>
      </w:r>
    </w:p>
    <w:p>
      <w:pPr>
        <w:pStyle w:val="Lista2"/>
      </w:pPr>
      <w:r>
        <w:t>the recommended numeration scheme is to add a leading 0 (zero) to the numbers of offset lines, then starting the numeration of the main field’s lines normally from 1</w:t>
      </w:r>
    </w:p>
    <w:p>
      <w:pPr>
        <w:pStyle w:val="Lista3"/>
      </w:pPr>
      <w:r>
        <w:t xml:space="preserve">for simple line numbers, use 01, 02, etc. for visually offset incipit lines, as in </w:t>
      </w:r>
      <w:r>
        <w:fldChar w:fldCharType="begin"/>
      </w:r>
      <w:r>
        <w:instrText xml:space="preserve"> REF _Ref225765626 \h </w:instrText>
      </w:r>
      <w:r>
        <w:fldChar w:fldCharType="separate"/>
      </w:r>
      <w:r>
        <w:t xml:space="preserve">Exhibit </w:t>
      </w:r>
      <w:r>
        <w:rPr>
          <w:noProof/>
        </w:rPr>
        <w:t>4.7</w:t>
      </w:r>
      <w:r>
        <w:t>.</w:t>
      </w:r>
      <w:r>
        <w:rPr>
          <w:noProof/>
        </w:rPr>
        <w:t>B</w:t>
      </w:r>
      <w:r>
        <w:fldChar w:fldCharType="end"/>
      </w:r>
    </w:p>
    <w:p>
      <w:pPr>
        <w:pStyle w:val="Lista3"/>
      </w:pPr>
      <w:r>
        <w:t>if the lines of your edition are numbered using the repetitive scheme (§</w:t>
      </w:r>
      <w:r>
        <w:fldChar w:fldCharType="begin"/>
      </w:r>
      <w:r>
        <w:instrText xml:space="preserve"> REF _Ref182228380 \r \h </w:instrText>
      </w:r>
      <w:r>
        <w:fldChar w:fldCharType="separate"/>
      </w:r>
      <w:r>
        <w:t>4.5.2.2</w:t>
      </w:r>
      <w:r>
        <w:fldChar w:fldCharType="end"/>
      </w:r>
      <w:r>
        <w:t>), use A01, A02, B01, etc. on any pagelike partition where an offset incipit is present</w:t>
      </w:r>
    </w:p>
    <w:p>
      <w:pPr>
        <w:pStyle w:val="Lista4"/>
      </w:pPr>
      <w:r>
        <w:t xml:space="preserve">see the Case Study in </w:t>
      </w:r>
      <w:r>
        <w:fldChar w:fldCharType="begin"/>
      </w:r>
      <w:r>
        <w:instrText xml:space="preserve"> REF _Ref239844234 \r \h </w:instrText>
      </w:r>
      <w:r>
        <w:fldChar w:fldCharType="separate"/>
      </w:r>
      <w:r>
        <w:t>Appendix A.6</w:t>
      </w:r>
      <w:r>
        <w:fldChar w:fldCharType="end"/>
      </w:r>
      <w:r>
        <w:t xml:space="preserve"> for a Cambodian stele as an illustration</w:t>
      </w:r>
    </w:p>
    <w:p>
      <w:pPr>
        <w:pStyle w:val="Lista2"/>
      </w:pPr>
      <w:r>
        <w:t>if desired, you may opt for a different numeration scheme for incipit lines, so long as all line numbers remain unique through an edition (or textpart division)</w:t>
      </w:r>
    </w:p>
    <w:p>
      <w:pPr>
        <w:pStyle w:val="Lista"/>
      </w:pPr>
      <w:r>
        <w:lastRenderedPageBreak/>
        <w:t xml:space="preserve">if applicable </w:t>
      </w:r>
      <w:r>
        <w:rPr>
          <w:noProof/>
        </w:rPr>
        <w:t>(</w:t>
      </w:r>
      <w:r>
        <w:t>i.e. if different from the body text), optionally encode the alignment (§</w:t>
      </w:r>
      <w:r>
        <w:fldChar w:fldCharType="begin"/>
      </w:r>
      <w:r>
        <w:instrText xml:space="preserve"> REF _Ref43987598 \r \h </w:instrText>
      </w:r>
      <w:r>
        <w:fldChar w:fldCharType="separate"/>
      </w:r>
      <w:r>
        <w:t>8.5.1</w:t>
      </w:r>
      <w:r>
        <w:fldChar w:fldCharType="end"/>
      </w:r>
      <w:r>
        <w:t xml:space="preserve">) and/or orientation </w:t>
      </w:r>
      <w:r>
        <w:rPr>
          <w:noProof/>
        </w:rPr>
        <w:t>(</w:t>
      </w:r>
      <w:r>
        <w:t>§</w:t>
      </w:r>
      <w:r>
        <w:fldChar w:fldCharType="begin"/>
      </w:r>
      <w:r>
        <w:instrText xml:space="preserve"> REF _Ref43984782 \w \h  \* MERGEFORMAT </w:instrText>
      </w:r>
      <w:r>
        <w:fldChar w:fldCharType="separate"/>
      </w:r>
      <w:r>
        <w:t>8.5.2</w:t>
      </w:r>
      <w:r>
        <w:fldChar w:fldCharType="end"/>
      </w:r>
      <w:r>
        <w:t xml:space="preserve">) of the incipit lines using attributes on the </w:t>
      </w:r>
      <w:r>
        <w:rPr>
          <w:rStyle w:val="Code"/>
        </w:rPr>
        <w:t>&lt;lb/&gt;</w:t>
      </w:r>
      <w:r>
        <w:t xml:space="preserve"> element, as in </w:t>
      </w:r>
      <w:r>
        <w:fldChar w:fldCharType="begin"/>
      </w:r>
      <w:r>
        <w:instrText xml:space="preserve"> REF _Ref225765627 \h </w:instrText>
      </w:r>
      <w:r>
        <w:fldChar w:fldCharType="separate"/>
      </w:r>
      <w:r>
        <w:t xml:space="preserve">Exhibit </w:t>
      </w:r>
      <w:r>
        <w:rPr>
          <w:noProof/>
        </w:rPr>
        <w:t>4.7</w:t>
      </w:r>
      <w:r>
        <w:t>.</w:t>
      </w:r>
      <w:r>
        <w:rPr>
          <w:noProof/>
        </w:rPr>
        <w:t>C</w:t>
      </w:r>
      <w:r>
        <w:fldChar w:fldCharType="end"/>
      </w:r>
    </w:p>
    <w:p>
      <w:pPr>
        <w:pStyle w:val="Lista2"/>
      </w:pPr>
      <w:r>
        <w:t xml:space="preserve">all other details of presentation </w:t>
      </w:r>
      <w:r>
        <w:rPr>
          <w:noProof/>
        </w:rPr>
        <w:t>(</w:t>
      </w:r>
      <w:r>
        <w:t>e.g. line length, relative location, interference with the regular lines) shall be recorded for human readers in your annotation, but not encoded explicitly</w:t>
      </w:r>
    </w:p>
    <w:p/>
    <w:tbl>
      <w:tblPr>
        <w:tblStyle w:val="CodeSampleTable"/>
        <w:tblW w:w="5000" w:type="pct"/>
        <w:tblLook w:val="04A0" w:firstRow="1" w:lastRow="0" w:firstColumn="1" w:lastColumn="0" w:noHBand="0" w:noVBand="1"/>
      </w:tblPr>
      <w:tblGrid>
        <w:gridCol w:w="6624"/>
        <w:gridCol w:w="3004"/>
      </w:tblGrid>
      <w:tr>
        <w:trPr>
          <w:cnfStyle w:val="100000000000" w:firstRow="1" w:lastRow="0" w:firstColumn="0" w:lastColumn="0" w:oddVBand="0" w:evenVBand="0" w:oddHBand="0" w:evenHBand="0" w:firstRowFirstColumn="0" w:firstRowLastColumn="0" w:lastRowFirstColumn="0" w:lastRowLastColumn="0"/>
        </w:trPr>
        <w:tc>
          <w:tcPr>
            <w:tcW w:w="5000" w:type="pct"/>
            <w:gridSpan w:val="2"/>
          </w:tcPr>
          <w:p>
            <w:pPr>
              <w:pStyle w:val="Kpalrs"/>
            </w:pPr>
            <w:bookmarkStart w:id="289" w:name="_Ref225765626"/>
            <w:r>
              <w:t xml:space="preserve">Exhibit </w:t>
            </w:r>
            <w:fldSimple w:instr=" STYLEREF 2 \s ">
              <w:r>
                <w:rPr>
                  <w:noProof/>
                </w:rPr>
                <w:t>4.7</w:t>
              </w:r>
            </w:fldSimple>
            <w:r>
              <w:t>.</w:t>
            </w:r>
            <w:fldSimple w:instr=" SEQ Exhibit \* ALPHABETIC \s 2 ">
              <w:r>
                <w:rPr>
                  <w:noProof/>
                </w:rPr>
                <w:t>B</w:t>
              </w:r>
            </w:fldSimple>
            <w:bookmarkEnd w:id="289"/>
            <w:r>
              <w:t>: incipit of two lines inset in the top left corner</w:t>
            </w:r>
          </w:p>
        </w:tc>
      </w:tr>
      <w:tr>
        <w:tc>
          <w:tcPr>
            <w:tcW w:w="3440" w:type="pct"/>
          </w:tcPr>
          <w:p>
            <w:pPr>
              <w:pStyle w:val="CodeParagraph"/>
              <w:rPr>
                <w:rStyle w:val="Codetext"/>
              </w:rPr>
            </w:pPr>
            <w:r>
              <w:rPr>
                <w:rStyle w:val="Code"/>
              </w:rPr>
              <w:t>&lt;ab&gt;</w:t>
            </w:r>
            <w:r>
              <w:rPr>
                <w:rStyle w:val="Codetext"/>
              </w:rPr>
              <w:br/>
              <w:t xml:space="preserve">  </w:t>
            </w:r>
            <w:r>
              <w:rPr>
                <w:rStyle w:val="Code"/>
              </w:rPr>
              <w:t xml:space="preserve">&lt;lb </w:t>
            </w:r>
            <w:r>
              <w:rPr>
                <w:rStyle w:val="Codeattribute"/>
              </w:rPr>
              <w:t>n</w:t>
            </w:r>
            <w:r>
              <w:rPr>
                <w:rStyle w:val="Code"/>
              </w:rPr>
              <w:t>=</w:t>
            </w:r>
            <w:r>
              <w:rPr>
                <w:rStyle w:val="Codevalue"/>
              </w:rPr>
              <w:t>"01"</w:t>
            </w:r>
            <w:r>
              <w:rPr>
                <w:rStyle w:val="Code"/>
              </w:rPr>
              <w:t>/&gt;&lt;ab&gt;</w:t>
            </w:r>
            <w:r>
              <w:rPr>
                <w:rStyle w:val="Codetext"/>
              </w:rPr>
              <w:t>dr̥ṣṭaM</w:t>
            </w:r>
            <w:r>
              <w:rPr>
                <w:rStyle w:val="Code"/>
              </w:rPr>
              <w:t>&lt;/ab&gt;</w:t>
            </w:r>
            <w:r>
              <w:rPr>
                <w:rStyle w:val="Codetext"/>
              </w:rPr>
              <w:br/>
              <w:t xml:space="preserve">  </w:t>
            </w:r>
            <w:r>
              <w:rPr>
                <w:rStyle w:val="Code"/>
              </w:rPr>
              <w:t xml:space="preserve">&lt;lb </w:t>
            </w:r>
            <w:r>
              <w:rPr>
                <w:rStyle w:val="Codeattribute"/>
              </w:rPr>
              <w:t>n</w:t>
            </w:r>
            <w:r>
              <w:rPr>
                <w:rStyle w:val="Code"/>
              </w:rPr>
              <w:t>=</w:t>
            </w:r>
            <w:r>
              <w:rPr>
                <w:rStyle w:val="Codevalue"/>
              </w:rPr>
              <w:t>"02"</w:t>
            </w:r>
            <w:r>
              <w:rPr>
                <w:rStyle w:val="Code"/>
              </w:rPr>
              <w:t>/&gt;&lt;ab&gt;</w:t>
            </w:r>
            <w:r>
              <w:rPr>
                <w:rStyle w:val="Codetext"/>
              </w:rPr>
              <w:t>siddhaM</w:t>
            </w:r>
            <w:r>
              <w:rPr>
                <w:rStyle w:val="Code"/>
              </w:rPr>
              <w:t>&lt;/ab&gt;</w:t>
            </w:r>
            <w:r>
              <w:rPr>
                <w:rStyle w:val="Codetext"/>
              </w:rPr>
              <w:br/>
            </w:r>
            <w:r>
              <w:rPr>
                <w:rStyle w:val="Code"/>
              </w:rPr>
              <w:t>&lt;/ab&gt;</w:t>
            </w:r>
            <w:r>
              <w:rPr>
                <w:rStyle w:val="Codetext"/>
              </w:rPr>
              <w:br/>
            </w: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/&gt;&lt;p&gt;</w:t>
            </w:r>
            <w:r>
              <w:rPr>
                <w:rStyle w:val="Codetext"/>
              </w:rPr>
              <w:t>agniṣṭomāpto...</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sādyaskra-catur-aśvamedha...</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/&gt;</w:t>
            </w:r>
            <w:r>
              <w:rPr>
                <w:rStyle w:val="Codetext"/>
              </w:rPr>
              <w:t>m mahārāja-śrī...</w:t>
            </w:r>
            <w:r>
              <w:rPr>
                <w:rStyle w:val="Codetext"/>
              </w:rPr>
              <w:br/>
              <w:t>...</w:t>
            </w:r>
          </w:p>
          <w:p>
            <w:pPr>
              <w:pStyle w:val="CodeParagraph"/>
            </w:pPr>
            <w:r>
              <w:rPr>
                <w:rStyle w:val="Code"/>
              </w:rPr>
              <w:t>&lt;/p&gt;</w:t>
            </w:r>
          </w:p>
        </w:tc>
        <w:tc>
          <w:tcPr>
            <w:tcW w:w="1560" w:type="pct"/>
            <w:vAlign w:val="bottom"/>
          </w:tcPr>
          <w:p>
            <w:pPr>
              <w:pStyle w:val="Image"/>
            </w:pPr>
            <w:r>
              <w:drawing>
                <wp:inline distT="0" distB="0" distL="0" distR="0">
                  <wp:extent cx="1652905" cy="1303884"/>
                  <wp:effectExtent l="0" t="0" r="4445"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cstate="print">
                            <a:extLst>
                              <a:ext uri="{28A0092B-C50C-407E-A947-70E740481C1C}">
                                <a14:useLocalDpi xmlns:a14="http://schemas.microsoft.com/office/drawing/2010/main" val="0"/>
                              </a:ext>
                            </a:extLst>
                          </a:blip>
                          <a:srcRect/>
                          <a:stretch>
                            <a:fillRect/>
                          </a:stretch>
                        </pic:blipFill>
                        <pic:spPr>
                          <a:xfrm>
                            <a:off x="0" y="0"/>
                            <a:ext cx="1676551" cy="1322537"/>
                          </a:xfrm>
                          <a:prstGeom prst="rect">
                            <a:avLst/>
                          </a:prstGeom>
                          <a:ln/>
                        </pic:spPr>
                      </pic:pic>
                    </a:graphicData>
                  </a:graphic>
                </wp:inline>
              </w:drawing>
            </w:r>
          </w:p>
        </w:tc>
      </w:tr>
      <w:tr>
        <w:tc>
          <w:tcPr>
            <w:tcW w:w="5000" w:type="pct"/>
            <w:gridSpan w:val="2"/>
          </w:tcPr>
          <w:p>
            <w:pPr>
              <w:pStyle w:val="TableNote"/>
            </w:pPr>
            <w:r>
              <w:t>the two lines of the incipit are outside the regular sequence of the lines of the principal field, so they have been encoded with special numbering</w:t>
            </w:r>
          </w:p>
        </w:tc>
      </w:tr>
    </w:tbl>
    <w:p/>
    <w:tbl>
      <w:tblPr>
        <w:tblStyle w:val="CodeSampleTable"/>
        <w:tblW w:w="5000" w:type="pct"/>
        <w:tblLook w:val="04A0" w:firstRow="1" w:lastRow="0" w:firstColumn="1" w:lastColumn="0" w:noHBand="0" w:noVBand="1"/>
      </w:tblPr>
      <w:tblGrid>
        <w:gridCol w:w="7227"/>
        <w:gridCol w:w="2401"/>
      </w:tblGrid>
      <w:tr>
        <w:trPr>
          <w:cnfStyle w:val="100000000000" w:firstRow="1" w:lastRow="0" w:firstColumn="0" w:lastColumn="0" w:oddVBand="0" w:evenVBand="0" w:oddHBand="0" w:evenHBand="0" w:firstRowFirstColumn="0" w:firstRowLastColumn="0" w:lastRowFirstColumn="0" w:lastRowLastColumn="0"/>
        </w:trPr>
        <w:tc>
          <w:tcPr>
            <w:tcW w:w="5000" w:type="pct"/>
            <w:gridSpan w:val="2"/>
          </w:tcPr>
          <w:p>
            <w:pPr>
              <w:pStyle w:val="Kpalrs"/>
            </w:pPr>
            <w:bookmarkStart w:id="290" w:name="_Ref225765627"/>
            <w:r>
              <w:t xml:space="preserve">Exhibit </w:t>
            </w:r>
            <w:fldSimple w:instr=" STYLEREF 2 \s ">
              <w:r>
                <w:rPr>
                  <w:noProof/>
                </w:rPr>
                <w:t>4.7</w:t>
              </w:r>
            </w:fldSimple>
            <w:r>
              <w:t>.</w:t>
            </w:r>
            <w:fldSimple w:instr=" SEQ Exhibit \* ALPHABETIC \s 2 ">
              <w:r>
                <w:rPr>
                  <w:noProof/>
                </w:rPr>
                <w:t>C</w:t>
              </w:r>
            </w:fldSimple>
            <w:bookmarkEnd w:id="290"/>
            <w:r>
              <w:t>: incipit written vertically, with upright glyphs, in the left margin</w:t>
            </w:r>
          </w:p>
        </w:tc>
      </w:tr>
      <w:tr>
        <w:tc>
          <w:tcPr>
            <w:tcW w:w="3753" w:type="pct"/>
          </w:tcPr>
          <w:p>
            <w:pPr>
              <w:pStyle w:val="CodeParagraph"/>
            </w:pPr>
            <w:r>
              <w:rPr>
                <w:rStyle w:val="Code"/>
              </w:rPr>
              <w:t>&lt;ab&gt;</w:t>
            </w:r>
            <w:r>
              <w:rPr>
                <w:rStyle w:val="Codetext"/>
              </w:rPr>
              <w:br/>
              <w:t xml:space="preserve">  </w:t>
            </w:r>
            <w:r>
              <w:rPr>
                <w:rStyle w:val="Code"/>
              </w:rPr>
              <w:t xml:space="preserve">&lt;lb </w:t>
            </w:r>
            <w:r>
              <w:rPr>
                <w:rStyle w:val="Codeattribute"/>
              </w:rPr>
              <w:t>n</w:t>
            </w:r>
            <w:r>
              <w:rPr>
                <w:rStyle w:val="Code"/>
              </w:rPr>
              <w:t>=</w:t>
            </w:r>
            <w:r>
              <w:rPr>
                <w:rStyle w:val="Codevalue"/>
              </w:rPr>
              <w:t xml:space="preserve">"01" </w:t>
            </w:r>
            <w:r>
              <w:rPr>
                <w:rStyle w:val="Codeattribute"/>
              </w:rPr>
              <w:t>rend</w:t>
            </w:r>
            <w:r>
              <w:rPr>
                <w:rStyle w:val="Code"/>
              </w:rPr>
              <w:t>=</w:t>
            </w:r>
            <w:r>
              <w:rPr>
                <w:rStyle w:val="Codevalue"/>
              </w:rPr>
              <w:t>"tb-upright"</w:t>
            </w:r>
            <w:r>
              <w:rPr>
                <w:rStyle w:val="Code"/>
              </w:rPr>
              <w:t>/&gt;</w:t>
            </w:r>
            <w:r>
              <w:rPr>
                <w:rStyle w:val="Codetext"/>
              </w:rPr>
              <w:t>siddhaM</w:t>
            </w:r>
            <w:r>
              <w:rPr>
                <w:rStyle w:val="Codetext"/>
              </w:rPr>
              <w:br/>
            </w:r>
            <w:r>
              <w:rPr>
                <w:rStyle w:val="Code"/>
              </w:rPr>
              <w:t>&lt;/ab&gt;</w:t>
            </w:r>
            <w:r>
              <w:rPr>
                <w:rStyle w:val="Codetext"/>
              </w:rPr>
              <w:br/>
            </w: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"sragdharā"</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"1"</w:t>
            </w:r>
            <w:r>
              <w:rPr>
                <w:rStyle w:val="Code"/>
              </w:rPr>
              <w:t>/&gt;</w:t>
            </w:r>
            <w:r>
              <w:rPr>
                <w:rStyle w:val="Codetext"/>
              </w:rPr>
              <w:t>yasyopasthāna...</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"b"</w:t>
            </w:r>
            <w:r>
              <w:rPr>
                <w:rStyle w:val="Code"/>
              </w:rPr>
              <w:t xml:space="preserve">/&gt;&lt;lb </w:t>
            </w:r>
            <w:r>
              <w:rPr>
                <w:rStyle w:val="Codeattribute"/>
              </w:rPr>
              <w:t>n</w:t>
            </w:r>
            <w:r>
              <w:rPr>
                <w:rStyle w:val="Code"/>
              </w:rPr>
              <w:t>=</w:t>
            </w:r>
            <w:r>
              <w:rPr>
                <w:rStyle w:val="Codevalue"/>
              </w:rPr>
              <w:t>"2"</w:t>
            </w:r>
            <w:r>
              <w:rPr>
                <w:rStyle w:val="Code"/>
              </w:rPr>
              <w:t>/&gt;</w:t>
            </w:r>
            <w:r>
              <w:rPr>
                <w:rStyle w:val="Codetext"/>
              </w:rPr>
              <w:t>guptānāṁ...</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 xml:space="preserve">/&gt;&lt;lb </w:t>
            </w:r>
            <w:r>
              <w:rPr>
                <w:rStyle w:val="Codeattribute"/>
              </w:rPr>
              <w:t>n</w:t>
            </w:r>
            <w:r>
              <w:rPr>
                <w:rStyle w:val="Code"/>
              </w:rPr>
              <w:t>=</w:t>
            </w:r>
            <w:r>
              <w:rPr>
                <w:rStyle w:val="Codevalue"/>
              </w:rPr>
              <w:t>"3"</w:t>
            </w:r>
            <w:r>
              <w:rPr>
                <w:rStyle w:val="Code"/>
              </w:rPr>
              <w:t>/&gt;</w:t>
            </w:r>
            <w:r>
              <w:rPr>
                <w:rStyle w:val="Codetext"/>
              </w:rPr>
              <w:t>rājye...</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 xml:space="preserve">/&gt;&lt;lb </w:t>
            </w:r>
            <w:r>
              <w:rPr>
                <w:rStyle w:val="Codeattribute"/>
              </w:rPr>
              <w:t>n</w:t>
            </w:r>
            <w:r>
              <w:rPr>
                <w:rStyle w:val="Code"/>
              </w:rPr>
              <w:t>=</w:t>
            </w:r>
            <w:r>
              <w:rPr>
                <w:rStyle w:val="Codevalue"/>
              </w:rPr>
              <w:t>"4"</w:t>
            </w:r>
            <w:r>
              <w:rPr>
                <w:rStyle w:val="Code"/>
              </w:rPr>
              <w:t>/&gt;</w:t>
            </w:r>
            <w:r>
              <w:rPr>
                <w:rStyle w:val="Codetext"/>
              </w:rPr>
              <w:t>varṣe...</w:t>
            </w:r>
            <w:r>
              <w:rPr>
                <w:rStyle w:val="Code"/>
              </w:rPr>
              <w:t>&lt;/l&gt;</w:t>
            </w:r>
            <w:r>
              <w:rPr>
                <w:rStyle w:val="Codetext"/>
              </w:rPr>
              <w:br/>
            </w:r>
            <w:r>
              <w:rPr>
                <w:rStyle w:val="Code"/>
              </w:rPr>
              <w:t>&lt;/lg&gt;</w:t>
            </w:r>
          </w:p>
        </w:tc>
        <w:tc>
          <w:tcPr>
            <w:tcW w:w="1247" w:type="pct"/>
            <w:vAlign w:val="bottom"/>
          </w:tcPr>
          <w:p>
            <w:pPr>
              <w:pStyle w:val="Image"/>
            </w:pPr>
            <w:r>
              <w:drawing>
                <wp:inline distT="0" distB="0" distL="0" distR="0">
                  <wp:extent cx="1254125" cy="1198832"/>
                  <wp:effectExtent l="0" t="0" r="3175" b="1905"/>
                  <wp:docPr id="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cstate="print">
                            <a:extLst>
                              <a:ext uri="{28A0092B-C50C-407E-A947-70E740481C1C}">
                                <a14:useLocalDpi xmlns:a14="http://schemas.microsoft.com/office/drawing/2010/main" val="0"/>
                              </a:ext>
                            </a:extLst>
                          </a:blip>
                          <a:srcRect/>
                          <a:stretch>
                            <a:fillRect/>
                          </a:stretch>
                        </pic:blipFill>
                        <pic:spPr>
                          <a:xfrm>
                            <a:off x="0" y="0"/>
                            <a:ext cx="1280196" cy="1223753"/>
                          </a:xfrm>
                          <a:prstGeom prst="rect">
                            <a:avLst/>
                          </a:prstGeom>
                          <a:ln/>
                        </pic:spPr>
                      </pic:pic>
                    </a:graphicData>
                  </a:graphic>
                </wp:inline>
              </w:drawing>
            </w:r>
          </w:p>
        </w:tc>
      </w:tr>
      <w:tr>
        <w:tc>
          <w:tcPr>
            <w:tcW w:w="5000" w:type="pct"/>
            <w:gridSpan w:val="2"/>
          </w:tcPr>
          <w:p>
            <w:pPr>
              <w:pStyle w:val="TableNote"/>
            </w:pPr>
            <w:r>
              <w:t>the incipit is outside the regular sequence of the lines, so it has been encoded with special numbering</w:t>
            </w:r>
          </w:p>
          <w:p>
            <w:pPr>
              <w:pStyle w:val="TableNote"/>
            </w:pPr>
            <w:r>
              <w:t>in the edition, the line with the incipit is placed before the lines of the body</w:t>
            </w:r>
          </w:p>
          <w:p>
            <w:pPr>
              <w:pStyle w:val="TableNote"/>
            </w:pPr>
            <w:r>
              <w:t>the directionality of this line has been encoded as per §</w:t>
            </w:r>
            <w:r>
              <w:fldChar w:fldCharType="begin"/>
            </w:r>
            <w:r>
              <w:instrText xml:space="preserve"> REF _Ref43984782 \r \h </w:instrText>
            </w:r>
            <w:r>
              <w:fldChar w:fldCharType="separate"/>
            </w:r>
            <w:r>
              <w:t>8.5.2</w:t>
            </w:r>
            <w:r>
              <w:fldChar w:fldCharType="end"/>
            </w:r>
          </w:p>
        </w:tc>
      </w:tr>
    </w:tbl>
    <w:p>
      <w:bookmarkStart w:id="291" w:name="_tg7yz01k2pc5" w:colFirst="0" w:colLast="0"/>
      <w:bookmarkStart w:id="292" w:name="_Ref43984537"/>
      <w:bookmarkEnd w:id="291"/>
    </w:p>
    <w:p>
      <w:pPr>
        <w:pStyle w:val="Cmsor4"/>
      </w:pPr>
      <w:bookmarkStart w:id="293" w:name="_Ref182233273"/>
      <w:r>
        <w:t xml:space="preserve">Spatially offset closing lines </w:t>
      </w:r>
      <w:r>
        <w:rPr>
          <w:noProof/>
        </w:rPr>
        <w:t>(</w:t>
      </w:r>
      <w:r>
        <w:t>colophons)</w:t>
      </w:r>
      <w:bookmarkEnd w:id="292"/>
      <w:bookmarkEnd w:id="293"/>
    </w:p>
    <w:p>
      <w:pPr>
        <w:pStyle w:val="Lista"/>
      </w:pPr>
      <w:r>
        <w:t xml:space="preserve">colophons are usually semantically separate from the principal inscription, and will therefore be normally enclosed in one or more separate </w:t>
      </w:r>
      <w:r>
        <w:rPr>
          <w:rStyle w:val="Code"/>
        </w:rPr>
        <w:t>&lt;ab&gt;</w:t>
      </w:r>
      <w:r>
        <w:t xml:space="preserve">, </w:t>
      </w:r>
      <w:r>
        <w:rPr>
          <w:rStyle w:val="Code"/>
        </w:rPr>
        <w:t>&lt;p&gt;</w:t>
      </w:r>
      <w:r>
        <w:t xml:space="preserve"> or </w:t>
      </w:r>
      <w:r>
        <w:rPr>
          <w:rStyle w:val="Code"/>
        </w:rPr>
        <w:t>&lt;lg&gt;</w:t>
      </w:r>
      <w:r>
        <w:t xml:space="preserve"> element as applicable </w:t>
      </w:r>
      <w:r>
        <w:rPr>
          <w:noProof/>
        </w:rPr>
        <w:t>(</w:t>
      </w:r>
      <w:r>
        <w:t>§</w:t>
      </w:r>
      <w:r>
        <w:fldChar w:fldCharType="begin"/>
      </w:r>
      <w:r>
        <w:instrText xml:space="preserve"> REF _Ref43978632 \w \h  \* MERGEFORMAT </w:instrText>
      </w:r>
      <w:r>
        <w:fldChar w:fldCharType="separate"/>
      </w:r>
      <w:r>
        <w:t>3</w:t>
      </w:r>
      <w:r>
        <w:fldChar w:fldCharType="end"/>
      </w:r>
      <w:r>
        <w:t>)</w:t>
      </w:r>
    </w:p>
    <w:p>
      <w:pPr>
        <w:pStyle w:val="Lista"/>
      </w:pPr>
      <w:r>
        <w:t>colophons in our texts often begin midline, contiguously with the end of the preceding text</w:t>
      </w:r>
    </w:p>
    <w:p>
      <w:pPr>
        <w:pStyle w:val="Lista"/>
      </w:pPr>
      <w:r>
        <w:t>even when a colophon occupies a line or lines on its own, such lines shall usually not be distinguished in the encoding from regular lines</w:t>
      </w:r>
    </w:p>
    <w:p>
      <w:pPr>
        <w:pStyle w:val="Lista2"/>
      </w:pPr>
      <w:r>
        <w:t>passages interpreted as colophons but physically integrated with the partition and line structure of the main field shall not be marked up in any special manner</w:t>
      </w:r>
    </w:p>
    <w:p>
      <w:pPr>
        <w:pStyle w:val="Lista3"/>
      </w:pPr>
      <w:r>
        <w:t>number their lines consecutively after the last regular line</w:t>
      </w:r>
    </w:p>
    <w:p>
      <w:pPr>
        <w:pStyle w:val="Lista2"/>
      </w:pPr>
      <w:r>
        <w:t xml:space="preserve">when one or a few last lines are aligned or oriented differently than the lines of the main field, as in </w:t>
      </w:r>
      <w:r>
        <w:fldChar w:fldCharType="begin"/>
      </w:r>
      <w:r>
        <w:instrText xml:space="preserve"> REF _Ref182232568 \h </w:instrText>
      </w:r>
      <w:r>
        <w:fldChar w:fldCharType="separate"/>
      </w:r>
      <w:r>
        <w:t xml:space="preserve">Exhibit </w:t>
      </w:r>
      <w:r>
        <w:rPr>
          <w:noProof/>
        </w:rPr>
        <w:t>4.7</w:t>
      </w:r>
      <w:r>
        <w:t>.</w:t>
      </w:r>
      <w:r>
        <w:rPr>
          <w:noProof/>
        </w:rPr>
        <w:t>D</w:t>
      </w:r>
      <w:r>
        <w:fldChar w:fldCharType="end"/>
      </w:r>
    </w:p>
    <w:p>
      <w:pPr>
        <w:pStyle w:val="Lista3"/>
      </w:pPr>
      <w:r>
        <w:t>then regardless of whether these lines comprise a colophon, these visual layout features can be optionally encoded as per §</w:t>
      </w:r>
      <w:r>
        <w:fldChar w:fldCharType="begin"/>
      </w:r>
      <w:r>
        <w:instrText xml:space="preserve"> REF _Ref43987598 \r \h </w:instrText>
      </w:r>
      <w:r>
        <w:fldChar w:fldCharType="separate"/>
      </w:r>
      <w:r>
        <w:t>8.5.1</w:t>
      </w:r>
      <w:r>
        <w:fldChar w:fldCharType="end"/>
      </w:r>
      <w:r>
        <w:t xml:space="preserve"> and §</w:t>
      </w:r>
      <w:r>
        <w:fldChar w:fldCharType="begin"/>
      </w:r>
      <w:r>
        <w:instrText xml:space="preserve"> REF _Ref43984782 \w \h  \* MERGEFORMAT </w:instrText>
      </w:r>
      <w:r>
        <w:fldChar w:fldCharType="separate"/>
      </w:r>
      <w:r>
        <w:t>8.5.2</w:t>
      </w:r>
      <w:r>
        <w:fldChar w:fldCharType="end"/>
      </w:r>
    </w:p>
    <w:p>
      <w:pPr>
        <w:pStyle w:val="Lista"/>
      </w:pPr>
      <w:r>
        <w:t xml:space="preserve">however, when a smaller piece of text that is deemed to belong rather to the end than to the beginning of the text (i.e. to be an explicit rather than an incipit) is inset into the principal campus at a corner, edge, or floating inside (as in </w:t>
      </w:r>
      <w:r>
        <w:fldChar w:fldCharType="begin"/>
      </w:r>
      <w:r>
        <w:instrText xml:space="preserve"> REF _Ref225765628 \h </w:instrText>
      </w:r>
      <w:r>
        <w:fldChar w:fldCharType="separate"/>
      </w:r>
      <w:r>
        <w:t xml:space="preserve">Exhibit </w:t>
      </w:r>
      <w:r>
        <w:rPr>
          <w:noProof/>
        </w:rPr>
        <w:t>4.7</w:t>
      </w:r>
      <w:r>
        <w:t>.</w:t>
      </w:r>
      <w:r>
        <w:rPr>
          <w:noProof/>
        </w:rPr>
        <w:t>E</w:t>
      </w:r>
      <w:r>
        <w:fldChar w:fldCharType="end"/>
      </w:r>
      <w:r>
        <w:t>), this may be represented by a different numeration scheme, which by DHARMA convention indicates a visually offset explicit</w:t>
      </w:r>
    </w:p>
    <w:p>
      <w:pPr>
        <w:pStyle w:val="Lista2"/>
      </w:pPr>
      <w:r>
        <w:t>the recommended numeration scheme is to add a leading 0 (zero) to the numbers of offset lines</w:t>
      </w:r>
    </w:p>
    <w:p>
      <w:pPr>
        <w:pStyle w:val="Lista3"/>
      </w:pPr>
      <w:r>
        <w:t xml:space="preserve">for simple line numbers, use 01, 02, etc. for visually offset explicit lines, as in </w:t>
      </w:r>
      <w:r>
        <w:fldChar w:fldCharType="begin"/>
      </w:r>
      <w:r>
        <w:instrText xml:space="preserve"> REF _Ref225765626 \h </w:instrText>
      </w:r>
      <w:r>
        <w:fldChar w:fldCharType="separate"/>
      </w:r>
      <w:r>
        <w:t xml:space="preserve">Exhibit </w:t>
      </w:r>
      <w:r>
        <w:rPr>
          <w:noProof/>
        </w:rPr>
        <w:t>4.7</w:t>
      </w:r>
      <w:r>
        <w:t>.</w:t>
      </w:r>
      <w:r>
        <w:rPr>
          <w:noProof/>
        </w:rPr>
        <w:t>B</w:t>
      </w:r>
      <w:r>
        <w:fldChar w:fldCharType="end"/>
      </w:r>
    </w:p>
    <w:p>
      <w:pPr>
        <w:pStyle w:val="Lista3"/>
      </w:pPr>
      <w:r>
        <w:t>if the lines of your edition are numbered using the repetitive scheme (§</w:t>
      </w:r>
      <w:r>
        <w:fldChar w:fldCharType="begin"/>
      </w:r>
      <w:r>
        <w:instrText xml:space="preserve"> REF _Ref182228380 \r \h </w:instrText>
      </w:r>
      <w:r>
        <w:fldChar w:fldCharType="separate"/>
      </w:r>
      <w:r>
        <w:t>4.5.2.2</w:t>
      </w:r>
      <w:r>
        <w:fldChar w:fldCharType="end"/>
      </w:r>
      <w:r>
        <w:t>), use A01, A02, B01, etc. on any pagelike partition where an offset explicit is present</w:t>
      </w:r>
    </w:p>
    <w:p>
      <w:pPr>
        <w:pStyle w:val="Lista2"/>
      </w:pPr>
      <w:r>
        <w:lastRenderedPageBreak/>
        <w:t>if desired, you may opt for a different numeration scheme for explicit lines, so long as all line numbers remain unique through an edition (or textpart division)</w:t>
      </w:r>
    </w:p>
    <w:p>
      <w:pPr>
        <w:pStyle w:val="Lista"/>
      </w:pPr>
      <w:r>
        <w:t xml:space="preserve">all other details of presentation </w:t>
      </w:r>
      <w:r>
        <w:rPr>
          <w:noProof/>
        </w:rPr>
        <w:t>(</w:t>
      </w:r>
      <w:r>
        <w:t>e.g. line length, relative location, interference with the regular lines) shall be recorded for human readers in your annotation, but not encoded expressly</w:t>
      </w:r>
    </w:p>
    <w:tbl>
      <w:tblPr>
        <w:tblStyle w:val="CodeSampleTable"/>
        <w:tblW w:w="5000" w:type="pct"/>
        <w:tblLook w:val="04A0" w:firstRow="1" w:lastRow="0" w:firstColumn="1" w:lastColumn="0" w:noHBand="0" w:noVBand="1"/>
      </w:tblPr>
      <w:tblGrid>
        <w:gridCol w:w="4814"/>
        <w:gridCol w:w="4814"/>
      </w:tblGrid>
      <w:tr>
        <w:trPr>
          <w:cnfStyle w:val="100000000000" w:firstRow="1" w:lastRow="0" w:firstColumn="0" w:lastColumn="0" w:oddVBand="0" w:evenVBand="0" w:oddHBand="0" w:evenHBand="0" w:firstRowFirstColumn="0" w:firstRowLastColumn="0" w:lastRowFirstColumn="0" w:lastRowLastColumn="0"/>
        </w:trPr>
        <w:tc>
          <w:tcPr>
            <w:tcW w:w="5000" w:type="pct"/>
            <w:gridSpan w:val="2"/>
          </w:tcPr>
          <w:p>
            <w:pPr>
              <w:pStyle w:val="Kpalrs"/>
              <w:keepLines/>
            </w:pPr>
            <w:bookmarkStart w:id="294" w:name="_Ref182232568"/>
            <w:r>
              <w:t xml:space="preserve">Exhibit </w:t>
            </w:r>
            <w:fldSimple w:instr=" STYLEREF 2 \s ">
              <w:r>
                <w:rPr>
                  <w:noProof/>
                </w:rPr>
                <w:t>4.7</w:t>
              </w:r>
            </w:fldSimple>
            <w:r>
              <w:t>.</w:t>
            </w:r>
            <w:fldSimple w:instr=" SEQ Exhibit \* ALPHABETIC \s 2 ">
              <w:r>
                <w:rPr>
                  <w:noProof/>
                </w:rPr>
                <w:t>D</w:t>
              </w:r>
            </w:fldSimple>
            <w:bookmarkEnd w:id="294"/>
            <w:r>
              <w:t>: last line inscribed vertically in the right margin</w:t>
            </w:r>
          </w:p>
        </w:tc>
      </w:tr>
      <w:tr>
        <w:tc>
          <w:tcPr>
            <w:tcW w:w="2500" w:type="pct"/>
          </w:tcPr>
          <w:p>
            <w:pPr>
              <w:pStyle w:val="CodeParagraph"/>
              <w:rPr>
                <w:rStyle w:val="Codetext"/>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/&gt;there lived a hobbit. Not</w:t>
            </w:r>
          </w:p>
          <w:p>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a nasty, dirty, wet hole,</w:t>
            </w:r>
          </w:p>
          <w:p>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filled with the ends of</w:t>
            </w:r>
          </w:p>
          <w:p>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worms and an oozy</w:t>
            </w:r>
          </w:p>
          <w:p>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smell, nor yet a dry, bare,</w:t>
            </w:r>
          </w:p>
          <w:p>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sandy hole with nothing</w:t>
            </w:r>
          </w:p>
          <w:p>
            <w:pPr>
              <w:pStyle w:val="CodeParagraph"/>
            </w:pPr>
            <w:r>
              <w:rPr>
                <w:rStyle w:val="Codetext"/>
              </w:rPr>
              <w:t xml:space="preserve">  </w:t>
            </w:r>
            <w:r>
              <w:rPr>
                <w:rStyle w:val="Code"/>
              </w:rPr>
              <w:t xml:space="preserve">&lt;lb </w:t>
            </w:r>
            <w:r>
              <w:rPr>
                <w:rStyle w:val="Codeattribute"/>
              </w:rPr>
              <w:t>n</w:t>
            </w:r>
            <w:r>
              <w:rPr>
                <w:rStyle w:val="Code"/>
              </w:rPr>
              <w:t>=</w:t>
            </w:r>
            <w:r>
              <w:rPr>
                <w:rStyle w:val="Codevalue"/>
              </w:rPr>
              <w:t>"8"</w:t>
            </w:r>
            <w:r>
              <w:rPr>
                <w:rStyle w:val="Code"/>
              </w:rPr>
              <w:t>/&gt;</w:t>
            </w:r>
            <w:r>
              <w:rPr>
                <w:rStyle w:val="Codetext"/>
              </w:rPr>
              <w:t>in it to sit down on or to</w:t>
            </w:r>
            <w:r>
              <w:rPr>
                <w:rStyle w:val="Codetext"/>
              </w:rPr>
              <w:br/>
              <w:t xml:space="preserve">  </w:t>
            </w:r>
            <w:r>
              <w:rPr>
                <w:rStyle w:val="Code"/>
              </w:rPr>
              <w:t xml:space="preserve">&lt;lb </w:t>
            </w:r>
            <w:r>
              <w:rPr>
                <w:rStyle w:val="Codeattribute"/>
              </w:rPr>
              <w:t>n</w:t>
            </w:r>
            <w:r>
              <w:rPr>
                <w:rStyle w:val="Code"/>
              </w:rPr>
              <w:t>=</w:t>
            </w:r>
            <w:r>
              <w:rPr>
                <w:rStyle w:val="Codevalue"/>
              </w:rPr>
              <w:t>"9"</w:t>
            </w:r>
            <w:r>
              <w:rPr>
                <w:rStyle w:val="Code"/>
              </w:rPr>
              <w:t>/&gt;</w:t>
            </w:r>
            <w:r>
              <w:rPr>
                <w:rStyle w:val="Codetext"/>
              </w:rPr>
              <w:t>eat: it was a hobbit-hole</w:t>
            </w:r>
            <w:r>
              <w:rPr>
                <w:rStyle w:val="Codetext"/>
              </w:rPr>
              <w:br/>
              <w:t xml:space="preserve">  </w:t>
            </w:r>
            <w:r>
              <w:rPr>
                <w:rStyle w:val="Code"/>
              </w:rPr>
              <w:t xml:space="preserve">&lt;lb </w:t>
            </w:r>
            <w:r>
              <w:rPr>
                <w:rStyle w:val="Codeattribute"/>
              </w:rPr>
              <w:t>n</w:t>
            </w:r>
            <w:r>
              <w:rPr>
                <w:rStyle w:val="Code"/>
              </w:rPr>
              <w:t>=</w:t>
            </w:r>
            <w:r>
              <w:rPr>
                <w:rStyle w:val="Codevalue"/>
              </w:rPr>
              <w:t>"10"</w:t>
            </w:r>
            <w:r>
              <w:rPr>
                <w:rStyle w:val="Code"/>
              </w:rPr>
              <w:t xml:space="preserve"> </w:t>
            </w:r>
            <w:r>
              <w:rPr>
                <w:rStyle w:val="Codeattribute"/>
              </w:rPr>
              <w:t>rend</w:t>
            </w:r>
            <w:r>
              <w:rPr>
                <w:rStyle w:val="Code"/>
              </w:rPr>
              <w:t>=</w:t>
            </w:r>
            <w:r>
              <w:rPr>
                <w:rStyle w:val="Codevalue"/>
              </w:rPr>
              <w:t>"bt-rotated"</w:t>
            </w:r>
            <w:r>
              <w:rPr>
                <w:rStyle w:val="Code"/>
              </w:rPr>
              <w:t>/&gt;</w:t>
            </w:r>
            <w:r>
              <w:rPr>
                <w:rStyle w:val="Codetext"/>
              </w:rPr>
              <w:t>and that means comfort.</w:t>
            </w:r>
            <w:r>
              <w:rPr>
                <w:rStyle w:val="Codetext"/>
              </w:rPr>
              <w:br/>
            </w:r>
            <w:r>
              <w:rPr>
                <w:rStyle w:val="Code"/>
              </w:rPr>
              <w:t>&lt;/p&gt;</w:t>
            </w:r>
          </w:p>
        </w:tc>
        <w:tc>
          <w:tcPr>
            <w:tcW w:w="2500" w:type="pct"/>
            <w:vAlign w:val="bottom"/>
          </w:tcPr>
          <w:p>
            <w:pPr>
              <w:pStyle w:val="Image"/>
            </w:pPr>
            <w:r>
              <w:drawing>
                <wp:inline distT="0" distB="0" distL="0" distR="0">
                  <wp:extent cx="2879725" cy="2381250"/>
                  <wp:effectExtent l="0" t="0" r="0" b="0"/>
                  <wp:docPr id="1563944009"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79725" cy="2381250"/>
                          </a:xfrm>
                          <a:prstGeom prst="rect">
                            <a:avLst/>
                          </a:prstGeom>
                          <a:noFill/>
                          <a:ln>
                            <a:noFill/>
                          </a:ln>
                        </pic:spPr>
                      </pic:pic>
                    </a:graphicData>
                  </a:graphic>
                </wp:inline>
              </w:drawing>
            </w:r>
          </w:p>
        </w:tc>
      </w:tr>
      <w:tr>
        <w:tc>
          <w:tcPr>
            <w:tcW w:w="5000" w:type="pct"/>
            <w:gridSpan w:val="2"/>
          </w:tcPr>
          <w:p>
            <w:pPr>
              <w:pStyle w:val="TableNote"/>
            </w:pPr>
            <w:r>
              <w:t>the last line was presumably written in the margin because the engraver had run out of space</w:t>
            </w:r>
          </w:p>
          <w:p>
            <w:pPr>
              <w:pStyle w:val="TableNote"/>
            </w:pPr>
            <w:r>
              <w:t>no encoding indicates this quirk of layout</w:t>
            </w:r>
          </w:p>
          <w:p>
            <w:pPr>
              <w:pStyle w:val="TableNote"/>
            </w:pPr>
            <w:r>
              <w:t>but the directionality of the last line is encoded as per §</w:t>
            </w:r>
            <w:r>
              <w:fldChar w:fldCharType="begin"/>
            </w:r>
            <w:r>
              <w:instrText xml:space="preserve"> REF _Ref43984782 \w \h  \* MERGEFORMAT </w:instrText>
            </w:r>
            <w:r>
              <w:fldChar w:fldCharType="separate"/>
            </w:r>
            <w:r>
              <w:t>8.5.2</w:t>
            </w:r>
            <w:r>
              <w:fldChar w:fldCharType="end"/>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295" w:name="_Ref225765628"/>
            <w:r>
              <w:t xml:space="preserve">Exhibit </w:t>
            </w:r>
            <w:fldSimple w:instr=" STYLEREF 2 \s ">
              <w:r>
                <w:rPr>
                  <w:noProof/>
                </w:rPr>
                <w:t>4.7</w:t>
              </w:r>
            </w:fldSimple>
            <w:r>
              <w:t>.</w:t>
            </w:r>
            <w:fldSimple w:instr=" SEQ Exhibit \* ALPHABETIC \s 2 ">
              <w:r>
                <w:rPr>
                  <w:noProof/>
                </w:rPr>
                <w:t>E</w:t>
              </w:r>
            </w:fldSimple>
            <w:bookmarkEnd w:id="295"/>
            <w:r>
              <w:t>: explicit floating within the principal inscribed field</w:t>
            </w:r>
          </w:p>
        </w:tc>
      </w:tr>
      <w:tr>
        <w:tc>
          <w:tcPr>
            <w:tcW w:w="5000" w:type="pct"/>
          </w:tcPr>
          <w:p>
            <w:pPr>
              <w:pStyle w:val="Image"/>
            </w:pPr>
            <w:r>
              <w:drawing>
                <wp:inline distT="0" distB="0" distL="0" distR="0">
                  <wp:extent cx="6120765" cy="1167130"/>
                  <wp:effectExtent l="0" t="0" r="0" b="0"/>
                  <wp:docPr id="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0765" cy="1167130"/>
                          </a:xfrm>
                          <a:prstGeom prst="rect">
                            <a:avLst/>
                          </a:prstGeom>
                          <a:noFill/>
                          <a:ln>
                            <a:noFill/>
                          </a:ln>
                        </pic:spPr>
                      </pic:pic>
                    </a:graphicData>
                  </a:graphic>
                </wp:inline>
              </w:drawing>
            </w:r>
          </w:p>
        </w:tc>
      </w:tr>
      <w:tr>
        <w:tc>
          <w:tcPr>
            <w:tcW w:w="5000" w:type="pct"/>
          </w:tcPr>
          <w:p>
            <w:pPr>
              <w:pStyle w:val="CodeParagraph"/>
              <w:rPr>
                <w:rStyle w:val="Code"/>
              </w:rPr>
            </w:pPr>
            <w:r>
              <w:rPr>
                <w:rStyle w:val="Code"/>
              </w:rPr>
              <w:t>&lt;p&gt;</w:t>
            </w:r>
          </w:p>
          <w:p>
            <w:pPr>
              <w:pStyle w:val="CodeParagraph"/>
              <w:rPr>
                <w:rStyle w:val="Code"/>
              </w:rPr>
            </w:pPr>
            <w:r>
              <w:rPr>
                <w:rStyle w:val="Code"/>
              </w:rPr>
              <w:t xml:space="preserve">  ...</w:t>
            </w:r>
          </w:p>
          <w:p>
            <w:pPr>
              <w:pStyle w:val="CodeParagraph"/>
              <w:rPr>
                <w:rStyle w:val="Code"/>
              </w:rPr>
            </w:pPr>
            <w:r>
              <w:rPr>
                <w:rStyle w:val="Code"/>
              </w:rPr>
              <w:t xml:space="preserve">  &lt;lb </w:t>
            </w:r>
            <w:r>
              <w:rPr>
                <w:rStyle w:val="Codeattribute"/>
              </w:rPr>
              <w:t>n=</w:t>
            </w:r>
            <w:r>
              <w:rPr>
                <w:rStyle w:val="Codevalue"/>
              </w:rPr>
              <w:t>"60"</w:t>
            </w:r>
            <w:r>
              <w:rPr>
                <w:rStyle w:val="Code"/>
              </w:rPr>
              <w:t xml:space="preserve"> </w:t>
            </w:r>
            <w:r>
              <w:rPr>
                <w:rStyle w:val="Codeattribute"/>
              </w:rPr>
              <w:t>break=</w:t>
            </w:r>
            <w:r>
              <w:rPr>
                <w:rStyle w:val="Codevalue"/>
              </w:rPr>
              <w:t>"no"</w:t>
            </w:r>
            <w:r>
              <w:rPr>
                <w:rStyle w:val="Code"/>
              </w:rPr>
              <w:t>/&gt;āṉat=tuk=ku=M&lt;/p&gt;</w:t>
            </w:r>
          </w:p>
          <w:p>
            <w:pPr>
              <w:pStyle w:val="CodeParagraph"/>
              <w:rPr>
                <w:rStyle w:val="Code"/>
              </w:rPr>
            </w:pPr>
            <w:r>
              <w:rPr>
                <w:rStyle w:val="Code"/>
              </w:rPr>
              <w:t>&lt;p&gt;civayōka-ṉāyaki A</w:t>
            </w:r>
          </w:p>
          <w:p>
            <w:pPr>
              <w:pStyle w:val="CodeParagraph"/>
              <w:rPr>
                <w:rStyle w:val="Code"/>
              </w:rPr>
            </w:pPr>
            <w:r>
              <w:rPr>
                <w:rStyle w:val="Code"/>
              </w:rPr>
              <w:t xml:space="preserve">  &lt;lb </w:t>
            </w:r>
            <w:r>
              <w:rPr>
                <w:rStyle w:val="Codeattribute"/>
              </w:rPr>
              <w:t>n=</w:t>
            </w:r>
            <w:r>
              <w:rPr>
                <w:rStyle w:val="Codevalue"/>
              </w:rPr>
              <w:t>"61"</w:t>
            </w:r>
            <w:r>
              <w:rPr>
                <w:rStyle w:val="Code"/>
              </w:rPr>
              <w:t xml:space="preserve"> </w:t>
            </w:r>
            <w:r>
              <w:rPr>
                <w:rStyle w:val="Codeattribute"/>
              </w:rPr>
              <w:t>break=</w:t>
            </w:r>
            <w:r>
              <w:rPr>
                <w:rStyle w:val="Code"/>
              </w:rPr>
              <w:t>"</w:t>
            </w:r>
            <w:r>
              <w:rPr>
                <w:rStyle w:val="Codevalue"/>
              </w:rPr>
              <w:t>no"</w:t>
            </w:r>
            <w:r>
              <w:rPr>
                <w:rStyle w:val="Code"/>
              </w:rPr>
              <w:t>/&gt;mmaṉuk=ku=M Aṭap=pa-varicai Āparaṇat=tu=k=ku=M</w:t>
            </w:r>
          </w:p>
          <w:p>
            <w:pPr>
              <w:pStyle w:val="CodeParagraph"/>
              <w:rPr>
                <w:rStyle w:val="Code"/>
              </w:rPr>
            </w:pPr>
            <w:r>
              <w:rPr>
                <w:rStyle w:val="Code"/>
              </w:rPr>
              <w:t xml:space="preserve">  ...</w:t>
            </w:r>
          </w:p>
          <w:p>
            <w:pPr>
              <w:pStyle w:val="CodeParagraph"/>
              <w:rPr>
                <w:rStyle w:val="Code"/>
              </w:rPr>
            </w:pPr>
            <w:r>
              <w:rPr>
                <w:rStyle w:val="Code"/>
              </w:rPr>
              <w:t>&lt;/p&gt;</w:t>
            </w:r>
          </w:p>
          <w:p>
            <w:pPr>
              <w:pStyle w:val="CodeParagraph"/>
              <w:rPr>
                <w:rStyle w:val="Code"/>
              </w:rPr>
            </w:pPr>
            <w:r>
              <w:rPr>
                <w:rStyle w:val="Code"/>
              </w:rPr>
              <w:t>&lt;ab&gt;</w:t>
            </w:r>
          </w:p>
          <w:p>
            <w:pPr>
              <w:pStyle w:val="CodeParagraph"/>
              <w:rPr>
                <w:rStyle w:val="Code"/>
              </w:rPr>
            </w:pPr>
            <w:r>
              <w:rPr>
                <w:rStyle w:val="Code"/>
              </w:rPr>
              <w:t xml:space="preserve">  &lt;lb </w:t>
            </w:r>
            <w:r>
              <w:rPr>
                <w:rStyle w:val="Codeattribute"/>
              </w:rPr>
              <w:t>n=</w:t>
            </w:r>
            <w:r>
              <w:rPr>
                <w:rStyle w:val="Codevalue"/>
              </w:rPr>
              <w:t>"01"</w:t>
            </w:r>
            <w:r>
              <w:rPr>
                <w:rStyle w:val="Code"/>
              </w:rPr>
              <w:t xml:space="preserve">/&gt;&lt;seg </w:t>
            </w:r>
            <w:r>
              <w:rPr>
                <w:rStyle w:val="Codeattribute"/>
              </w:rPr>
              <w:t>rendition</w:t>
            </w:r>
            <w:r>
              <w:rPr>
                <w:rStyle w:val="Codetext"/>
              </w:rPr>
              <w:t>=</w:t>
            </w:r>
            <w:r>
              <w:rPr>
                <w:rStyle w:val="Codevalue"/>
              </w:rPr>
              <w:t>"class:36768 maturity:83213"</w:t>
            </w:r>
            <w:r>
              <w:rPr>
                <w:rStyle w:val="Code"/>
              </w:rPr>
              <w:t>&gt;śrī-śaṁkaran·&lt;/seg&gt; tuṇai</w:t>
            </w:r>
          </w:p>
          <w:p>
            <w:pPr>
              <w:pStyle w:val="CodeParagraph"/>
              <w:rPr>
                <w:rStyle w:val="Code"/>
              </w:rPr>
            </w:pPr>
            <w:r>
              <w:rPr>
                <w:rStyle w:val="Code"/>
              </w:rPr>
              <w:t>&lt;/ab&gt;</w:t>
            </w:r>
          </w:p>
        </w:tc>
      </w:tr>
      <w:tr>
        <w:tc>
          <w:tcPr>
            <w:tcW w:w="5000" w:type="pct"/>
          </w:tcPr>
          <w:p>
            <w:pPr>
              <w:pStyle w:val="TableNote"/>
            </w:pPr>
            <w:r>
              <w:t>the text in the frame is a blessing that is not connected to the adjacent text</w:t>
            </w:r>
          </w:p>
          <w:p>
            <w:pPr>
              <w:pStyle w:val="TableNote"/>
            </w:pPr>
            <w:r>
              <w:t>the frame is located in the lower third of the verso of a copper plate</w:t>
            </w:r>
          </w:p>
          <w:p>
            <w:pPr>
              <w:pStyle w:val="TableNote"/>
            </w:pPr>
            <w:r>
              <w:t>the contents of the frame have been represented as a specially numbered explicit</w:t>
            </w:r>
          </w:p>
          <w:p>
            <w:pPr>
              <w:pStyle w:val="TableNote"/>
            </w:pPr>
            <w:r>
              <w:t>in the edition, it is placed in logical sequence after the lines of the body</w:t>
            </w:r>
          </w:p>
          <w:p>
            <w:pPr>
              <w:pStyle w:val="TableNote"/>
            </w:pPr>
            <w:r>
              <w:t>at the physical location of the inset, only the regular body lines are represented in the edition</w:t>
            </w:r>
          </w:p>
          <w:p>
            <w:pPr>
              <w:pStyle w:val="TableNote"/>
            </w:pPr>
            <w:r>
              <w:t>the Grantha script used in part of the blessing is encoded as per §</w:t>
            </w:r>
            <w:r>
              <w:fldChar w:fldCharType="begin"/>
            </w:r>
            <w:r>
              <w:instrText xml:space="preserve"> REF _Ref232173895 \r \h </w:instrText>
            </w:r>
            <w:r>
              <w:fldChar w:fldCharType="separate"/>
            </w:r>
            <w:r>
              <w:t>8.2.3.4</w:t>
            </w:r>
            <w:r>
              <w:fldChar w:fldCharType="end"/>
            </w:r>
            <w:r>
              <w:t xml:space="preserve"> </w:t>
            </w:r>
          </w:p>
        </w:tc>
      </w:tr>
    </w:tbl>
    <w:p/>
    <w:p>
      <w:pPr>
        <w:pStyle w:val="Cmsor3"/>
      </w:pPr>
      <w:bookmarkStart w:id="296" w:name="_l370o66akj7v" w:colFirst="0" w:colLast="0"/>
      <w:bookmarkStart w:id="297" w:name="_Ref43984607"/>
      <w:bookmarkStart w:id="298" w:name="_Toc242976613"/>
      <w:bookmarkEnd w:id="296"/>
      <w:r>
        <w:t>Pagination or foliation: “forme work”</w:t>
      </w:r>
      <w:bookmarkEnd w:id="297"/>
      <w:bookmarkEnd w:id="298"/>
    </w:p>
    <w:p>
      <w:r>
        <w:t>Copperplate sets sometimes bear numbers to indicate the reading order of folios. In principle, other inscriptions involving pagelike partitions (§</w:t>
      </w:r>
      <w:r>
        <w:fldChar w:fldCharType="begin"/>
      </w:r>
      <w:r>
        <w:instrText xml:space="preserve"> REF _Ref233982406 \r \h </w:instrText>
      </w:r>
      <w:r>
        <w:fldChar w:fldCharType="separate"/>
      </w:r>
      <w:r>
        <w:t>4.4</w:t>
      </w:r>
      <w:r>
        <w:fldChar w:fldCharType="end"/>
      </w:r>
      <w:r>
        <w:t xml:space="preserve">) might also include labels or numeration outside the principal field of one or more pages. The generic term for such items is </w:t>
      </w:r>
      <w:r>
        <w:rPr>
          <w:i/>
          <w:iCs/>
        </w:rPr>
        <w:t>forme work</w:t>
      </w:r>
      <w:r>
        <w:t xml:space="preserve">, borrowed from printing jargon, where </w:t>
      </w:r>
      <w:r>
        <w:rPr>
          <w:rStyle w:val="Foreign"/>
        </w:rPr>
        <w:lastRenderedPageBreak/>
        <w:t>forme</w:t>
      </w:r>
      <w:r>
        <w:t xml:space="preserve"> means the frame constructed to hold the blocks of movable type that constitute a page. In our encoding practice, the use of forme work shall be restricted to cases where very short, identical or similar pieces of text (typically for numeration) appear in conjunction with one or more pages of a document involving pagelike partitions. In other cases, consider whether the text item you are dealing with is rather an incipit (§</w:t>
      </w:r>
      <w:r>
        <w:fldChar w:fldCharType="begin"/>
      </w:r>
      <w:r>
        <w:instrText xml:space="preserve"> REF _Ref43978135 \r \h </w:instrText>
      </w:r>
      <w:r>
        <w:fldChar w:fldCharType="separate"/>
      </w:r>
      <w:r>
        <w:t>4.7.1.1</w:t>
      </w:r>
      <w:r>
        <w:fldChar w:fldCharType="end"/>
      </w:r>
      <w:r>
        <w:t>) or a colophon (§</w:t>
      </w:r>
      <w:r>
        <w:fldChar w:fldCharType="begin"/>
      </w:r>
      <w:r>
        <w:instrText xml:space="preserve"> REF _Ref182233273 \r \h </w:instrText>
      </w:r>
      <w:r>
        <w:fldChar w:fldCharType="separate"/>
      </w:r>
      <w:r>
        <w:t>4.7.1.2</w:t>
      </w:r>
      <w:r>
        <w:fldChar w:fldCharType="end"/>
      </w:r>
      <w:r>
        <w:t xml:space="preserve">). The encoding of forme work is illustrated in </w:t>
      </w:r>
      <w:r>
        <w:fldChar w:fldCharType="begin"/>
      </w:r>
      <w:r>
        <w:instrText xml:space="preserve"> REF _Ref182234393 \h </w:instrText>
      </w:r>
      <w:r>
        <w:fldChar w:fldCharType="separate"/>
      </w:r>
      <w:r>
        <w:t xml:space="preserve">Exhibit </w:t>
      </w:r>
      <w:r>
        <w:rPr>
          <w:noProof/>
        </w:rPr>
        <w:t>4.7</w:t>
      </w:r>
      <w:r>
        <w:t>.</w:t>
      </w:r>
      <w:r>
        <w:rPr>
          <w:noProof/>
        </w:rPr>
        <w:t>G</w:t>
      </w:r>
      <w:r>
        <w:fldChar w:fldCharType="end"/>
      </w:r>
      <w:r>
        <w:t>.</w:t>
      </w:r>
    </w:p>
    <w:p>
      <w:pPr>
        <w:pStyle w:val="Cmsor4"/>
      </w:pPr>
      <w:r>
        <w:t>Encoding forme work</w:t>
      </w:r>
    </w:p>
    <w:tbl>
      <w:tblPr>
        <w:tblStyle w:val="FigureTable"/>
        <w:tblpPr w:leftFromText="181" w:rightFromText="181" w:vertAnchor="text" w:horzAnchor="margin" w:tblpXSpec="right" w:tblpY="92"/>
        <w:tblW w:w="4536" w:type="dxa"/>
        <w:jc w:val="right"/>
        <w:tblLook w:val="04A0" w:firstRow="1" w:lastRow="0" w:firstColumn="1" w:lastColumn="0" w:noHBand="0" w:noVBand="1"/>
      </w:tblPr>
      <w:tblGrid>
        <w:gridCol w:w="4536"/>
      </w:tblGrid>
      <w:tr>
        <w:trPr>
          <w:cnfStyle w:val="100000000000" w:firstRow="1" w:lastRow="0" w:firstColumn="0" w:lastColumn="0" w:oddVBand="0" w:evenVBand="0" w:oddHBand="0" w:evenHBand="0" w:firstRowFirstColumn="0" w:firstRowLastColumn="0" w:lastRowFirstColumn="0" w:lastRowLastColumn="0"/>
          <w:jc w:val="right"/>
        </w:trPr>
        <w:tc>
          <w:tcPr>
            <w:tcW w:w="0" w:type="auto"/>
          </w:tcPr>
          <w:p>
            <w:pPr>
              <w:pStyle w:val="Kpalrs"/>
            </w:pPr>
            <w:bookmarkStart w:id="299" w:name="_Ref225777931"/>
            <w:r>
              <w:t xml:space="preserve">Exhibit </w:t>
            </w:r>
            <w:fldSimple w:instr=" STYLEREF 2 \s ">
              <w:r>
                <w:rPr>
                  <w:noProof/>
                </w:rPr>
                <w:t>4.7</w:t>
              </w:r>
            </w:fldSimple>
            <w:r>
              <w:t>.</w:t>
            </w:r>
            <w:fldSimple w:instr=" SEQ Exhibit \* ALPHABETIC \s 2 ">
              <w:r>
                <w:rPr>
                  <w:noProof/>
                </w:rPr>
                <w:t>F</w:t>
              </w:r>
            </w:fldSimple>
            <w:bookmarkEnd w:id="299"/>
            <w:r>
              <w:t>. Location of forme work with respect to the principal field</w:t>
            </w:r>
          </w:p>
        </w:tc>
      </w:tr>
      <w:tr>
        <w:trPr>
          <w:jc w:val="right"/>
        </w:trPr>
        <w:tc>
          <w:tcPr>
            <w:tcW w:w="0" w:type="auto"/>
          </w:tcPr>
          <w:tbl>
            <w:tblPr>
              <w:tblStyle w:val="77"/>
              <w:tblW w:w="4253"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275"/>
              <w:gridCol w:w="1524"/>
              <w:gridCol w:w="1454"/>
            </w:tblGrid>
            <w:tr>
              <w:trPr>
                <w:jc w:val="center"/>
              </w:trPr>
              <w:tc>
                <w:tcPr>
                  <w:tcW w:w="0" w:type="auto"/>
                  <w:tcBorders>
                    <w:top w:val="single" w:sz="8" w:space="0" w:color="auto"/>
                  </w:tcBorders>
                  <w:tcMar>
                    <w:top w:w="100" w:type="dxa"/>
                    <w:left w:w="100" w:type="dxa"/>
                    <w:bottom w:w="100" w:type="dxa"/>
                    <w:right w:w="100" w:type="dxa"/>
                  </w:tcMar>
                </w:tcPr>
                <w:p>
                  <w:pPr>
                    <w:pStyle w:val="Tabletext"/>
                    <w:keepNext/>
                    <w:keepLines/>
                    <w:framePr w:hSpace="181" w:wrap="around" w:vAnchor="text" w:hAnchor="margin" w:xAlign="right" w:y="92"/>
                    <w:jc w:val="right"/>
                  </w:pPr>
                  <w:r>
                    <w:t>top-left</w:t>
                  </w:r>
                </w:p>
              </w:tc>
              <w:tc>
                <w:tcPr>
                  <w:tcW w:w="0" w:type="auto"/>
                  <w:tcBorders>
                    <w:top w:val="single" w:sz="8" w:space="0" w:color="auto"/>
                  </w:tcBorders>
                  <w:tcMar>
                    <w:top w:w="100" w:type="dxa"/>
                    <w:left w:w="100" w:type="dxa"/>
                    <w:bottom w:w="100" w:type="dxa"/>
                    <w:right w:w="100" w:type="dxa"/>
                  </w:tcMar>
                </w:tcPr>
                <w:p>
                  <w:pPr>
                    <w:pStyle w:val="Tabletext"/>
                    <w:keepNext/>
                    <w:keepLines/>
                    <w:framePr w:hSpace="181" w:wrap="around" w:vAnchor="text" w:hAnchor="margin" w:xAlign="right" w:y="92"/>
                    <w:jc w:val="center"/>
                  </w:pPr>
                  <w:r>
                    <w:t>top</w:t>
                  </w:r>
                </w:p>
              </w:tc>
              <w:tc>
                <w:tcPr>
                  <w:tcW w:w="0" w:type="auto"/>
                  <w:tcBorders>
                    <w:top w:val="single" w:sz="8" w:space="0" w:color="auto"/>
                  </w:tcBorders>
                  <w:tcMar>
                    <w:top w:w="100" w:type="dxa"/>
                    <w:left w:w="100" w:type="dxa"/>
                    <w:bottom w:w="100" w:type="dxa"/>
                    <w:right w:w="100" w:type="dxa"/>
                  </w:tcMar>
                </w:tcPr>
                <w:p>
                  <w:pPr>
                    <w:pStyle w:val="Tabletext"/>
                    <w:keepNext/>
                    <w:keepLines/>
                    <w:framePr w:hSpace="181" w:wrap="around" w:vAnchor="text" w:hAnchor="margin" w:xAlign="right" w:y="92"/>
                  </w:pPr>
                  <w:r>
                    <w:t>top-right</w:t>
                  </w:r>
                </w:p>
              </w:tc>
            </w:tr>
            <w:tr>
              <w:trPr>
                <w:jc w:val="center"/>
              </w:trPr>
              <w:tc>
                <w:tcPr>
                  <w:tcW w:w="0" w:type="auto"/>
                  <w:tcMar>
                    <w:top w:w="100" w:type="dxa"/>
                    <w:left w:w="100" w:type="dxa"/>
                    <w:bottom w:w="100" w:type="dxa"/>
                    <w:right w:w="100" w:type="dxa"/>
                  </w:tcMar>
                  <w:vAlign w:val="center"/>
                </w:tcPr>
                <w:p>
                  <w:pPr>
                    <w:pStyle w:val="Tabletext"/>
                    <w:keepNext/>
                    <w:keepLines/>
                    <w:framePr w:hSpace="181" w:wrap="around" w:vAnchor="text" w:hAnchor="margin" w:xAlign="right" w:y="92"/>
                    <w:jc w:val="center"/>
                  </w:pPr>
                </w:p>
                <w:p>
                  <w:pPr>
                    <w:pStyle w:val="Tabletext"/>
                    <w:keepNext/>
                    <w:keepLines/>
                    <w:framePr w:hSpace="181" w:wrap="around" w:vAnchor="text" w:hAnchor="margin" w:xAlign="right" w:y="92"/>
                    <w:jc w:val="center"/>
                  </w:pPr>
                  <w:r>
                    <w:t>left</w:t>
                  </w:r>
                </w:p>
              </w:tc>
              <w:tc>
                <w:tcPr>
                  <w:tcW w:w="0" w:type="auto"/>
                  <w:shd w:val="clear" w:color="auto" w:fill="D0E0E3"/>
                  <w:tcMar>
                    <w:top w:w="100" w:type="dxa"/>
                    <w:left w:w="100" w:type="dxa"/>
                    <w:bottom w:w="100" w:type="dxa"/>
                    <w:right w:w="100" w:type="dxa"/>
                  </w:tcMar>
                  <w:vAlign w:val="center"/>
                </w:tcPr>
                <w:p>
                  <w:pPr>
                    <w:pStyle w:val="Tabletext"/>
                    <w:keepNext/>
                    <w:keepLines/>
                    <w:framePr w:hSpace="181" w:wrap="around" w:vAnchor="text" w:hAnchor="margin" w:xAlign="right" w:y="92"/>
                    <w:jc w:val="center"/>
                    <w:rPr>
                      <w:rFonts w:ascii="Gentium" w:hAnsi="Gentium" w:cs="Gentium"/>
                    </w:rPr>
                  </w:pPr>
                  <w:r>
                    <w:rPr>
                      <w:rFonts w:ascii="Gentium" w:hAnsi="Gentium" w:cs="Gentium"/>
                    </w:rPr>
                    <w:t>principal</w:t>
                  </w:r>
                </w:p>
                <w:p>
                  <w:pPr>
                    <w:pStyle w:val="Tabletext"/>
                    <w:keepNext/>
                    <w:keepLines/>
                    <w:framePr w:hSpace="181" w:wrap="around" w:vAnchor="text" w:hAnchor="margin" w:xAlign="right" w:y="92"/>
                    <w:jc w:val="center"/>
                    <w:rPr>
                      <w:rFonts w:ascii="Gentium" w:hAnsi="Gentium" w:cs="Gentium"/>
                    </w:rPr>
                  </w:pPr>
                </w:p>
                <w:p>
                  <w:pPr>
                    <w:pStyle w:val="Tabletext"/>
                    <w:keepNext/>
                    <w:keepLines/>
                    <w:framePr w:hSpace="181" w:wrap="around" w:vAnchor="text" w:hAnchor="margin" w:xAlign="right" w:y="92"/>
                    <w:jc w:val="center"/>
                    <w:rPr>
                      <w:rFonts w:ascii="Gentium" w:hAnsi="Gentium" w:cs="Gentium"/>
                    </w:rPr>
                  </w:pPr>
                  <w:r>
                    <w:rPr>
                      <w:rFonts w:ascii="Gentium" w:hAnsi="Gentium" w:cs="Gentium"/>
                    </w:rPr>
                    <w:t>inscribed</w:t>
                  </w:r>
                </w:p>
                <w:p>
                  <w:pPr>
                    <w:pStyle w:val="Tabletext"/>
                    <w:keepNext/>
                    <w:keepLines/>
                    <w:framePr w:hSpace="181" w:wrap="around" w:vAnchor="text" w:hAnchor="margin" w:xAlign="right" w:y="92"/>
                    <w:jc w:val="center"/>
                    <w:rPr>
                      <w:rFonts w:ascii="Gentium" w:hAnsi="Gentium" w:cs="Gentium"/>
                    </w:rPr>
                  </w:pPr>
                </w:p>
                <w:p>
                  <w:pPr>
                    <w:pStyle w:val="Tabletext"/>
                    <w:keepNext/>
                    <w:keepLines/>
                    <w:framePr w:hSpace="181" w:wrap="around" w:vAnchor="text" w:hAnchor="margin" w:xAlign="right" w:y="92"/>
                    <w:jc w:val="center"/>
                  </w:pPr>
                  <w:r>
                    <w:rPr>
                      <w:rFonts w:ascii="Gentium" w:hAnsi="Gentium" w:cs="Gentium"/>
                    </w:rPr>
                    <w:t>field</w:t>
                  </w:r>
                </w:p>
              </w:tc>
              <w:tc>
                <w:tcPr>
                  <w:tcW w:w="0" w:type="auto"/>
                  <w:tcMar>
                    <w:top w:w="100" w:type="dxa"/>
                    <w:left w:w="100" w:type="dxa"/>
                    <w:bottom w:w="100" w:type="dxa"/>
                    <w:right w:w="100" w:type="dxa"/>
                  </w:tcMar>
                  <w:vAlign w:val="center"/>
                </w:tcPr>
                <w:p>
                  <w:pPr>
                    <w:pStyle w:val="Tabletext"/>
                    <w:keepNext/>
                    <w:keepLines/>
                    <w:framePr w:hSpace="181" w:wrap="around" w:vAnchor="text" w:hAnchor="margin" w:xAlign="right" w:y="92"/>
                    <w:jc w:val="center"/>
                  </w:pPr>
                </w:p>
                <w:p>
                  <w:pPr>
                    <w:pStyle w:val="Tabletext"/>
                    <w:keepNext/>
                    <w:keepLines/>
                    <w:framePr w:hSpace="181" w:wrap="around" w:vAnchor="text" w:hAnchor="margin" w:xAlign="right" w:y="92"/>
                    <w:jc w:val="center"/>
                  </w:pPr>
                  <w:r>
                    <w:t>right</w:t>
                  </w:r>
                </w:p>
              </w:tc>
            </w:tr>
            <w:tr>
              <w:trPr>
                <w:jc w:val="center"/>
              </w:trPr>
              <w:tc>
                <w:tcPr>
                  <w:tcW w:w="0" w:type="auto"/>
                  <w:tcMar>
                    <w:top w:w="100" w:type="dxa"/>
                    <w:left w:w="100" w:type="dxa"/>
                    <w:bottom w:w="100" w:type="dxa"/>
                    <w:right w:w="100" w:type="dxa"/>
                  </w:tcMar>
                </w:tcPr>
                <w:p>
                  <w:pPr>
                    <w:pStyle w:val="Tabletext"/>
                    <w:keepNext/>
                    <w:keepLines/>
                    <w:framePr w:hSpace="181" w:wrap="around" w:vAnchor="text" w:hAnchor="margin" w:xAlign="right" w:y="92"/>
                    <w:jc w:val="right"/>
                  </w:pPr>
                  <w:r>
                    <w:t>bot-left</w:t>
                  </w:r>
                </w:p>
              </w:tc>
              <w:tc>
                <w:tcPr>
                  <w:tcW w:w="0" w:type="auto"/>
                  <w:tcMar>
                    <w:top w:w="100" w:type="dxa"/>
                    <w:left w:w="100" w:type="dxa"/>
                    <w:bottom w:w="100" w:type="dxa"/>
                    <w:right w:w="100" w:type="dxa"/>
                  </w:tcMar>
                </w:tcPr>
                <w:p>
                  <w:pPr>
                    <w:pStyle w:val="Tabletext"/>
                    <w:keepNext/>
                    <w:keepLines/>
                    <w:framePr w:hSpace="181" w:wrap="around" w:vAnchor="text" w:hAnchor="margin" w:xAlign="right" w:y="92"/>
                    <w:jc w:val="center"/>
                  </w:pPr>
                  <w:r>
                    <w:t>bottom</w:t>
                  </w:r>
                </w:p>
              </w:tc>
              <w:tc>
                <w:tcPr>
                  <w:tcW w:w="0" w:type="auto"/>
                  <w:tcMar>
                    <w:top w:w="100" w:type="dxa"/>
                    <w:left w:w="100" w:type="dxa"/>
                    <w:bottom w:w="100" w:type="dxa"/>
                    <w:right w:w="100" w:type="dxa"/>
                  </w:tcMar>
                </w:tcPr>
                <w:p>
                  <w:pPr>
                    <w:pStyle w:val="Tabletext"/>
                    <w:keepNext/>
                    <w:keepLines/>
                    <w:framePr w:hSpace="181" w:wrap="around" w:vAnchor="text" w:hAnchor="margin" w:xAlign="right" w:y="92"/>
                  </w:pPr>
                  <w:r>
                    <w:t>bot-right</w:t>
                  </w:r>
                </w:p>
              </w:tc>
            </w:tr>
          </w:tbl>
          <w:p>
            <w:pPr>
              <w:keepLines/>
            </w:pPr>
          </w:p>
        </w:tc>
      </w:tr>
    </w:tbl>
    <w:p>
      <w:pPr>
        <w:pStyle w:val="Lista"/>
      </w:pPr>
      <w:r>
        <w:t xml:space="preserve">forme work items shall be wrapped in the element </w:t>
      </w:r>
      <w:r>
        <w:rPr>
          <w:rStyle w:val="Code"/>
        </w:rPr>
        <w:t>&lt;fw&gt;</w:t>
      </w:r>
      <w:r>
        <w:t>, with the following attributes</w:t>
      </w:r>
    </w:p>
    <w:p>
      <w:pPr>
        <w:pStyle w:val="Lista2"/>
      </w:pPr>
      <w:r>
        <w:t xml:space="preserve">mandatorily, </w:t>
      </w:r>
      <w:r>
        <w:rPr>
          <w:rStyle w:val="Codeattribute"/>
        </w:rPr>
        <w:t>@n</w:t>
      </w:r>
      <w:r>
        <w:t xml:space="preserve"> </w:t>
      </w:r>
      <w:r>
        <w:rPr>
          <w:noProof/>
        </w:rPr>
        <w:t>(</w:t>
      </w:r>
      <w:r>
        <w:t>even if there is only one forme work item in your document)</w:t>
      </w:r>
    </w:p>
    <w:p>
      <w:pPr>
        <w:pStyle w:val="Lista3"/>
      </w:pPr>
      <w:r>
        <w:t xml:space="preserve">the value of </w:t>
      </w:r>
      <w:r>
        <w:rPr>
          <w:rStyle w:val="Codeattribute"/>
        </w:rPr>
        <w:t>@n</w:t>
      </w:r>
      <w:r>
        <w:t xml:space="preserve"> shall be the same as the </w:t>
      </w:r>
      <w:r>
        <w:rPr>
          <w:rStyle w:val="Codeattribute"/>
        </w:rPr>
        <w:t>@n</w:t>
      </w:r>
      <w:r>
        <w:t xml:space="preserve"> of the </w:t>
      </w:r>
      <w:r>
        <w:rPr>
          <w:rStyle w:val="Code"/>
        </w:rPr>
        <w:t>&lt;pb&gt;</w:t>
      </w:r>
      <w:r>
        <w:t xml:space="preserve"> (or </w:t>
      </w:r>
      <w:r>
        <w:rPr>
          <w:rStyle w:val="Code"/>
        </w:rPr>
        <w:t>&lt;milestone/&gt;</w:t>
      </w:r>
      <w:r>
        <w:t>) element marking the beginning of the page on which the forme work item appears, e.g. “1v”, “2v”, etc.</w:t>
      </w:r>
    </w:p>
    <w:p>
      <w:pPr>
        <w:pStyle w:val="Lista2"/>
      </w:pPr>
      <w:r>
        <w:t xml:space="preserve">mandatorily, </w:t>
      </w:r>
      <w:r>
        <w:rPr>
          <w:rStyle w:val="Codeattribute"/>
        </w:rPr>
        <w:t>@place</w:t>
      </w:r>
      <w:r>
        <w:t xml:space="preserve"> relative to the principal inscribed field, with values as shown in </w:t>
      </w:r>
      <w:r>
        <w:fldChar w:fldCharType="begin"/>
      </w:r>
      <w:r>
        <w:instrText xml:space="preserve"> REF _Ref225777931 \h </w:instrText>
      </w:r>
      <w:r>
        <w:fldChar w:fldCharType="separate"/>
      </w:r>
      <w:r>
        <w:t xml:space="preserve">Exhibit </w:t>
      </w:r>
      <w:r>
        <w:rPr>
          <w:noProof/>
        </w:rPr>
        <w:t>4.7</w:t>
      </w:r>
      <w:r>
        <w:t>.</w:t>
      </w:r>
      <w:r>
        <w:rPr>
          <w:noProof/>
        </w:rPr>
        <w:t>F</w:t>
      </w:r>
      <w:r>
        <w:fldChar w:fldCharType="end"/>
      </w:r>
    </w:p>
    <w:p>
      <w:pPr>
        <w:pStyle w:val="Lista3"/>
      </w:pPr>
      <w:r>
        <w:t>should forme work be partly or wholly inside the principal field, use the value that best describes its location relative to the centre of the inscribed field</w:t>
      </w:r>
    </w:p>
    <w:p>
      <w:pPr>
        <w:pStyle w:val="Lista"/>
      </w:pPr>
      <w:r>
        <w:t xml:space="preserve">details of presentation </w:t>
      </w:r>
      <w:r>
        <w:rPr>
          <w:noProof/>
        </w:rPr>
        <w:t>(</w:t>
      </w:r>
      <w:r>
        <w:t xml:space="preserve">e.g. precise location, interference with the regular lines) shall be recorded for human readers in your metadata </w:t>
      </w:r>
      <w:r>
        <w:rPr>
          <w:noProof/>
        </w:rPr>
        <w:t>(</w:t>
      </w:r>
      <w:r>
        <w:t>layout description), but not encoded explicitly</w:t>
      </w:r>
    </w:p>
    <w:tbl>
      <w:tblPr>
        <w:tblStyle w:val="CodeSampleTable"/>
        <w:tblW w:w="5000" w:type="pct"/>
        <w:tblLook w:val="04A0" w:firstRow="1" w:lastRow="0" w:firstColumn="1" w:lastColumn="0" w:noHBand="0" w:noVBand="1"/>
      </w:tblPr>
      <w:tblGrid>
        <w:gridCol w:w="2763"/>
        <w:gridCol w:w="6865"/>
      </w:tblGrid>
      <w:tr>
        <w:trPr>
          <w:cnfStyle w:val="100000000000" w:firstRow="1" w:lastRow="0" w:firstColumn="0" w:lastColumn="0" w:oddVBand="0" w:evenVBand="0" w:oddHBand="0" w:evenHBand="0" w:firstRowFirstColumn="0" w:firstRowLastColumn="0" w:lastRowFirstColumn="0" w:lastRowLastColumn="0"/>
        </w:trPr>
        <w:tc>
          <w:tcPr>
            <w:tcW w:w="5000" w:type="pct"/>
            <w:gridSpan w:val="2"/>
          </w:tcPr>
          <w:p>
            <w:pPr>
              <w:pStyle w:val="Kpalrs"/>
              <w:keepLines/>
            </w:pPr>
            <w:bookmarkStart w:id="300" w:name="_Ref182234393"/>
            <w:bookmarkStart w:id="301" w:name="_Ref182234390"/>
            <w:r>
              <w:t xml:space="preserve">Exhibit </w:t>
            </w:r>
            <w:fldSimple w:instr=" STYLEREF 2 \s ">
              <w:r>
                <w:rPr>
                  <w:noProof/>
                </w:rPr>
                <w:t>4.7</w:t>
              </w:r>
            </w:fldSimple>
            <w:r>
              <w:t>.</w:t>
            </w:r>
            <w:fldSimple w:instr=" SEQ Exhibit \* ALPHABETIC \s 2 ">
              <w:r>
                <w:rPr>
                  <w:noProof/>
                </w:rPr>
                <w:t>G</w:t>
              </w:r>
            </w:fldSimple>
            <w:bookmarkEnd w:id="300"/>
            <w:r>
              <w:t>: foliation in the right margin</w:t>
            </w:r>
            <w:bookmarkEnd w:id="301"/>
          </w:p>
        </w:tc>
      </w:tr>
      <w:tr>
        <w:tc>
          <w:tcPr>
            <w:tcW w:w="1435" w:type="pct"/>
          </w:tcPr>
          <w:p>
            <w:pPr>
              <w:pStyle w:val="CodeParagraph"/>
              <w:rPr>
                <w:rStyle w:val="Code"/>
              </w:rPr>
            </w:pPr>
            <w:r>
              <w:rPr>
                <w:rStyle w:val="Code"/>
              </w:rPr>
              <w:t>&lt;p&gt;</w:t>
            </w:r>
            <w:r>
              <w:rPr>
                <w:rStyle w:val="Codetext"/>
              </w:rPr>
              <w:br/>
            </w:r>
            <w:r>
              <w:rPr>
                <w:rStyle w:val="Code"/>
              </w:rPr>
              <w:t xml:space="preserve">&lt;pb </w:t>
            </w:r>
            <w:r>
              <w:rPr>
                <w:rStyle w:val="Codeattribute"/>
              </w:rPr>
              <w:t>n</w:t>
            </w:r>
            <w:r>
              <w:rPr>
                <w:rStyle w:val="Code"/>
              </w:rPr>
              <w:t>=</w:t>
            </w:r>
            <w:r>
              <w:rPr>
                <w:rStyle w:val="Codevalue"/>
              </w:rPr>
              <w:t>"1r"</w:t>
            </w:r>
            <w:r>
              <w:rPr>
                <w:rStyle w:val="Code"/>
              </w:rPr>
              <w:t>/&gt;</w:t>
            </w:r>
            <w:r>
              <w:rPr>
                <w:rStyle w:val="Codetext"/>
              </w:rPr>
              <w:br/>
            </w:r>
            <w:r>
              <w:rPr>
                <w:rStyle w:val="Code"/>
              </w:rPr>
              <w:t>&lt;fw</w:t>
            </w:r>
            <w:r>
              <w:rPr>
                <w:rStyle w:val="Codeattribute"/>
              </w:rPr>
              <w:t xml:space="preserve"> n</w:t>
            </w:r>
            <w:r>
              <w:rPr>
                <w:rStyle w:val="Code"/>
              </w:rPr>
              <w:t>=</w:t>
            </w:r>
            <w:r>
              <w:rPr>
                <w:rStyle w:val="Codevalue"/>
              </w:rPr>
              <w:t>"1r"</w:t>
            </w:r>
            <w:r>
              <w:rPr>
                <w:rStyle w:val="Code"/>
              </w:rPr>
              <w:t xml:space="preserve"> </w:t>
            </w:r>
            <w:r>
              <w:rPr>
                <w:rStyle w:val="Codeattribute"/>
              </w:rPr>
              <w:t>place</w:t>
            </w:r>
            <w:r>
              <w:rPr>
                <w:rStyle w:val="Code"/>
              </w:rPr>
              <w:t>=</w:t>
            </w:r>
            <w:r>
              <w:rPr>
                <w:rStyle w:val="Codevalue"/>
              </w:rPr>
              <w:t>"right"</w:t>
            </w:r>
            <w:r>
              <w:rPr>
                <w:rStyle w:val="Code"/>
              </w:rPr>
              <w:t>&gt;</w:t>
            </w:r>
          </w:p>
          <w:p>
            <w:pPr>
              <w:pStyle w:val="CodeParagraph"/>
              <w:rPr>
                <w:rStyle w:val="Code"/>
              </w:rPr>
            </w:pPr>
            <w:r>
              <w:rPr>
                <w:rStyle w:val="Code"/>
              </w:rPr>
              <w:t xml:space="preserve">  &lt;num </w:t>
            </w:r>
            <w:r>
              <w:rPr>
                <w:rStyle w:val="Codeattribute"/>
              </w:rPr>
              <w:t>value</w:t>
            </w:r>
            <w:r>
              <w:rPr>
                <w:rStyle w:val="Code"/>
              </w:rPr>
              <w:t>=</w:t>
            </w:r>
            <w:r>
              <w:rPr>
                <w:rStyle w:val="Codevalue"/>
              </w:rPr>
              <w:t>"1"</w:t>
            </w:r>
            <w:r>
              <w:rPr>
                <w:rStyle w:val="Code"/>
              </w:rPr>
              <w:t>&gt;</w:t>
            </w:r>
            <w:r>
              <w:rPr>
                <w:rStyle w:val="Codetext"/>
              </w:rPr>
              <w:t>1</w:t>
            </w:r>
            <w:r>
              <w:rPr>
                <w:rStyle w:val="Code"/>
              </w:rPr>
              <w:t>&lt;/num&gt;</w:t>
            </w:r>
          </w:p>
          <w:p>
            <w:pPr>
              <w:pStyle w:val="CodeParagraph"/>
            </w:pPr>
            <w:r>
              <w:rPr>
                <w:rStyle w:val="Code"/>
              </w:rPr>
              <w:t>&lt;/fw&gt;</w:t>
            </w:r>
            <w:r>
              <w:rPr>
                <w:rStyle w:val="Codetext"/>
              </w:rPr>
              <w:br/>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w:t>
            </w:r>
            <w:r>
              <w:rPr>
                <w:rStyle w:val="Codetext"/>
              </w:rPr>
              <w:br/>
            </w:r>
            <w:r>
              <w:rPr>
                <w:rStyle w:val="Code"/>
              </w:rPr>
              <w:t xml:space="preserve">&lt;lb </w:t>
            </w:r>
            <w:r>
              <w:rPr>
                <w:rStyle w:val="Codeattribute"/>
              </w:rPr>
              <w:t>n</w:t>
            </w:r>
            <w:r>
              <w:rPr>
                <w:rStyle w:val="Code"/>
              </w:rPr>
              <w:t>=</w:t>
            </w:r>
            <w:r>
              <w:rPr>
                <w:rStyle w:val="Codevalue"/>
              </w:rPr>
              <w:t>"2"</w:t>
            </w:r>
            <w:r>
              <w:rPr>
                <w:rStyle w:val="Code"/>
              </w:rPr>
              <w:t>/&gt;</w:t>
            </w:r>
            <w:r>
              <w:rPr>
                <w:rStyle w:val="Codetext"/>
              </w:rPr>
              <w:t>nasty, dirty...</w:t>
            </w:r>
            <w:r>
              <w:rPr>
                <w:rStyle w:val="Codetext"/>
              </w:rPr>
              <w:br/>
              <w:t>...</w:t>
            </w:r>
            <w:r>
              <w:rPr>
                <w:rStyle w:val="Codetext"/>
              </w:rPr>
              <w:br/>
            </w:r>
            <w:r>
              <w:rPr>
                <w:rStyle w:val="Code"/>
              </w:rPr>
              <w:t>&lt;/p&gt;</w:t>
            </w:r>
          </w:p>
        </w:tc>
        <w:tc>
          <w:tcPr>
            <w:tcW w:w="3565" w:type="pct"/>
            <w:vAlign w:val="center"/>
          </w:tcPr>
          <w:p>
            <w:pPr>
              <w:pStyle w:val="Image"/>
            </w:pPr>
            <w:r>
              <w:drawing>
                <wp:inline distT="114300" distB="114300" distL="114300" distR="114300">
                  <wp:extent cx="4064400" cy="1206000"/>
                  <wp:effectExtent l="0" t="0" r="0" b="0"/>
                  <wp:docPr id="11"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10.png"/>
                          <pic:cNvPicPr/>
                        </pic:nvPicPr>
                        <pic:blipFill>
                          <a:blip r:embed="rId26"/>
                          <a:stretch>
                            <a:fillRect/>
                          </a:stretch>
                        </pic:blipFill>
                        <pic:spPr>
                          <a:xfrm>
                            <a:off x="0" y="0"/>
                            <a:ext cx="4064400" cy="1206000"/>
                          </a:xfrm>
                          <a:prstGeom prst="rect">
                            <a:avLst/>
                          </a:prstGeom>
                          <a:ln/>
                        </pic:spPr>
                      </pic:pic>
                    </a:graphicData>
                  </a:graphic>
                </wp:inline>
              </w:drawing>
            </w:r>
          </w:p>
        </w:tc>
      </w:tr>
      <w:tr>
        <w:tc>
          <w:tcPr>
            <w:tcW w:w="5000" w:type="pct"/>
            <w:gridSpan w:val="2"/>
          </w:tcPr>
          <w:p>
            <w:pPr>
              <w:pStyle w:val="TableNote"/>
            </w:pPr>
            <w:r>
              <w:t xml:space="preserve">for a complete encoded example see the Case Study in </w:t>
            </w:r>
            <w:r>
              <w:fldChar w:fldCharType="begin"/>
            </w:r>
            <w:r>
              <w:instrText xml:space="preserve"> REF _Ref239844274 \r \h </w:instrText>
            </w:r>
            <w:r>
              <w:fldChar w:fldCharType="separate"/>
            </w:r>
            <w:r>
              <w:t>Appendix A.2</w:t>
            </w:r>
            <w:r>
              <w:fldChar w:fldCharType="end"/>
            </w:r>
            <w:r>
              <w:t xml:space="preserve"> </w:t>
            </w:r>
          </w:p>
        </w:tc>
      </w:tr>
    </w:tbl>
    <w:p>
      <w:pPr>
        <w:pStyle w:val="Cmsor4"/>
      </w:pPr>
      <w:r>
        <w:t>The position of forme work in the encoded edition</w:t>
      </w:r>
    </w:p>
    <w:p>
      <w:pPr>
        <w:pStyle w:val="Lista"/>
      </w:pPr>
      <w:r>
        <w:t xml:space="preserve">as in the case of boxlike partitions </w:t>
      </w:r>
      <w:r>
        <w:rPr>
          <w:noProof/>
        </w:rPr>
        <w:t>(</w:t>
      </w:r>
      <w:r>
        <w:t>§</w:t>
      </w:r>
      <w:r>
        <w:fldChar w:fldCharType="begin"/>
      </w:r>
      <w:r>
        <w:instrText xml:space="preserve"> REF _Ref225778181 \r \h </w:instrText>
      </w:r>
      <w:r>
        <w:fldChar w:fldCharType="separate"/>
      </w:r>
      <w:r>
        <w:t>4.2</w:t>
      </w:r>
      <w:r>
        <w:fldChar w:fldCharType="end"/>
      </w:r>
      <w:r>
        <w:t xml:space="preserve">), the content of forme work is a complete and meaningful unit in itself, but unlike a textpart division, forme work is a supplement to </w:t>
      </w:r>
      <w:r>
        <w:rPr>
          <w:noProof/>
        </w:rPr>
        <w:t>(</w:t>
      </w:r>
      <w:r>
        <w:t>rather than a subunit of) the principal text of an inscription and is associated with a specific page</w:t>
      </w:r>
    </w:p>
    <w:p>
      <w:pPr>
        <w:pStyle w:val="Lista2"/>
      </w:pPr>
      <w:r>
        <w:t xml:space="preserve">the </w:t>
      </w:r>
      <w:r>
        <w:rPr>
          <w:rStyle w:val="Code"/>
        </w:rPr>
        <w:t>&lt;fw&gt;</w:t>
      </w:r>
      <w:r>
        <w:t xml:space="preserve"> element shall be placed immediately after the </w:t>
      </w:r>
      <w:r>
        <w:rPr>
          <w:rStyle w:val="Code"/>
        </w:rPr>
        <w:t>&lt;pb/&gt;</w:t>
      </w:r>
      <w:r>
        <w:t xml:space="preserve">  (or </w:t>
      </w:r>
      <w:r>
        <w:rPr>
          <w:rStyle w:val="Code"/>
        </w:rPr>
        <w:t>&lt;milestone/&gt;</w:t>
      </w:r>
      <w:r>
        <w:t>) element marking the start of the page on which the forme work item is found, therefore</w:t>
      </w:r>
    </w:p>
    <w:p>
      <w:pPr>
        <w:pStyle w:val="Lista3"/>
      </w:pPr>
      <w:r>
        <w:t xml:space="preserve">it must come before the first </w:t>
      </w:r>
      <w:r>
        <w:rPr>
          <w:rStyle w:val="Code"/>
        </w:rPr>
        <w:t>&lt;lb/&gt;</w:t>
      </w:r>
      <w:r>
        <w:t xml:space="preserve">  element on that page</w:t>
      </w:r>
    </w:p>
    <w:p>
      <w:pPr>
        <w:pStyle w:val="Lista3"/>
      </w:pPr>
      <w:r>
        <w:t xml:space="preserve">it will normally appear inside block-level containers for intrinsic structure </w:t>
      </w:r>
      <w:r>
        <w:rPr>
          <w:noProof/>
        </w:rPr>
        <w:t>(</w:t>
      </w:r>
      <w:r>
        <w:t>§</w:t>
      </w:r>
      <w:r>
        <w:fldChar w:fldCharType="begin"/>
      </w:r>
      <w:r>
        <w:instrText xml:space="preserve"> REF _Ref43978632 \w \h  \* MERGEFORMAT </w:instrText>
      </w:r>
      <w:r>
        <w:fldChar w:fldCharType="separate"/>
      </w:r>
      <w:r>
        <w:t>3</w:t>
      </w:r>
      <w:r>
        <w:fldChar w:fldCharType="end"/>
      </w:r>
      <w:r>
        <w:t>), often interrupting the course of the text within such containers</w:t>
      </w:r>
    </w:p>
    <w:p>
      <w:pPr>
        <w:pStyle w:val="Lista4"/>
      </w:pPr>
      <w:r>
        <w:t>the occurrence of such an interruption is encoded on the page and line beginnings and does not affect the markup for forme work</w:t>
      </w:r>
    </w:p>
    <w:p>
      <w:pPr>
        <w:pStyle w:val="Lista3"/>
      </w:pPr>
      <w:r>
        <w:t xml:space="preserve">the </w:t>
      </w:r>
      <w:r>
        <w:rPr>
          <w:rStyle w:val="Code"/>
        </w:rPr>
        <w:t>&lt;fw&gt;</w:t>
      </w:r>
      <w:r>
        <w:t xml:space="preserve"> element may be outside block-level containers when forme work is present on a page whose </w:t>
      </w:r>
      <w:r>
        <w:rPr>
          <w:rStyle w:val="Code"/>
        </w:rPr>
        <w:t>&lt;pb/&gt;</w:t>
      </w:r>
      <w:r>
        <w:t xml:space="preserve"> element is outside block-level containers, i.e. in the rare but potentially possible cases where a page bears forme work, but the rest of the page is blank </w:t>
      </w:r>
      <w:r>
        <w:rPr>
          <w:noProof/>
        </w:rPr>
        <w:t>(</w:t>
      </w:r>
      <w:r>
        <w:t>§</w:t>
      </w:r>
      <w:r>
        <w:fldChar w:fldCharType="begin"/>
      </w:r>
      <w:r>
        <w:instrText xml:space="preserve"> REF _Ref182318940 \r \h </w:instrText>
      </w:r>
      <w:r>
        <w:fldChar w:fldCharType="separate"/>
      </w:r>
      <w:r>
        <w:t>4.4.2.2</w:t>
      </w:r>
      <w:r>
        <w:fldChar w:fldCharType="end"/>
      </w:r>
      <w:r>
        <w:t xml:space="preserve">) or lacunose </w:t>
      </w:r>
      <w:r>
        <w:rPr>
          <w:noProof/>
        </w:rPr>
        <w:t>(</w:t>
      </w:r>
      <w:r>
        <w:t>§</w:t>
      </w:r>
      <w:r>
        <w:fldChar w:fldCharType="begin"/>
      </w:r>
      <w:r>
        <w:instrText xml:space="preserve"> REF _Ref43981711 \w \h  \* MERGEFORMAT </w:instrText>
      </w:r>
      <w:r>
        <w:fldChar w:fldCharType="separate"/>
      </w:r>
      <w:r>
        <w:t>6.5.4</w:t>
      </w:r>
      <w:r>
        <w:fldChar w:fldCharType="end"/>
      </w:r>
      <w:r>
        <w:t>)</w:t>
      </w:r>
    </w:p>
    <w:p>
      <w:pPr>
        <w:pStyle w:val="Lista"/>
      </w:pPr>
      <w:r>
        <w:t xml:space="preserve">should your inscription have two </w:t>
      </w:r>
      <w:r>
        <w:rPr>
          <w:noProof/>
        </w:rPr>
        <w:t>(</w:t>
      </w:r>
      <w:r>
        <w:t xml:space="preserve">or more) foliation marks on a single page, encode two </w:t>
      </w:r>
      <w:r>
        <w:rPr>
          <w:noProof/>
        </w:rPr>
        <w:t>(</w:t>
      </w:r>
      <w:r>
        <w:t xml:space="preserve">or more) </w:t>
      </w:r>
      <w:r>
        <w:rPr>
          <w:rStyle w:val="Code"/>
        </w:rPr>
        <w:t>&lt;fw&gt;</w:t>
      </w:r>
      <w:r>
        <w:t xml:space="preserve"> elements one after the other, in an order that seems most logical</w:t>
      </w:r>
    </w:p>
    <w:p>
      <w:pPr>
        <w:pStyle w:val="Lista2"/>
      </w:pPr>
      <w:r>
        <w:lastRenderedPageBreak/>
        <w:t xml:space="preserve">in this case, add trailing numbers to the number generated from the page number, e.g. </w:t>
      </w:r>
      <w:r>
        <w:rPr>
          <w:rStyle w:val="Code"/>
        </w:rPr>
        <w:t>&lt;fw</w:t>
      </w:r>
      <w:r>
        <w:rPr>
          <w:rStyle w:val="Codeattribute"/>
        </w:rPr>
        <w:t xml:space="preserve"> n</w:t>
      </w:r>
      <w:r>
        <w:rPr>
          <w:rStyle w:val="Code"/>
        </w:rPr>
        <w:t>=</w:t>
      </w:r>
      <w:r>
        <w:rPr>
          <w:rStyle w:val="Codevalue"/>
        </w:rPr>
        <w:t>"2v1"</w:t>
      </w:r>
      <w:r>
        <w:rPr>
          <w:rStyle w:val="Code"/>
        </w:rPr>
        <w:t>&gt;</w:t>
      </w:r>
      <w:r>
        <w:t xml:space="preserve">, </w:t>
      </w:r>
      <w:r>
        <w:rPr>
          <w:rStyle w:val="Code"/>
        </w:rPr>
        <w:t>&lt;fw</w:t>
      </w:r>
      <w:r>
        <w:rPr>
          <w:rStyle w:val="Codeattribute"/>
        </w:rPr>
        <w:t xml:space="preserve"> n</w:t>
      </w:r>
      <w:r>
        <w:rPr>
          <w:rStyle w:val="Code"/>
        </w:rPr>
        <w:t>=</w:t>
      </w:r>
      <w:r>
        <w:rPr>
          <w:rStyle w:val="Codevalue"/>
        </w:rPr>
        <w:t>"2v2"</w:t>
      </w:r>
      <w:r>
        <w:rPr>
          <w:rStyle w:val="Code"/>
        </w:rPr>
        <w:t>&gt;</w:t>
      </w:r>
      <w:r>
        <w:t>, etc.</w:t>
      </w:r>
    </w:p>
    <w:p>
      <w:pPr>
        <w:pStyle w:val="Cmsor4"/>
      </w:pPr>
      <w:r>
        <w:t>The content of forme work</w:t>
      </w:r>
    </w:p>
    <w:p>
      <w:pPr>
        <w:pStyle w:val="Lista"/>
      </w:pPr>
      <w:r>
        <w:t xml:space="preserve">the </w:t>
      </w:r>
      <w:r>
        <w:rPr>
          <w:rStyle w:val="Code"/>
        </w:rPr>
        <w:t>&lt;fw&gt;</w:t>
      </w:r>
      <w:r>
        <w:t xml:space="preserve"> element shall by default be the direct parent of the text of the forme work, without an additional text container such as </w:t>
      </w:r>
      <w:r>
        <w:rPr>
          <w:rStyle w:val="Code"/>
        </w:rPr>
        <w:t>&lt;ab&gt;</w:t>
      </w:r>
    </w:p>
    <w:p>
      <w:pPr>
        <w:pStyle w:val="Lista"/>
      </w:pPr>
      <w:r>
        <w:t>as a rule, line beginnings  shall not be marked up within forme work, with the following exceptions</w:t>
      </w:r>
    </w:p>
    <w:p>
      <w:pPr>
        <w:pStyle w:val="Lista2"/>
      </w:pPr>
      <w:r>
        <w:t xml:space="preserve">should you encounter forme work written in two or more distinct lines, use an </w:t>
      </w:r>
      <w:r>
        <w:rPr>
          <w:rStyle w:val="Code"/>
        </w:rPr>
        <w:t>&lt;lb/&gt;</w:t>
      </w:r>
      <w:r>
        <w:t xml:space="preserve"> element (§</w:t>
      </w:r>
      <w:r>
        <w:fldChar w:fldCharType="begin"/>
      </w:r>
      <w:r>
        <w:instrText xml:space="preserve"> REF _Ref224720139 \r \h </w:instrText>
      </w:r>
      <w:r>
        <w:fldChar w:fldCharType="separate"/>
      </w:r>
      <w:r>
        <w:t>4.5</w:t>
      </w:r>
      <w:r>
        <w:fldChar w:fldCharType="end"/>
      </w:r>
      <w:r>
        <w:t>) to encode each line beginning</w:t>
      </w:r>
    </w:p>
    <w:p>
      <w:pPr>
        <w:pStyle w:val="Lista3"/>
      </w:pPr>
      <w:r>
        <w:t xml:space="preserve">in this case we recommend using line numbers prefixed with the number of the </w:t>
      </w:r>
      <w:r>
        <w:rPr>
          <w:rStyle w:val="Code"/>
        </w:rPr>
        <w:t>&lt;fw&gt;</w:t>
      </w:r>
      <w:r>
        <w:t xml:space="preserve"> element, e.g. “1r-1”, “1r-2”, etc.</w:t>
      </w:r>
    </w:p>
    <w:p>
      <w:pPr>
        <w:pStyle w:val="Lista2"/>
      </w:pPr>
      <w:r>
        <w:t xml:space="preserve">if the orientation of the forme work is different from that of the principal field, then this can be encoded optionally, but only on </w:t>
      </w:r>
      <w:r>
        <w:rPr>
          <w:rStyle w:val="Code"/>
        </w:rPr>
        <w:t>&lt;lb/&gt;</w:t>
      </w:r>
      <w:r>
        <w:t xml:space="preserve"> elements, therefore if you wish to avail of the option, create a line beginning within the forme work and encode orientation on this </w:t>
      </w:r>
      <w:r>
        <w:rPr>
          <w:rStyle w:val="Code"/>
        </w:rPr>
        <w:t>&lt;lb/&gt;</w:t>
      </w:r>
      <w:r>
        <w:t xml:space="preserve"> element as per §</w:t>
      </w:r>
      <w:r>
        <w:fldChar w:fldCharType="begin"/>
      </w:r>
      <w:r>
        <w:instrText xml:space="preserve"> REF _Ref43984782 \r \h </w:instrText>
      </w:r>
      <w:r>
        <w:fldChar w:fldCharType="separate"/>
      </w:r>
      <w:r>
        <w:t>8.5.2</w:t>
      </w:r>
      <w:r>
        <w:fldChar w:fldCharType="end"/>
      </w:r>
    </w:p>
    <w:p>
      <w:pPr>
        <w:pStyle w:val="Lista"/>
      </w:pPr>
      <w:r>
        <w:t>numeral signs used in foliation/pagination must be marked up as usual</w:t>
      </w:r>
    </w:p>
    <w:p>
      <w:pPr>
        <w:pStyle w:val="Lista2"/>
      </w:pPr>
      <w:r>
        <w:t>for numeric glyphs other than decimal digits (§</w:t>
      </w:r>
      <w:r>
        <w:fldChar w:fldCharType="begin"/>
      </w:r>
      <w:r>
        <w:instrText xml:space="preserve"> REF _Ref225950738 \r \h </w:instrText>
      </w:r>
      <w:r>
        <w:fldChar w:fldCharType="separate"/>
      </w:r>
      <w:r>
        <w:t>5.2.1</w:t>
      </w:r>
      <w:r>
        <w:fldChar w:fldCharType="end"/>
      </w:r>
      <w:r>
        <w:t>)</w:t>
      </w:r>
    </w:p>
    <w:p>
      <w:pPr>
        <w:pStyle w:val="Lista2"/>
      </w:pPr>
      <w:r>
        <w:t>for the number denoted by the signs (§</w:t>
      </w:r>
      <w:r>
        <w:fldChar w:fldCharType="begin"/>
      </w:r>
      <w:r>
        <w:instrText xml:space="preserve"> REF _Ref43980607 \r \h  \* MERGEFORMAT </w:instrText>
      </w:r>
      <w:r>
        <w:fldChar w:fldCharType="separate"/>
      </w:r>
      <w:r>
        <w:t>9.1</w:t>
      </w:r>
      <w:r>
        <w:fldChar w:fldCharType="end"/>
      </w:r>
      <w:r>
        <w:t>)</w:t>
      </w:r>
    </w:p>
    <w:p>
      <w:pPr>
        <w:pStyle w:val="Cmsor3"/>
      </w:pPr>
      <w:bookmarkStart w:id="302" w:name="_Ref225759775"/>
      <w:bookmarkStart w:id="303" w:name="_Toc242976614"/>
      <w:r>
        <w:t>When to use textpart divisions</w:t>
      </w:r>
      <w:bookmarkEnd w:id="302"/>
      <w:bookmarkEnd w:id="303"/>
    </w:p>
    <w:p>
      <w:r>
        <w:t xml:space="preserve">Since most of the texts for which we create documentary editions are not long enough to warrant division into chapters on a purely semantic basis, in DHARMA encoding practice we strive to keep complexity down by restricting the use of textpart divisions to well-warranted situations where a major semantic division coincides with a conspicuous break in extrinsic structure. To continue our book analogy for structural elements, we prefer to create textpart divisions for units whose semantic independence is not merely like that of chapters in any book, but more like that of short stories in an anthology or scholarly articles in a compiled volume. This section identifies the specific situations for which we consider textpart divisions ideal or acceptable. </w:t>
      </w:r>
    </w:p>
    <w:p>
      <w:pPr>
        <w:pStyle w:val="Normlbehzs"/>
      </w:pPr>
      <w:r>
        <w:t>In any other case where you feel that textpart partitions may be relevant for a text partitioned into physical and semantic sections, consider carefully whether this encoding method is ideal, or if alternatives would be feasible (on which see also §</w:t>
      </w:r>
      <w:r>
        <w:fldChar w:fldCharType="begin"/>
      </w:r>
      <w:r>
        <w:instrText xml:space="preserve"> REF _Ref225781091 \r \h </w:instrText>
      </w:r>
      <w:r>
        <w:fldChar w:fldCharType="separate"/>
      </w:r>
      <w:r>
        <w:t>4.7.4.2</w:t>
      </w:r>
      <w:r>
        <w:fldChar w:fldCharType="end"/>
      </w:r>
      <w:r>
        <w:t>).</w:t>
      </w:r>
    </w:p>
    <w:p>
      <w:pPr>
        <w:pStyle w:val="Cmsor4"/>
      </w:pPr>
      <w:r>
        <w:t>Copperplate sets with an inscribed seal</w:t>
      </w:r>
    </w:p>
    <w:p>
      <w:r>
        <w:t xml:space="preserve">Since the seal text is not an integral part of the text of a copperplate charter, we always encode copperplate sets with inscribed seals as textpart divisions, as shown in </w:t>
      </w:r>
      <w:r>
        <w:fldChar w:fldCharType="begin"/>
      </w:r>
      <w:r>
        <w:instrText xml:space="preserve"> REF _Ref44078277 \h </w:instrText>
      </w:r>
      <w:r>
        <w:fldChar w:fldCharType="separate"/>
      </w:r>
      <w:r>
        <w:t xml:space="preserve">Exhibit </w:t>
      </w:r>
      <w:r>
        <w:rPr>
          <w:noProof/>
        </w:rPr>
        <w:t>4.7</w:t>
      </w:r>
      <w:r>
        <w:t>.</w:t>
      </w:r>
      <w:r>
        <w:rPr>
          <w:noProof/>
        </w:rPr>
        <w:t>H</w:t>
      </w:r>
      <w:r>
        <w:fldChar w:fldCharType="end"/>
      </w:r>
      <w:r>
        <w:t>.</w:t>
      </w:r>
    </w:p>
    <w:tbl>
      <w:tblPr>
        <w:tblStyle w:val="CodeSampleTable"/>
        <w:tblpPr w:leftFromText="180" w:rightFromText="180" w:vertAnchor="text" w:tblpXSpec="right" w:tblpY="1"/>
        <w:tblOverlap w:val="never"/>
        <w:tblW w:w="4536" w:type="dxa"/>
        <w:jc w:val="right"/>
        <w:tblLook w:val="04A0" w:firstRow="1" w:lastRow="0" w:firstColumn="1" w:lastColumn="0" w:noHBand="0" w:noVBand="1"/>
      </w:tblPr>
      <w:tblGrid>
        <w:gridCol w:w="4536"/>
      </w:tblGrid>
      <w:tr>
        <w:trPr>
          <w:cnfStyle w:val="100000000000" w:firstRow="1" w:lastRow="0" w:firstColumn="0" w:lastColumn="0" w:oddVBand="0" w:evenVBand="0" w:oddHBand="0" w:evenHBand="0" w:firstRowFirstColumn="0" w:firstRowLastColumn="0" w:lastRowFirstColumn="0" w:lastRowLastColumn="0"/>
          <w:jc w:val="right"/>
        </w:trPr>
        <w:tc>
          <w:tcPr>
            <w:tcW w:w="5000" w:type="pct"/>
          </w:tcPr>
          <w:p>
            <w:pPr>
              <w:pStyle w:val="Kpalrs"/>
            </w:pPr>
            <w:bookmarkStart w:id="304" w:name="_Ref44078277"/>
            <w:r>
              <w:t xml:space="preserve">Exhibit </w:t>
            </w:r>
            <w:fldSimple w:instr=" STYLEREF 2 \s ">
              <w:r>
                <w:rPr>
                  <w:noProof/>
                </w:rPr>
                <w:t>4.7</w:t>
              </w:r>
            </w:fldSimple>
            <w:r>
              <w:t>.</w:t>
            </w:r>
            <w:fldSimple w:instr=" SEQ Exhibit \* ALPHABETIC \s 2 ">
              <w:r>
                <w:rPr>
                  <w:noProof/>
                </w:rPr>
                <w:t>H</w:t>
              </w:r>
            </w:fldSimple>
            <w:bookmarkEnd w:id="304"/>
            <w:r>
              <w:t>: copper plates with inscribed seal</w:t>
            </w:r>
          </w:p>
        </w:tc>
      </w:tr>
      <w:tr>
        <w:trPr>
          <w:jc w:val="right"/>
        </w:trPr>
        <w:tc>
          <w:tcPr>
            <w:tcW w:w="5000" w:type="pct"/>
          </w:tcPr>
          <w:p>
            <w:pPr>
              <w:pStyle w:val="Image"/>
              <w:rPr>
                <w:rStyle w:val="Code"/>
              </w:rPr>
            </w:pPr>
            <w:r>
              <w:rPr>
                <w:rStyle w:val="Code"/>
              </w:rPr>
              <w:drawing>
                <wp:inline distT="0" distB="0" distL="0" distR="0">
                  <wp:extent cx="2674800" cy="802800"/>
                  <wp:effectExtent l="0" t="0" r="0" b="0"/>
                  <wp:docPr id="710604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674800" cy="802800"/>
                          </a:xfrm>
                          <a:prstGeom prst="rect">
                            <a:avLst/>
                          </a:prstGeom>
                          <a:noFill/>
                          <a:ln>
                            <a:noFill/>
                          </a:ln>
                        </pic:spPr>
                      </pic:pic>
                    </a:graphicData>
                  </a:graphic>
                </wp:inline>
              </w:drawing>
            </w:r>
          </w:p>
        </w:tc>
      </w:tr>
      <w:tr>
        <w:trPr>
          <w:jc w:val="right"/>
        </w:trPr>
        <w:tc>
          <w:tcPr>
            <w:tcW w:w="5000" w:type="pct"/>
          </w:tcPr>
          <w:p>
            <w:pPr>
              <w:pStyle w:val="CodeParagraph"/>
              <w:keepNext/>
              <w:rPr>
                <w:rStyle w:val="Code"/>
              </w:rPr>
            </w:pPr>
            <w:r>
              <w:rPr>
                <w:rStyle w:val="Code"/>
              </w:rPr>
              <w:t xml:space="preserve">&lt;div </w:t>
            </w:r>
            <w:r>
              <w:rPr>
                <w:rStyle w:val="Codeattribute"/>
              </w:rPr>
              <w:t>type</w:t>
            </w:r>
            <w:r>
              <w:rPr>
                <w:rStyle w:val="Code"/>
              </w:rPr>
              <w:t>=</w:t>
            </w:r>
            <w:r>
              <w:rPr>
                <w:rStyle w:val="Codevalue"/>
              </w:rPr>
              <w:t>"edition"</w:t>
            </w:r>
            <w:r>
              <w:rPr>
                <w:rStyle w:val="Code"/>
              </w:rPr>
              <w:t>&gt;</w:t>
            </w:r>
          </w:p>
          <w:p>
            <w:pPr>
              <w:pStyle w:val="CodeParagraph"/>
              <w:keepNext/>
              <w:rPr>
                <w:rStyle w:val="Code"/>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&gt;</w:t>
            </w:r>
          </w:p>
          <w:p>
            <w:pPr>
              <w:pStyle w:val="CodeParagraph"/>
              <w:keepNext/>
              <w:rPr>
                <w:rStyle w:val="Code"/>
              </w:rPr>
            </w:pPr>
            <w:r>
              <w:rPr>
                <w:rStyle w:val="Code"/>
              </w:rPr>
              <w:t xml:space="preserve">    &lt;head </w:t>
            </w:r>
            <w:r>
              <w:rPr>
                <w:rStyle w:val="Codeattribute"/>
              </w:rPr>
              <w:t>xml:lang</w:t>
            </w:r>
            <w:r>
              <w:rPr>
                <w:rStyle w:val="Code"/>
              </w:rPr>
              <w:t>=</w:t>
            </w:r>
            <w:r>
              <w:rPr>
                <w:rStyle w:val="Codevalue"/>
              </w:rPr>
              <w:t>"eng"</w:t>
            </w:r>
            <w:r>
              <w:rPr>
                <w:rStyle w:val="Code"/>
              </w:rPr>
              <w:t>&gt;</w:t>
            </w:r>
            <w:r>
              <w:rPr>
                <w:rStyle w:val="Codetext"/>
              </w:rPr>
              <w:t>Seal</w:t>
            </w:r>
            <w:r>
              <w:rPr>
                <w:rStyle w:val="Code"/>
              </w:rPr>
              <w:t>&lt;/head&gt;</w:t>
            </w:r>
            <w:r>
              <w:rPr>
                <w:rStyle w:val="Codetext"/>
              </w:rPr>
              <w:br/>
              <w:t xml:space="preserve">    ...</w:t>
            </w:r>
            <w:r>
              <w:rPr>
                <w:rStyle w:val="Codetext"/>
              </w:rPr>
              <w:br/>
            </w:r>
            <w:r>
              <w:rPr>
                <w:rStyle w:val="Code"/>
              </w:rPr>
              <w:t xml:space="preserve">  &lt;/div&gt;</w:t>
            </w:r>
          </w:p>
          <w:p>
            <w:pPr>
              <w:pStyle w:val="CodeParagraph"/>
              <w:keepNext/>
              <w:rPr>
                <w:rStyle w:val="Code"/>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&gt;</w:t>
            </w:r>
          </w:p>
          <w:p>
            <w:pPr>
              <w:pStyle w:val="CodeParagraph"/>
              <w:keepNext/>
              <w:rPr>
                <w:rStyle w:val="Codetext"/>
              </w:rPr>
            </w:pPr>
            <w:r>
              <w:rPr>
                <w:rStyle w:val="Code"/>
              </w:rPr>
              <w:t xml:space="preserve">    &lt;head </w:t>
            </w:r>
            <w:r>
              <w:rPr>
                <w:rStyle w:val="Codeattribute"/>
              </w:rPr>
              <w:t>xml:lang</w:t>
            </w:r>
            <w:r>
              <w:rPr>
                <w:rStyle w:val="Code"/>
              </w:rPr>
              <w:t>=</w:t>
            </w:r>
            <w:r>
              <w:rPr>
                <w:rStyle w:val="Codevalue"/>
              </w:rPr>
              <w:t>"eng"</w:t>
            </w:r>
            <w:r>
              <w:rPr>
                <w:rStyle w:val="Code"/>
              </w:rPr>
              <w:t>&gt;</w:t>
            </w:r>
            <w:r>
              <w:rPr>
                <w:rStyle w:val="Codetext"/>
              </w:rPr>
              <w:t>Plates</w:t>
            </w:r>
            <w:r>
              <w:rPr>
                <w:rStyle w:val="Code"/>
              </w:rPr>
              <w:t>&lt;/head&gt;</w:t>
            </w:r>
            <w:r>
              <w:rPr>
                <w:rStyle w:val="Codetext"/>
              </w:rPr>
              <w:br/>
              <w:t xml:space="preserve">    ...</w:t>
            </w:r>
          </w:p>
          <w:p>
            <w:pPr>
              <w:pStyle w:val="CodeParagraph"/>
              <w:keepNext/>
              <w:rPr>
                <w:rStyle w:val="Code"/>
              </w:rPr>
            </w:pPr>
            <w:r>
              <w:rPr>
                <w:rStyle w:val="Code"/>
              </w:rPr>
              <w:t xml:space="preserve">  &lt;/div&gt;</w:t>
            </w:r>
          </w:p>
          <w:p>
            <w:pPr>
              <w:pStyle w:val="CodeParagraph"/>
              <w:keepNext/>
              <w:rPr>
                <w:rFonts w:ascii="Consolas" w:hAnsi="Consolas" w:cs="Consolas"/>
                <w:noProof/>
                <w:color w:val="002060"/>
                <w:shd w:val="clear" w:color="auto" w:fill="F2F2F2" w:themeFill="background1" w:themeFillShade="F2"/>
              </w:rPr>
            </w:pPr>
            <w:r>
              <w:rPr>
                <w:rStyle w:val="Code"/>
              </w:rPr>
              <w:t>&lt;/div&gt;</w:t>
            </w:r>
          </w:p>
        </w:tc>
      </w:tr>
      <w:tr>
        <w:trPr>
          <w:jc w:val="right"/>
        </w:trPr>
        <w:tc>
          <w:tcPr>
            <w:tcW w:w="5000" w:type="pct"/>
          </w:tcPr>
          <w:p>
            <w:pPr>
              <w:pStyle w:val="TableNote"/>
              <w:rPr>
                <w:rStyle w:val="Code"/>
              </w:rPr>
            </w:pPr>
            <w:r>
              <w:t xml:space="preserve">complete encoded illustration: </w:t>
            </w:r>
            <w:r>
              <w:fldChar w:fldCharType="begin"/>
            </w:r>
            <w:r>
              <w:instrText xml:space="preserve"> REF _Ref239844290 \r \h </w:instrText>
            </w:r>
            <w:r>
              <w:fldChar w:fldCharType="separate"/>
            </w:r>
            <w:r>
              <w:t>Appendix A.2</w:t>
            </w:r>
            <w:r>
              <w:fldChar w:fldCharType="end"/>
            </w:r>
          </w:p>
        </w:tc>
      </w:tr>
    </w:tbl>
    <w:p>
      <w:pPr>
        <w:pStyle w:val="Lista"/>
      </w:pPr>
      <w:r>
        <w:t>this applies to single or multiple plates provided with a seal inscription that is represented in the edition, regardless of whether the seal is soldered to a plate, attached with a ring to a set of plates, or currently detached</w:t>
      </w:r>
    </w:p>
    <w:p>
      <w:pPr>
        <w:pStyle w:val="Lista2"/>
      </w:pPr>
      <w:r>
        <w:t>including seal inscriptions which are completely illegible and represented only as a lacuna</w:t>
      </w:r>
    </w:p>
    <w:p>
      <w:pPr>
        <w:pStyle w:val="Lista2"/>
      </w:pPr>
      <w:r>
        <w:t>but excluding cases where no seal inscription is represented in the edition for any reason, such as</w:t>
      </w:r>
    </w:p>
    <w:p>
      <w:pPr>
        <w:pStyle w:val="Lista3"/>
      </w:pPr>
      <w:r>
        <w:t>when the seal never bore an inscription</w:t>
      </w:r>
    </w:p>
    <w:p>
      <w:pPr>
        <w:pStyle w:val="Lista3"/>
      </w:pPr>
      <w:r>
        <w:t>when the seal as a whole is lost</w:t>
      </w:r>
    </w:p>
    <w:p>
      <w:pPr>
        <w:pStyle w:val="Lista"/>
      </w:pPr>
      <w:r>
        <w:t>for the sake of consistency throughout the corpus, the textpart for the seal text shall precede the textpart for the plates</w:t>
      </w:r>
    </w:p>
    <w:p>
      <w:pPr>
        <w:pStyle w:val="Lista2"/>
      </w:pPr>
      <w:r>
        <w:t>unless the seal’s point of attachment is at the bottom of a single plate</w:t>
      </w:r>
    </w:p>
    <w:p>
      <w:pPr>
        <w:pStyle w:val="Lista"/>
      </w:pPr>
      <w:r>
        <w:lastRenderedPageBreak/>
        <w:t>should more than one inscribed seal be present, create separate textparts for each, in the sequence you deem most appropriate</w:t>
      </w:r>
    </w:p>
    <w:p>
      <w:pPr>
        <w:pStyle w:val="Lista"/>
      </w:pPr>
      <w:r>
        <w:t xml:space="preserve">the textparts shall be numbered normally, without </w:t>
      </w:r>
      <w:r>
        <w:rPr>
          <w:rStyle w:val="Codeattribute"/>
        </w:rPr>
        <w:t>@subtype</w:t>
      </w:r>
      <w:r>
        <w:t xml:space="preserve">, but with custom headings “Seal” and “Plates” as shown in </w:t>
      </w:r>
      <w:r>
        <w:fldChar w:fldCharType="begin"/>
      </w:r>
      <w:r>
        <w:instrText xml:space="preserve"> REF _Ref44078277 \h </w:instrText>
      </w:r>
      <w:r>
        <w:fldChar w:fldCharType="separate"/>
      </w:r>
      <w:r>
        <w:t xml:space="preserve">Exhibit </w:t>
      </w:r>
      <w:r>
        <w:rPr>
          <w:noProof/>
        </w:rPr>
        <w:t>4.7</w:t>
      </w:r>
      <w:r>
        <w:t>.</w:t>
      </w:r>
      <w:r>
        <w:rPr>
          <w:noProof/>
        </w:rPr>
        <w:t>H</w:t>
      </w:r>
      <w:r>
        <w:fldChar w:fldCharType="end"/>
      </w:r>
    </w:p>
    <w:p>
      <w:pPr>
        <w:pStyle w:val="Lista2"/>
      </w:pPr>
      <w:r>
        <w:t>for more than one inscribed seal, use “First seal,” “Second seal,” etc. in the headings</w:t>
      </w:r>
    </w:p>
    <w:p>
      <w:pPr>
        <w:pStyle w:val="Cmsor4"/>
      </w:pPr>
      <w:bookmarkStart w:id="305" w:name="_Ref225346692"/>
      <w:r>
        <w:t>Non-contiguous fragments</w:t>
      </w:r>
      <w:bookmarkEnd w:id="305"/>
    </w:p>
    <w:p>
      <w:pPr>
        <w:rPr>
          <w:lang w:eastAsia="en-US" w:bidi="ar-SA"/>
        </w:rPr>
      </w:pPr>
      <w:r>
        <w:rPr>
          <w:lang w:eastAsia="en-US" w:bidi="ar-SA"/>
        </w:rPr>
        <w:t xml:space="preserve">When an inscription survives in two or more fragments which were not physically contiguous on the unbroken support, it is usually not possible to reconstruct how many lines of text were lost between the two fragments. Sometimes, even the order in which the extant fragments were meant to be read may be doubtful. In such cases it is best to encode each fragment as a standalone textpart as in </w:t>
      </w:r>
      <w:r>
        <w:fldChar w:fldCharType="begin"/>
      </w:r>
      <w:r>
        <w:instrText xml:space="preserve"> REF _Ref44078070 \h </w:instrText>
      </w:r>
      <w:r>
        <w:fldChar w:fldCharType="separate"/>
      </w:r>
      <w:r>
        <w:t xml:space="preserve">Exhibit </w:t>
      </w:r>
      <w:r>
        <w:rPr>
          <w:noProof/>
        </w:rPr>
        <w:t>4.7</w:t>
      </w:r>
      <w:r>
        <w:t>.</w:t>
      </w:r>
      <w:r>
        <w:rPr>
          <w:noProof/>
        </w:rPr>
        <w:t>I</w:t>
      </w:r>
      <w:r>
        <w:fldChar w:fldCharType="end"/>
      </w:r>
      <w:r>
        <w:rPr>
          <w:lang w:eastAsia="en-US" w:bidi="ar-SA"/>
        </w:rPr>
        <w:t>, with the lines numbered separately in each.</w:t>
      </w:r>
    </w:p>
    <w:tbl>
      <w:tblPr>
        <w:tblStyle w:val="CodeSampleTable"/>
        <w:tblpPr w:leftFromText="180" w:rightFromText="180" w:vertAnchor="text" w:tblpXSpec="right" w:tblpY="1"/>
        <w:tblOverlap w:val="never"/>
        <w:tblW w:w="5103" w:type="dxa"/>
        <w:jc w:val="right"/>
        <w:tblLook w:val="04A0" w:firstRow="1" w:lastRow="0" w:firstColumn="1" w:lastColumn="0" w:noHBand="0" w:noVBand="1"/>
      </w:tblPr>
      <w:tblGrid>
        <w:gridCol w:w="5112"/>
      </w:tblGrid>
      <w:tr>
        <w:trPr>
          <w:cnfStyle w:val="100000000000" w:firstRow="1" w:lastRow="0" w:firstColumn="0" w:lastColumn="0" w:oddVBand="0" w:evenVBand="0" w:oddHBand="0" w:evenHBand="0" w:firstRowFirstColumn="0" w:firstRowLastColumn="0" w:lastRowFirstColumn="0" w:lastRowLastColumn="0"/>
          <w:jc w:val="right"/>
        </w:trPr>
        <w:tc>
          <w:tcPr>
            <w:tcW w:w="5000" w:type="pct"/>
          </w:tcPr>
          <w:p>
            <w:pPr>
              <w:pStyle w:val="Kpalrs"/>
              <w:keepLines/>
            </w:pPr>
            <w:bookmarkStart w:id="306" w:name="_Ref44078070"/>
            <w:r>
              <w:t xml:space="preserve">Exhibit </w:t>
            </w:r>
            <w:fldSimple w:instr=" STYLEREF 2 \s ">
              <w:r>
                <w:rPr>
                  <w:noProof/>
                </w:rPr>
                <w:t>4.7</w:t>
              </w:r>
            </w:fldSimple>
            <w:r>
              <w:t>.</w:t>
            </w:r>
            <w:fldSimple w:instr=" SEQ Exhibit \* ALPHABETIC \s 2 ">
              <w:r>
                <w:rPr>
                  <w:noProof/>
                </w:rPr>
                <w:t>I</w:t>
              </w:r>
            </w:fldSimple>
            <w:bookmarkEnd w:id="306"/>
            <w:r>
              <w:t>: non-contiguous fragments</w:t>
            </w:r>
          </w:p>
        </w:tc>
      </w:tr>
      <w:tr>
        <w:trPr>
          <w:jc w:val="right"/>
        </w:trPr>
        <w:tc>
          <w:tcPr>
            <w:tcW w:w="5000" w:type="pct"/>
          </w:tcPr>
          <w:p>
            <w:pPr>
              <w:pStyle w:val="Image"/>
            </w:pPr>
            <w:r>
              <w:drawing>
                <wp:inline distT="0" distB="0" distL="0" distR="0">
                  <wp:extent cx="3240000" cy="2203200"/>
                  <wp:effectExtent l="0" t="0" r="0" b="6985"/>
                  <wp:docPr id="87249328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0000" cy="2203200"/>
                          </a:xfrm>
                          <a:prstGeom prst="rect">
                            <a:avLst/>
                          </a:prstGeom>
                          <a:noFill/>
                          <a:ln>
                            <a:noFill/>
                          </a:ln>
                        </pic:spPr>
                      </pic:pic>
                    </a:graphicData>
                  </a:graphic>
                </wp:inline>
              </w:drawing>
            </w:r>
          </w:p>
        </w:tc>
      </w:tr>
      <w:tr>
        <w:trPr>
          <w:jc w:val="right"/>
        </w:trPr>
        <w:tc>
          <w:tcPr>
            <w:tcW w:w="5000" w:type="pct"/>
          </w:tcPr>
          <w:p>
            <w:pPr>
              <w:pStyle w:val="CodeParagraph"/>
              <w:keepLines/>
              <w:rPr>
                <w:rStyle w:val="Code"/>
              </w:rPr>
            </w:pPr>
            <w:r>
              <w:rPr>
                <w:rStyle w:val="Code"/>
              </w:rPr>
              <w:t xml:space="preserve">&lt;div </w:t>
            </w:r>
            <w:r>
              <w:rPr>
                <w:rStyle w:val="Codeattribute"/>
              </w:rPr>
              <w:t>type</w:t>
            </w:r>
            <w:r>
              <w:rPr>
                <w:rStyle w:val="Code"/>
              </w:rPr>
              <w:t>=</w:t>
            </w:r>
            <w:r>
              <w:rPr>
                <w:rStyle w:val="Codevalue"/>
              </w:rPr>
              <w:t>"edition"</w:t>
            </w:r>
            <w:r>
              <w:rPr>
                <w:rStyle w:val="Code"/>
              </w:rPr>
              <w:t>&gt;</w:t>
            </w:r>
          </w:p>
          <w:p>
            <w:pPr>
              <w:pStyle w:val="CodeParagraph"/>
              <w:keepLines/>
              <w:rPr>
                <w:rStyle w:val="Codetext"/>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p>
          <w:p>
            <w:pPr>
              <w:pStyle w:val="CodeParagraph"/>
              <w:keepLines/>
              <w:rPr>
                <w:rStyle w:val="Code"/>
              </w:rPr>
            </w:pPr>
            <w:r>
              <w:rPr>
                <w:rStyle w:val="Code"/>
              </w:rPr>
              <w:t xml:space="preserve">  &lt;/div&gt;</w:t>
            </w:r>
          </w:p>
          <w:p>
            <w:pPr>
              <w:pStyle w:val="CodeParagraph"/>
              <w:keepLines/>
              <w:rPr>
                <w:rStyle w:val="Codetext"/>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br/>
              <w:t xml:space="preserve">    ...</w:t>
            </w:r>
          </w:p>
          <w:p>
            <w:pPr>
              <w:pStyle w:val="CodeParagraph"/>
              <w:keepLines/>
              <w:rPr>
                <w:rStyle w:val="Code"/>
              </w:rPr>
            </w:pPr>
            <w:r>
              <w:rPr>
                <w:rStyle w:val="Code"/>
              </w:rPr>
              <w:t xml:space="preserve">  &lt;/div&gt;</w:t>
            </w:r>
          </w:p>
          <w:p>
            <w:pPr>
              <w:pStyle w:val="CodeParagraph"/>
              <w:keepLines/>
              <w:rPr>
                <w:rFonts w:ascii="Consolas" w:hAnsi="Consolas" w:cs="Consolas"/>
                <w:noProof/>
                <w:color w:val="002060"/>
                <w:shd w:val="clear" w:color="auto" w:fill="F2F2F2" w:themeFill="background1" w:themeFillShade="F2"/>
              </w:rPr>
            </w:pPr>
            <w:r>
              <w:rPr>
                <w:rStyle w:val="Code"/>
              </w:rPr>
              <w:t>&lt;/div&gt;</w:t>
            </w:r>
          </w:p>
        </w:tc>
      </w:tr>
      <w:tr>
        <w:trPr>
          <w:jc w:val="right"/>
        </w:trPr>
        <w:tc>
          <w:tcPr>
            <w:tcW w:w="5000" w:type="pct"/>
          </w:tcPr>
          <w:p>
            <w:pPr>
              <w:pStyle w:val="TableNote"/>
              <w:rPr>
                <w:rStyle w:val="Code"/>
              </w:rPr>
            </w:pPr>
            <w:r>
              <w:t xml:space="preserve">complete encoded illustration: </w:t>
            </w:r>
            <w:r>
              <w:fldChar w:fldCharType="begin"/>
            </w:r>
            <w:r>
              <w:instrText xml:space="preserve"> REF _Ref239844299 \r \h </w:instrText>
            </w:r>
            <w:r>
              <w:fldChar w:fldCharType="separate"/>
            </w:r>
            <w:r>
              <w:t>Appendix A.1</w:t>
            </w:r>
            <w:r>
              <w:fldChar w:fldCharType="end"/>
            </w:r>
          </w:p>
        </w:tc>
      </w:tr>
    </w:tbl>
    <w:p>
      <w:pPr>
        <w:pStyle w:val="Lista"/>
      </w:pPr>
      <w:r>
        <w:t>this applies whenever the text connecting the extant parts of the text is not represented at all in the edition</w:t>
      </w:r>
    </w:p>
    <w:p>
      <w:pPr>
        <w:pStyle w:val="Lista2"/>
      </w:pPr>
      <w:r>
        <w:t>such a situation might also come about in an inscription that is not fragmented, but so thoroughly worn in the middle that its lines cannot even be counted, much less read</w:t>
      </w:r>
    </w:p>
    <w:p>
      <w:pPr>
        <w:pStyle w:val="Lista2"/>
      </w:pPr>
      <w:r>
        <w:t>however, if the connecting text is represented, even if only so far as its basic structure (e.g. lines, copperplate pages), then the fragments need not and should not be encoded as textparts</w:t>
      </w:r>
    </w:p>
    <w:p>
      <w:pPr>
        <w:pStyle w:val="Lista2"/>
      </w:pPr>
      <w:r>
        <w:t>see also §</w:t>
      </w:r>
      <w:r>
        <w:fldChar w:fldCharType="begin"/>
      </w:r>
      <w:r>
        <w:instrText xml:space="preserve"> REF _Ref43981711 \w \h  \* MERGEFORMAT </w:instrText>
      </w:r>
      <w:r>
        <w:fldChar w:fldCharType="separate"/>
      </w:r>
      <w:r>
        <w:t>6.5.4</w:t>
      </w:r>
      <w:r>
        <w:fldChar w:fldCharType="end"/>
      </w:r>
      <w:r>
        <w:t xml:space="preserve"> about encoding massive lacunae without resorting to textparts</w:t>
      </w:r>
    </w:p>
    <w:p>
      <w:pPr>
        <w:pStyle w:val="Lista"/>
      </w:pPr>
      <w:r>
        <w:t>the textparts shall be created in the sequence you deem most appropriate</w:t>
      </w:r>
    </w:p>
    <w:p>
      <w:pPr>
        <w:pStyle w:val="Lista"/>
        <w:rPr>
          <w:rStyle w:val="Codevalue"/>
          <w:rFonts w:ascii="Gentium" w:eastAsiaTheme="minorEastAsia" w:hAnsi="Gentium" w:cs="Tiro Devanagari Sanskrit"/>
          <w:noProof w:val="0"/>
          <w:color w:val="auto"/>
          <w:shd w:val="clear" w:color="auto" w:fill="auto"/>
        </w:rPr>
      </w:pPr>
      <w:r>
        <w:t xml:space="preserve">the textparts shall be numbered normally, with </w:t>
      </w:r>
      <w:r>
        <w:rPr>
          <w:rStyle w:val="Codeattribute"/>
        </w:rPr>
        <w:t>@subtype=</w:t>
      </w:r>
      <w:r>
        <w:rPr>
          <w:rStyle w:val="Codevalue"/>
        </w:rPr>
        <w:t>"fragment"</w:t>
      </w:r>
      <w:r>
        <w:t xml:space="preserve"> as shown in </w:t>
      </w:r>
      <w:r>
        <w:fldChar w:fldCharType="begin"/>
      </w:r>
      <w:r>
        <w:instrText xml:space="preserve"> REF _Ref44078070 \h </w:instrText>
      </w:r>
      <w:r>
        <w:fldChar w:fldCharType="separate"/>
      </w:r>
      <w:r>
        <w:t xml:space="preserve">Exhibit </w:t>
      </w:r>
      <w:r>
        <w:rPr>
          <w:noProof/>
        </w:rPr>
        <w:t>4.7</w:t>
      </w:r>
      <w:r>
        <w:t>.</w:t>
      </w:r>
      <w:r>
        <w:rPr>
          <w:noProof/>
        </w:rPr>
        <w:t>I</w:t>
      </w:r>
      <w:r>
        <w:fldChar w:fldCharType="end"/>
      </w:r>
    </w:p>
    <w:p>
      <w:pPr>
        <w:pStyle w:val="Lista2"/>
      </w:pPr>
      <w:r>
        <w:t>resulting in auto-generated headings such as “Fragment A”</w:t>
      </w:r>
    </w:p>
    <w:p>
      <w:pPr>
        <w:pStyle w:val="Lista2"/>
      </w:pPr>
      <w:r>
        <w:t xml:space="preserve">alternatively, you may choose to use descriptive custom headings, for example as shown in </w:t>
      </w:r>
      <w:r>
        <w:fldChar w:fldCharType="begin"/>
      </w:r>
      <w:r>
        <w:instrText xml:space="preserve"> REF _Ref44078271 \h </w:instrText>
      </w:r>
      <w:r>
        <w:fldChar w:fldCharType="separate"/>
      </w:r>
      <w:r>
        <w:t xml:space="preserve">Exhibit </w:t>
      </w:r>
      <w:r>
        <w:rPr>
          <w:noProof/>
        </w:rPr>
        <w:t>4.2</w:t>
      </w:r>
      <w:r>
        <w:t>.</w:t>
      </w:r>
      <w:r>
        <w:rPr>
          <w:noProof/>
        </w:rPr>
        <w:t>B</w:t>
      </w:r>
      <w:r>
        <w:fldChar w:fldCharType="end"/>
      </w:r>
    </w:p>
    <w:p>
      <w:pPr>
        <w:pStyle w:val="Lista"/>
      </w:pPr>
      <w:r>
        <w:t>incomplete block-level containers on any fragment shall be encoded as per §</w:t>
      </w:r>
      <w:r>
        <w:fldChar w:fldCharType="begin"/>
      </w:r>
      <w:r>
        <w:instrText xml:space="preserve"> REF _Ref228980509 \r \h </w:instrText>
      </w:r>
      <w:r>
        <w:fldChar w:fldCharType="separate"/>
      </w:r>
      <w:r>
        <w:t>3.2.3.1</w:t>
      </w:r>
      <w:r>
        <w:fldChar w:fldCharType="end"/>
      </w:r>
    </w:p>
    <w:p>
      <w:pPr>
        <w:pStyle w:val="Cmsor4"/>
      </w:pPr>
      <w:bookmarkStart w:id="307" w:name="_Ref225178060"/>
      <w:r>
        <w:t>Trial engravings</w:t>
      </w:r>
      <w:bookmarkEnd w:id="307"/>
      <w:r>
        <w:t xml:space="preserve"> </w:t>
      </w:r>
    </w:p>
    <w:p>
      <w:r>
        <w:t>Trial engravings are short, often unintelligible, pieces of text outside the campus of the main inscription, which were presumably created for testing purposes before engraving the actual inscriptions and were probably not visible when the finished inscription was displayed in its original setting. We always encode trial engravings as textpart divisions.</w:t>
      </w:r>
    </w:p>
    <w:p>
      <w:pPr>
        <w:pStyle w:val="Lista"/>
      </w:pPr>
      <w:r>
        <w:t>textparts for trial engravings may be created before or after the textpart for the main inscription as you deem fit</w:t>
      </w:r>
    </w:p>
    <w:p>
      <w:pPr>
        <w:pStyle w:val="Lista"/>
      </w:pPr>
      <w:r>
        <w:t xml:space="preserve">the textparts shall be numbered normally, with </w:t>
      </w:r>
      <w:r>
        <w:rPr>
          <w:rStyle w:val="Codeattribute"/>
        </w:rPr>
        <w:t>@subtype=</w:t>
      </w:r>
      <w:r>
        <w:rPr>
          <w:rStyle w:val="Codevalue"/>
        </w:rPr>
        <w:t>"trial"</w:t>
      </w:r>
      <w:r>
        <w:t xml:space="preserve"> for the trial engravings and no </w:t>
      </w:r>
      <w:r>
        <w:rPr>
          <w:rStyle w:val="Codeattribute"/>
        </w:rPr>
        <w:t>@subtype</w:t>
      </w:r>
      <w:r>
        <w:t xml:space="preserve"> for the main inscription (unless one is warranted for some reason beyond the fact that it is accompanied by trial engravings)</w:t>
      </w:r>
    </w:p>
    <w:p>
      <w:pPr>
        <w:pStyle w:val="Lista2"/>
      </w:pPr>
      <w:r>
        <w:t xml:space="preserve">this value of </w:t>
      </w:r>
      <w:r>
        <w:rPr>
          <w:rStyle w:val="Codeattribute"/>
        </w:rPr>
        <w:t>@subtype</w:t>
      </w:r>
      <w:r>
        <w:t xml:space="preserve"> is an exception to the general preference for classifying textparts purely on the basis of physical nature, in order to facilitate searching the corpus for trial engravings</w:t>
      </w:r>
    </w:p>
    <w:p>
      <w:pPr>
        <w:pStyle w:val="Lista"/>
      </w:pPr>
      <w:r>
        <w:t xml:space="preserve">a custom heading may be created at your discretion, but </w:t>
      </w:r>
      <w:r>
        <w:rPr>
          <w:rStyle w:val="Codeattribute"/>
        </w:rPr>
        <w:t>@subtype=</w:t>
      </w:r>
      <w:r>
        <w:rPr>
          <w:rStyle w:val="Codevalue"/>
        </w:rPr>
        <w:t>"trial"</w:t>
      </w:r>
      <w:r>
        <w:t xml:space="preserve"> must always be present on the trial textparts</w:t>
      </w:r>
    </w:p>
    <w:p>
      <w:pPr>
        <w:pStyle w:val="Cmsor4"/>
      </w:pPr>
      <w:bookmarkStart w:id="308" w:name="_gwyk1jzb0av6" w:colFirst="0" w:colLast="0"/>
      <w:bookmarkStart w:id="309" w:name="_Ref231898382"/>
      <w:bookmarkStart w:id="310" w:name="_Ref43990385"/>
      <w:bookmarkEnd w:id="308"/>
      <w:r>
        <w:lastRenderedPageBreak/>
        <w:t>Same message in different languages</w:t>
      </w:r>
      <w:bookmarkEnd w:id="309"/>
    </w:p>
    <w:p>
      <w:pPr>
        <w:rPr>
          <w:lang w:eastAsia="en-US" w:bidi="ar-SA"/>
        </w:rPr>
      </w:pPr>
      <w:r>
        <w:rPr>
          <w:lang w:eastAsia="en-US" w:bidi="ar-SA"/>
        </w:rPr>
        <w:t>When two inscriptions on the same support or on associated supports carry an identical (or closely related) message in two (or more) separate languages, these can be encoded as textpart divisions.</w:t>
      </w:r>
    </w:p>
    <w:p>
      <w:pPr>
        <w:pStyle w:val="Lista"/>
      </w:pPr>
      <w:r>
        <w:t>this applies whenever the two inscriptions are connected closely enough to be recognised as parts of a single epigraphic installation, but nonetheless separate in layout</w:t>
      </w:r>
    </w:p>
    <w:p>
      <w:pPr>
        <w:pStyle w:val="Lista2"/>
      </w:pPr>
      <w:r>
        <w:t>language change within a single integral inscription must not be encoded with textpart divisions</w:t>
      </w:r>
    </w:p>
    <w:p>
      <w:pPr>
        <w:pStyle w:val="Lista2"/>
      </w:pPr>
      <w:r>
        <w:t>for further guidance on multilingual inscriptions, including the encoding of language, see §</w:t>
      </w:r>
      <w:r>
        <w:fldChar w:fldCharType="begin"/>
      </w:r>
      <w:r>
        <w:instrText xml:space="preserve"> REF _Ref232089615 \r \h </w:instrText>
      </w:r>
      <w:r>
        <w:fldChar w:fldCharType="separate"/>
      </w:r>
      <w:r>
        <w:t>8.1.2</w:t>
      </w:r>
      <w:r>
        <w:fldChar w:fldCharType="end"/>
      </w:r>
      <w:r>
        <w:t xml:space="preserve"> </w:t>
      </w:r>
    </w:p>
    <w:p>
      <w:pPr>
        <w:pStyle w:val="Lista"/>
      </w:pPr>
      <w:r>
        <w:t>create the textparts in the order you deem most appropriate</w:t>
      </w:r>
    </w:p>
    <w:p>
      <w:pPr>
        <w:pStyle w:val="Lista"/>
      </w:pPr>
      <w:r>
        <w:t xml:space="preserve">the textparts shall be numbered normally, with </w:t>
      </w:r>
      <w:r>
        <w:rPr>
          <w:rStyle w:val="Codeattribute"/>
        </w:rPr>
        <w:t>@subtype</w:t>
      </w:r>
      <w:r>
        <w:t xml:space="preserve"> or custom headings at your discretion</w:t>
      </w:r>
    </w:p>
    <w:p>
      <w:pPr>
        <w:pStyle w:val="Cmsor4"/>
      </w:pPr>
      <w:r>
        <w:t>No obvious reading order</w:t>
      </w:r>
    </w:p>
    <w:p>
      <w:r>
        <w:t>When, for whatever reason, there is no obvious order in which physically and semantically distinct zones of text ought to be read, but there is nevertheless good reason for treating them as a single document rather than as separate inscriptions, you may choose to encode them as textpart divisions.</w:t>
      </w:r>
    </w:p>
    <w:p>
      <w:pPr>
        <w:pStyle w:val="Lista"/>
      </w:pPr>
      <w:r>
        <w:t>this applies in particular to multiple short inscriptions engraved on various parts of a support such as a rock face, a monument or a sculpture</w:t>
      </w:r>
    </w:p>
    <w:p>
      <w:pPr>
        <w:pStyle w:val="Lista2"/>
      </w:pPr>
      <w:r>
        <w:t>if there is reason to believe that the inscriptions do not constitute a semantic whole and/or that they were engraved on separate occasions (as for instance various graffiti on a monument), then it is preferable to encode each as a separate edition</w:t>
      </w:r>
    </w:p>
    <w:p>
      <w:pPr>
        <w:pStyle w:val="Lista"/>
      </w:pPr>
      <w:r>
        <w:t xml:space="preserve">create the textparts in the order you deem most </w:t>
      </w:r>
      <w:proofErr w:type="spellStart"/>
      <w:r>
        <w:t>appopriate</w:t>
      </w:r>
      <w:proofErr w:type="spellEnd"/>
    </w:p>
    <w:p>
      <w:pPr>
        <w:pStyle w:val="Lista"/>
      </w:pPr>
      <w:r>
        <w:t xml:space="preserve">the textparts shall be numbered normally, with </w:t>
      </w:r>
      <w:r>
        <w:rPr>
          <w:rStyle w:val="Codeattribute"/>
        </w:rPr>
        <w:t>@subtype</w:t>
      </w:r>
      <w:r>
        <w:t xml:space="preserve"> or custom headings at your discretion</w:t>
      </w:r>
    </w:p>
    <w:p>
      <w:pPr>
        <w:pStyle w:val="Lista2"/>
      </w:pPr>
      <w:r>
        <w:t xml:space="preserve">custom headers such as “Head”, “Halo”, “Back” and “Pedestal” </w:t>
      </w:r>
      <w:r>
        <w:rPr>
          <w:noProof/>
        </w:rPr>
        <w:t>(</w:t>
      </w:r>
      <w:r>
        <w:t>etc.) are recommended for inscriptions on various parts of a statue</w:t>
      </w:r>
    </w:p>
    <w:p>
      <w:pPr>
        <w:pStyle w:val="Cmsor4"/>
      </w:pPr>
      <w:bookmarkStart w:id="311" w:name="_Ref225782390"/>
      <w:r>
        <w:t>Complex, hierarchical extrinsic structure</w:t>
      </w:r>
      <w:bookmarkEnd w:id="311"/>
    </w:p>
    <w:p>
      <w:r>
        <w:t>If an inscription is written in several distinct zones and one or more of these zones are further subdivided, this cannot be represented in our encoding because for practical reasons we have chosen not to employ more than one kind of pagelike partition in a division (§</w:t>
      </w:r>
      <w:r>
        <w:fldChar w:fldCharType="begin"/>
      </w:r>
      <w:r>
        <w:instrText xml:space="preserve"> REF _Ref182923075 \r \h </w:instrText>
      </w:r>
      <w:r>
        <w:fldChar w:fldCharType="separate"/>
      </w:r>
      <w:r>
        <w:t>4.1</w:t>
      </w:r>
      <w:r>
        <w:fldChar w:fldCharType="end"/>
      </w:r>
      <w:r>
        <w:t xml:space="preserve">). If you are certain that the hierarchical structure must be reflected in your encoded edition, you may choose to employ textpart divisions for the top level of such a hierarchical structure, and pagelike partitions within one or more of the divisions as applicable. Keep in mind, however, that there is no solid advantage to attempting to faithfully represent every detail of a structurally complex document in your encoding. Creating separate editions </w:t>
      </w:r>
      <w:r>
        <w:rPr>
          <w:noProof/>
        </w:rPr>
        <w:t>(</w:t>
      </w:r>
      <w:r>
        <w:t>in separate XML documents) is also a viable alternative to creating textparts in a single edition, especially if the parts concerned are integral in themselves, if they have little semantic connection, and especially if they were engraved on separate occasions or on separate objects.</w:t>
      </w:r>
    </w:p>
    <w:p>
      <w:pPr>
        <w:pStyle w:val="Cmsor3"/>
      </w:pPr>
      <w:bookmarkStart w:id="312" w:name="_Ref225759789"/>
      <w:bookmarkStart w:id="313" w:name="_Toc242976615"/>
      <w:bookmarkEnd w:id="310"/>
      <w:r>
        <w:t>When to use pagelike partitions</w:t>
      </w:r>
      <w:bookmarkEnd w:id="312"/>
      <w:bookmarkEnd w:id="313"/>
    </w:p>
    <w:p>
      <w:r>
        <w:t xml:space="preserve">The use of the </w:t>
      </w:r>
      <w:r>
        <w:rPr>
          <w:rStyle w:val="Code"/>
        </w:rPr>
        <w:t>&lt;pb/&gt;</w:t>
      </w:r>
      <w:r>
        <w:t xml:space="preserve"> element is restricted in DHARMA practice to genuine pages, i.e. the sides of effectively two-dimensional sheets of a thin material. Other pagelike partitions, encoded with </w:t>
      </w:r>
      <w:r>
        <w:rPr>
          <w:rStyle w:val="Code"/>
        </w:rPr>
        <w:t xml:space="preserve">&lt;milestone </w:t>
      </w:r>
      <w:r>
        <w:rPr>
          <w:rStyle w:val="Codeattribute"/>
        </w:rPr>
        <w:t>type=</w:t>
      </w:r>
      <w:r>
        <w:rPr>
          <w:rStyle w:val="Codevalue"/>
        </w:rPr>
        <w:t>"pagelike"</w:t>
      </w:r>
      <w:r>
        <w:rPr>
          <w:rStyle w:val="Code"/>
        </w:rPr>
        <w:t>&gt;</w:t>
      </w:r>
      <w:r>
        <w:t>, can also occur on stone and other supports. When deciding whether to encode a pagelike partition, the questions to ask yourself is whether the visual separation of the zones is strong enough to warrant a partition at all, and if yes, whether the semantic distinctness of the zones is strong enough to warrant a boxlike (rather than a pagelike) partition.</w:t>
      </w:r>
    </w:p>
    <w:p>
      <w:pPr>
        <w:pStyle w:val="Cmsor4"/>
      </w:pPr>
      <w:bookmarkStart w:id="314" w:name="_Ref225781502"/>
      <w:r>
        <w:t>A pagelike partition is not always necessary</w:t>
      </w:r>
      <w:bookmarkEnd w:id="314"/>
    </w:p>
    <w:p>
      <w:r>
        <w:t xml:space="preserve">Sections of a reasonably coherent text are sometimes separated by vertical </w:t>
      </w:r>
      <w:r>
        <w:rPr>
          <w:noProof/>
        </w:rPr>
        <w:t>(</w:t>
      </w:r>
      <w:r>
        <w:t>interlinear) space in what is otherwise a fairly well-defined single zone. If the first or last line (or few lines) of an inscription are set apart visually from the rest, see §</w:t>
      </w:r>
      <w:r>
        <w:fldChar w:fldCharType="begin"/>
      </w:r>
      <w:r>
        <w:instrText xml:space="preserve"> REF _Ref225779703 \r \h </w:instrText>
      </w:r>
      <w:r>
        <w:fldChar w:fldCharType="separate"/>
      </w:r>
      <w:r>
        <w:t>4.7.1</w:t>
      </w:r>
      <w:r>
        <w:fldChar w:fldCharType="end"/>
      </w:r>
      <w:r>
        <w:t xml:space="preserve"> for the relevant encoding. Otherwise, choose one of the following options depending on your judgement of the degree to which the sections are semantically and physically distinct.</w:t>
      </w:r>
    </w:p>
    <w:p>
      <w:pPr>
        <w:pStyle w:val="Lista"/>
      </w:pPr>
      <w:r>
        <w:lastRenderedPageBreak/>
        <w:t xml:space="preserve">if there is </w:t>
      </w:r>
      <w:r>
        <w:rPr>
          <w:b/>
          <w:bCs/>
        </w:rPr>
        <w:t>little to no</w:t>
      </w:r>
      <w:r>
        <w:t xml:space="preserve"> semantic discontinuity between the sections, and the physical separation is not very emphatic, as in </w:t>
      </w:r>
      <w:r>
        <w:fldChar w:fldCharType="begin"/>
      </w:r>
      <w:r>
        <w:instrText xml:space="preserve"> REF _Ref225779765 \h </w:instrText>
      </w:r>
      <w:r>
        <w:fldChar w:fldCharType="separate"/>
      </w:r>
      <w:r>
        <w:t xml:space="preserve">Exhibit </w:t>
      </w:r>
      <w:r>
        <w:rPr>
          <w:noProof/>
        </w:rPr>
        <w:t>4.7</w:t>
      </w:r>
      <w:r>
        <w:t>.</w:t>
      </w:r>
      <w:r>
        <w:rPr>
          <w:noProof/>
        </w:rPr>
        <w:t>J</w:t>
      </w:r>
      <w:r>
        <w:fldChar w:fldCharType="end"/>
      </w:r>
      <w:r>
        <w:t>, then encode the text as a single unit, ignoring the interlinear space in your edition and only describing it in your annotation</w:t>
      </w:r>
    </w:p>
    <w:p>
      <w:pPr>
        <w:pStyle w:val="Lista2"/>
      </w:pPr>
      <w:r>
        <w:t>since epigraphic lines may appear in any visual arrangement (§</w:t>
      </w:r>
      <w:r>
        <w:fldChar w:fldCharType="begin"/>
      </w:r>
      <w:r>
        <w:instrText xml:space="preserve"> REF _Ref224720139 \r \h </w:instrText>
      </w:r>
      <w:r>
        <w:fldChar w:fldCharType="separate"/>
      </w:r>
      <w:r>
        <w:t>4.5</w:t>
      </w:r>
      <w:r>
        <w:fldChar w:fldCharType="end"/>
      </w:r>
      <w:r>
        <w:t>), encoding one line after another does not assert that the lines are equidistant</w:t>
      </w:r>
    </w:p>
    <w:p>
      <w:pPr>
        <w:pStyle w:val="Lista"/>
      </w:pPr>
      <w:r>
        <w:t xml:space="preserve">if the sections are </w:t>
      </w:r>
      <w:r>
        <w:rPr>
          <w:b/>
          <w:bCs/>
        </w:rPr>
        <w:t>semantically separate</w:t>
      </w:r>
      <w:r>
        <w:t xml:space="preserve"> and/or the </w:t>
      </w:r>
      <w:r>
        <w:rPr>
          <w:b/>
          <w:bCs/>
        </w:rPr>
        <w:t>physical separation is emphasized</w:t>
      </w:r>
      <w:r>
        <w:t xml:space="preserve"> (for instance by a large space or by a carved feature), then encode pagelike partitions as per §</w:t>
      </w:r>
      <w:r>
        <w:fldChar w:fldCharType="begin"/>
      </w:r>
      <w:r>
        <w:instrText xml:space="preserve"> REF _Ref233982406 \r \h </w:instrText>
      </w:r>
      <w:r>
        <w:fldChar w:fldCharType="separate"/>
      </w:r>
      <w:r>
        <w:t>4.4</w:t>
      </w:r>
      <w:r>
        <w:fldChar w:fldCharType="end"/>
      </w:r>
    </w:p>
    <w:p>
      <w:pPr>
        <w:pStyle w:val="Lista"/>
      </w:pPr>
      <w:r>
        <w:t>if the sections are completely independent, then boxlike partitions may be applicable, but before encoding such a partition, consider the guidelines in §</w:t>
      </w:r>
      <w:r>
        <w:fldChar w:fldCharType="begin"/>
      </w:r>
      <w:r>
        <w:instrText xml:space="preserve"> REF _Ref225781091 \r \h </w:instrText>
      </w:r>
      <w:r>
        <w:fldChar w:fldCharType="separate"/>
      </w:r>
      <w:r>
        <w:t>4.7.4.2</w:t>
      </w:r>
      <w:r>
        <w:fldChar w:fldCharType="end"/>
      </w:r>
      <w:r>
        <w:t xml:space="preserve"> </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315" w:name="_Ref225779765"/>
            <w:r>
              <w:t xml:space="preserve">Exhibit </w:t>
            </w:r>
            <w:fldSimple w:instr=" STYLEREF 2 \s ">
              <w:r>
                <w:rPr>
                  <w:noProof/>
                </w:rPr>
                <w:t>4.7</w:t>
              </w:r>
            </w:fldSimple>
            <w:r>
              <w:t>.</w:t>
            </w:r>
            <w:fldSimple w:instr=" SEQ Exhibit \* ALPHABETIC \s 2 ">
              <w:r>
                <w:rPr>
                  <w:noProof/>
                </w:rPr>
                <w:t>J</w:t>
              </w:r>
            </w:fldSimple>
            <w:bookmarkEnd w:id="315"/>
            <w:r>
              <w:t>: a quasi-partition with interlinear space</w:t>
            </w:r>
          </w:p>
        </w:tc>
      </w:tr>
      <w:tr>
        <w:tc>
          <w:tcPr>
            <w:tcW w:w="5000" w:type="pct"/>
            <w:vAlign w:val="center"/>
          </w:tcPr>
          <w:p>
            <w:pPr>
              <w:pStyle w:val="Image"/>
              <w:keepLines/>
              <w:rPr>
                <w:rStyle w:val="Code"/>
              </w:rPr>
            </w:pPr>
            <w:r>
              <w:drawing>
                <wp:inline distT="0" distB="0" distL="0" distR="0">
                  <wp:extent cx="4497070" cy="2702560"/>
                  <wp:effectExtent l="0" t="0" r="0" b="2540"/>
                  <wp:docPr id="79382766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97070" cy="2702560"/>
                          </a:xfrm>
                          <a:prstGeom prst="rect">
                            <a:avLst/>
                          </a:prstGeom>
                          <a:noFill/>
                          <a:ln>
                            <a:noFill/>
                          </a:ln>
                        </pic:spPr>
                      </pic:pic>
                    </a:graphicData>
                  </a:graphic>
                </wp:inline>
              </w:drawing>
            </w:r>
          </w:p>
        </w:tc>
      </w:tr>
      <w:tr>
        <w:tc>
          <w:tcPr>
            <w:tcW w:w="5000" w:type="pct"/>
          </w:tcPr>
          <w:p>
            <w:pPr>
              <w:pStyle w:val="CodeParagraph"/>
              <w:rPr>
                <w:rStyle w:val="Code"/>
              </w:rPr>
            </w:pPr>
            <w:r>
              <w:rPr>
                <w:rStyle w:val="Code"/>
              </w:rPr>
              <w:t>&lt;p&gt;</w:t>
            </w:r>
          </w:p>
          <w:p>
            <w:pPr>
              <w:pStyle w:val="CodeParagraph"/>
              <w:rPr>
                <w:rStyle w:val="Codetext"/>
              </w:rPr>
            </w:pPr>
            <w:r>
              <w:rPr>
                <w:rStyle w:val="Code"/>
              </w:rPr>
              <w:t xml:space="preserve">  &lt;lb </w:t>
            </w:r>
            <w:r>
              <w:rPr>
                <w:rStyle w:val="Codeattribute"/>
              </w:rPr>
              <w:t>n</w:t>
            </w:r>
            <w:r>
              <w:rPr>
                <w:rStyle w:val="Code"/>
              </w:rPr>
              <w:t>=</w:t>
            </w:r>
            <w:r>
              <w:rPr>
                <w:rStyle w:val="Codevalue"/>
              </w:rPr>
              <w:t>"1"</w:t>
            </w:r>
            <w:r>
              <w:rPr>
                <w:rStyle w:val="Code"/>
              </w:rPr>
              <w:t>/&gt;</w:t>
            </w:r>
            <w:r>
              <w:rPr>
                <w:rStyle w:val="Codetext"/>
              </w:rPr>
              <w:t xml:space="preserve"> In a hole in the ground there lived a hobbit. Not a</w:t>
            </w:r>
          </w:p>
          <w:p>
            <w:pPr>
              <w:pStyle w:val="CodeParagraph"/>
              <w:rPr>
                <w:rStyle w:val="Code"/>
              </w:rPr>
            </w:pPr>
            <w:r>
              <w:rPr>
                <w:rStyle w:val="Code"/>
              </w:rPr>
              <w:t xml:space="preserve">  ...</w:t>
            </w:r>
          </w:p>
          <w:p>
            <w:pPr>
              <w:pStyle w:val="CodeParagraph"/>
              <w:rPr>
                <w:rStyle w:val="Codetext"/>
              </w:rPr>
            </w:pPr>
            <w:r>
              <w:rPr>
                <w:rStyle w:val="Code"/>
              </w:rPr>
              <w:t xml:space="preserve">  &lt;lb </w:t>
            </w:r>
            <w:r>
              <w:rPr>
                <w:rStyle w:val="Codeattribute"/>
              </w:rPr>
              <w:t>n</w:t>
            </w:r>
            <w:r>
              <w:rPr>
                <w:rStyle w:val="Code"/>
              </w:rPr>
              <w:t>=</w:t>
            </w:r>
            <w:r>
              <w:rPr>
                <w:rStyle w:val="Codevalue"/>
              </w:rPr>
              <w:t>"5"</w:t>
            </w:r>
            <w:r>
              <w:rPr>
                <w:rStyle w:val="Code"/>
              </w:rPr>
              <w:t>/&gt;&lt;p&gt;</w:t>
            </w:r>
            <w:r>
              <w:rPr>
                <w:rStyle w:val="Codetext"/>
              </w:rPr>
              <w:t>hobbit-hole, and that means comfort.</w:t>
            </w:r>
          </w:p>
          <w:p>
            <w:pPr>
              <w:pStyle w:val="CodeParagraph"/>
              <w:rPr>
                <w:rStyle w:val="Code"/>
              </w:rPr>
            </w:pPr>
            <w:r>
              <w:rPr>
                <w:rStyle w:val="Code"/>
              </w:rPr>
              <w:t>&lt;/p&gt;</w:t>
            </w:r>
          </w:p>
          <w:p>
            <w:pPr>
              <w:pStyle w:val="CodeParagraph"/>
              <w:rPr>
                <w:rStyle w:val="Code"/>
              </w:rPr>
            </w:pPr>
            <w:r>
              <w:rPr>
                <w:rStyle w:val="Code"/>
              </w:rPr>
              <w:t>&lt;p&gt;</w:t>
            </w:r>
          </w:p>
          <w:p>
            <w:pPr>
              <w:pStyle w:val="CodeParagraph"/>
              <w:rPr>
                <w:rStyle w:val="Codetext"/>
              </w:rPr>
            </w:pPr>
            <w:r>
              <w:rPr>
                <w:rStyle w:val="Code"/>
              </w:rPr>
              <w:t xml:space="preserve">  &lt;lb </w:t>
            </w:r>
            <w:r>
              <w:rPr>
                <w:rStyle w:val="Codeattribute"/>
              </w:rPr>
              <w:t>n</w:t>
            </w:r>
            <w:r>
              <w:rPr>
                <w:rStyle w:val="Code"/>
              </w:rPr>
              <w:t>=</w:t>
            </w:r>
            <w:r>
              <w:rPr>
                <w:rStyle w:val="Codevalue"/>
              </w:rPr>
              <w:t>"6"</w:t>
            </w:r>
            <w:r>
              <w:rPr>
                <w:rStyle w:val="Code"/>
              </w:rPr>
              <w:t>/&gt;</w:t>
            </w:r>
            <w:r>
              <w:rPr>
                <w:rStyle w:val="Codetext"/>
              </w:rPr>
              <w:t>It had a perfectly round door like a porthole, painted</w:t>
            </w:r>
          </w:p>
          <w:p>
            <w:pPr>
              <w:pStyle w:val="CodeParagraph"/>
              <w:rPr>
                <w:rStyle w:val="Codetext"/>
              </w:rPr>
            </w:pPr>
            <w:r>
              <w:rPr>
                <w:rStyle w:val="Code"/>
              </w:rPr>
              <w:t xml:space="preserve">  ...</w:t>
            </w:r>
          </w:p>
          <w:p>
            <w:pPr>
              <w:pStyle w:val="CodeParagraph"/>
            </w:pPr>
            <w:r>
              <w:rPr>
                <w:rStyle w:val="Code"/>
              </w:rPr>
              <w:t>&lt;/p&gt;</w:t>
            </w:r>
          </w:p>
        </w:tc>
      </w:tr>
      <w:tr>
        <w:tc>
          <w:tcPr>
            <w:tcW w:w="5000" w:type="pct"/>
          </w:tcPr>
          <w:p>
            <w:pPr>
              <w:pStyle w:val="TableNote"/>
            </w:pPr>
            <w:r>
              <w:t>this inscription can be perceived as a single inscribed field</w:t>
            </w:r>
          </w:p>
          <w:p>
            <w:pPr>
              <w:pStyle w:val="TableNote"/>
            </w:pPr>
            <w:r>
              <w:t>the two blocks of writing are semantically cohesive and their visual separation is moderate</w:t>
            </w:r>
          </w:p>
          <w:p>
            <w:pPr>
              <w:pStyle w:val="TableNote"/>
            </w:pPr>
            <w:r>
              <w:t>therefore the text has been encoded simply as a sequence of lines</w:t>
            </w:r>
          </w:p>
        </w:tc>
      </w:tr>
    </w:tbl>
    <w:p/>
    <w:p>
      <w:pPr>
        <w:pStyle w:val="Cmsor4"/>
      </w:pPr>
      <w:bookmarkStart w:id="316" w:name="_Ref225781091"/>
      <w:r>
        <w:t>Pagelike partitions are preferable to boxlike partitions</w:t>
      </w:r>
      <w:bookmarkEnd w:id="316"/>
    </w:p>
    <w:p>
      <w:pPr>
        <w:pStyle w:val="Lista"/>
      </w:pPr>
      <w:r>
        <w:t>pagelike partitions are normally applicable when the text of an inscription is laid out in two or more zones which are to be read consecutively and are not genuine pages on a thin, effectively two-dimensional support</w:t>
      </w:r>
    </w:p>
    <w:p>
      <w:pPr>
        <w:pStyle w:val="Lista"/>
      </w:pPr>
      <w:r>
        <w:t>pagelike zones may be presented in any arrangement on one or more surfaces, e.g.</w:t>
      </w:r>
    </w:p>
    <w:p>
      <w:pPr>
        <w:pStyle w:val="Lista2"/>
      </w:pPr>
      <w:r>
        <w:t xml:space="preserve">one below the other on a single surface, as in </w:t>
      </w:r>
      <w:r>
        <w:fldChar w:fldCharType="begin"/>
      </w:r>
      <w:r>
        <w:instrText xml:space="preserve"> REF _Ref225779765 \h </w:instrText>
      </w:r>
      <w:r>
        <w:fldChar w:fldCharType="separate"/>
      </w:r>
      <w:r>
        <w:t xml:space="preserve">Exhibit </w:t>
      </w:r>
      <w:r>
        <w:rPr>
          <w:noProof/>
        </w:rPr>
        <w:t>4.7</w:t>
      </w:r>
      <w:r>
        <w:t>.</w:t>
      </w:r>
      <w:r>
        <w:rPr>
          <w:noProof/>
        </w:rPr>
        <w:t>J</w:t>
      </w:r>
      <w:r>
        <w:fldChar w:fldCharType="end"/>
      </w:r>
    </w:p>
    <w:p>
      <w:pPr>
        <w:pStyle w:val="Lista2"/>
      </w:pPr>
      <w:r>
        <w:t xml:space="preserve">one beside the other on a single surface, as in </w:t>
      </w:r>
      <w:r>
        <w:fldChar w:fldCharType="begin"/>
      </w:r>
      <w:r>
        <w:instrText xml:space="preserve"> REF _Ref44078357 \h </w:instrText>
      </w:r>
      <w:r>
        <w:fldChar w:fldCharType="separate"/>
      </w:r>
      <w:r>
        <w:t xml:space="preserve">Exhibit </w:t>
      </w:r>
      <w:r>
        <w:rPr>
          <w:noProof/>
        </w:rPr>
        <w:t>4.7</w:t>
      </w:r>
      <w:r>
        <w:t>.</w:t>
      </w:r>
      <w:r>
        <w:rPr>
          <w:noProof/>
        </w:rPr>
        <w:t>K</w:t>
      </w:r>
      <w:r>
        <w:fldChar w:fldCharType="end"/>
      </w:r>
    </w:p>
    <w:p>
      <w:pPr>
        <w:pStyle w:val="Lista2"/>
      </w:pPr>
      <w:r>
        <w:t xml:space="preserve">on adjacent faces (or face-pairs) of a three-dimensional object </w:t>
      </w:r>
      <w:r>
        <w:rPr>
          <w:noProof/>
        </w:rPr>
        <w:t>(</w:t>
      </w:r>
      <w:r>
        <w:t xml:space="preserve">e.g. stele or pillar), as in </w:t>
      </w:r>
      <w:r>
        <w:fldChar w:fldCharType="begin"/>
      </w:r>
      <w:r>
        <w:instrText xml:space="preserve"> REF _Ref239844313 \r \h </w:instrText>
      </w:r>
      <w:r>
        <w:fldChar w:fldCharType="separate"/>
      </w:r>
      <w:r>
        <w:t>Appendix A.5</w:t>
      </w:r>
      <w:r>
        <w:fldChar w:fldCharType="end"/>
      </w:r>
      <w:r>
        <w:t xml:space="preserve"> and </w:t>
      </w:r>
      <w:r>
        <w:fldChar w:fldCharType="begin"/>
      </w:r>
      <w:r>
        <w:instrText xml:space="preserve"> REF _Ref239844315 \r \h </w:instrText>
      </w:r>
      <w:r>
        <w:fldChar w:fldCharType="separate"/>
      </w:r>
      <w:r>
        <w:t>Appendix A.6</w:t>
      </w:r>
      <w:r>
        <w:fldChar w:fldCharType="end"/>
      </w:r>
      <w:r>
        <w:t>)</w:t>
      </w:r>
    </w:p>
    <w:p>
      <w:pPr>
        <w:pStyle w:val="Lista2"/>
      </w:pPr>
      <w:r>
        <w:t xml:space="preserve">on multiple linked objects </w:t>
      </w:r>
      <w:r>
        <w:rPr>
          <w:noProof/>
        </w:rPr>
        <w:t>(</w:t>
      </w:r>
      <w:r>
        <w:t xml:space="preserve">e.g. two jambs of a doorway, as in </w:t>
      </w:r>
      <w:r>
        <w:fldChar w:fldCharType="begin"/>
      </w:r>
      <w:r>
        <w:instrText xml:space="preserve"> REF _Ref182924299 \h </w:instrText>
      </w:r>
      <w:r>
        <w:fldChar w:fldCharType="separate"/>
      </w:r>
      <w:r>
        <w:t xml:space="preserve">Exhibit </w:t>
      </w:r>
      <w:r>
        <w:rPr>
          <w:noProof/>
        </w:rPr>
        <w:t>4.7</w:t>
      </w:r>
      <w:r>
        <w:t>.</w:t>
      </w:r>
      <w:r>
        <w:rPr>
          <w:noProof/>
        </w:rPr>
        <w:t>L</w:t>
      </w:r>
      <w:r>
        <w:fldChar w:fldCharType="end"/>
      </w:r>
      <w:r>
        <w:t>)</w:t>
      </w:r>
    </w:p>
    <w:p>
      <w:pPr>
        <w:pStyle w:val="Lista"/>
      </w:pPr>
      <w:r>
        <w:t>if you deem the zones to be visually distinct enough to warrant encoding a partition (cf. §</w:t>
      </w:r>
      <w:r>
        <w:fldChar w:fldCharType="begin"/>
      </w:r>
      <w:r>
        <w:instrText xml:space="preserve"> REF _Ref225781502 \r \h </w:instrText>
      </w:r>
      <w:r>
        <w:fldChar w:fldCharType="separate"/>
      </w:r>
      <w:r>
        <w:t>4.7.4.1</w:t>
      </w:r>
      <w:r>
        <w:fldChar w:fldCharType="end"/>
      </w:r>
      <w:r>
        <w:t>), then, regardless of their topology, the appropriate encoding must be selected on the basis of the zones’ semantic distinctness:</w:t>
      </w:r>
    </w:p>
    <w:p>
      <w:pPr>
        <w:pStyle w:val="Lista2"/>
      </w:pPr>
      <w:r>
        <w:lastRenderedPageBreak/>
        <w:t xml:space="preserve">if a unit of intrinsic structure begins at the end of one zone and continues in the next as in </w:t>
      </w:r>
      <w:r>
        <w:fldChar w:fldCharType="begin"/>
      </w:r>
      <w:r>
        <w:instrText xml:space="preserve"> REF _Ref44078357 \h </w:instrText>
      </w:r>
      <w:r>
        <w:fldChar w:fldCharType="separate"/>
      </w:r>
      <w:r>
        <w:t xml:space="preserve">Exhibit </w:t>
      </w:r>
      <w:r>
        <w:rPr>
          <w:noProof/>
        </w:rPr>
        <w:t>4.7</w:t>
      </w:r>
      <w:r>
        <w:t>.</w:t>
      </w:r>
      <w:r>
        <w:rPr>
          <w:noProof/>
        </w:rPr>
        <w:t>K</w:t>
      </w:r>
      <w:r>
        <w:fldChar w:fldCharType="end"/>
      </w:r>
      <w:r>
        <w:t>,</w:t>
      </w:r>
    </w:p>
    <w:p>
      <w:pPr>
        <w:pStyle w:val="Lista3"/>
      </w:pPr>
      <w:r>
        <w:t>a boxlike partition cannot be created, because its boundaries would overlap the boundaries of the intrinsic unit</w:t>
      </w:r>
    </w:p>
    <w:p>
      <w:pPr>
        <w:pStyle w:val="Lista3"/>
      </w:pPr>
      <w:r>
        <w:t>the only suitable encoding for such a case is thus a pagelike partition</w:t>
      </w:r>
    </w:p>
    <w:p>
      <w:pPr>
        <w:pStyle w:val="Lista3"/>
      </w:pPr>
      <w:r>
        <w:t xml:space="preserve">this applies regardless of how conspicuously the zones are separated in space, so the two doorjambs in </w:t>
      </w:r>
      <w:r>
        <w:fldChar w:fldCharType="begin"/>
      </w:r>
      <w:r>
        <w:instrText xml:space="preserve"> REF _Ref182924299 \h </w:instrText>
      </w:r>
      <w:r>
        <w:fldChar w:fldCharType="separate"/>
      </w:r>
      <w:r>
        <w:t xml:space="preserve">Exhibit </w:t>
      </w:r>
      <w:r>
        <w:rPr>
          <w:noProof/>
        </w:rPr>
        <w:t>4.7</w:t>
      </w:r>
      <w:r>
        <w:t>.</w:t>
      </w:r>
      <w:r>
        <w:rPr>
          <w:noProof/>
        </w:rPr>
        <w:t>L</w:t>
      </w:r>
      <w:r>
        <w:fldChar w:fldCharType="end"/>
      </w:r>
      <w:r>
        <w:t xml:space="preserve"> must be encoded along the same lines</w:t>
      </w:r>
    </w:p>
    <w:p>
      <w:pPr>
        <w:pStyle w:val="Lista2"/>
      </w:pPr>
      <w:r>
        <w:t xml:space="preserve">if the extrinsic partition coincides with a semantic boundary as in </w:t>
      </w:r>
      <w:r>
        <w:fldChar w:fldCharType="begin"/>
      </w:r>
      <w:r>
        <w:instrText xml:space="preserve"> REF _Ref225781841 \h </w:instrText>
      </w:r>
      <w:r>
        <w:fldChar w:fldCharType="separate"/>
      </w:r>
      <w:r>
        <w:t xml:space="preserve">Exhibit </w:t>
      </w:r>
      <w:r>
        <w:rPr>
          <w:noProof/>
        </w:rPr>
        <w:t>4.7</w:t>
      </w:r>
      <w:r>
        <w:t>.</w:t>
      </w:r>
      <w:r>
        <w:rPr>
          <w:noProof/>
        </w:rPr>
        <w:t>M</w:t>
      </w:r>
      <w:r>
        <w:fldChar w:fldCharType="end"/>
      </w:r>
      <w:r>
        <w:t>,</w:t>
      </w:r>
    </w:p>
    <w:p>
      <w:pPr>
        <w:pStyle w:val="Lista3"/>
      </w:pPr>
      <w:r>
        <w:t>it is technically possible to encode a boxlike partition</w:t>
      </w:r>
    </w:p>
    <w:p>
      <w:pPr>
        <w:pStyle w:val="Lista3"/>
      </w:pPr>
      <w:r>
        <w:t>but we nonetheless prefer to treat such a partition as pagelike and encode boxlike partitions only in well-warranted cases (§</w:t>
      </w:r>
      <w:r>
        <w:fldChar w:fldCharType="begin"/>
      </w:r>
      <w:r>
        <w:instrText xml:space="preserve"> REF _Ref225759775 \r \h </w:instrText>
      </w:r>
      <w:r>
        <w:fldChar w:fldCharType="separate"/>
      </w:r>
      <w:r>
        <w:t>4.7.3</w:t>
      </w:r>
      <w:r>
        <w:fldChar w:fldCharType="end"/>
      </w:r>
      <w:r>
        <w:t>)</w:t>
      </w:r>
    </w:p>
    <w:p>
      <w:pPr>
        <w:pStyle w:val="Lista2"/>
      </w:pPr>
      <w:r>
        <w:t xml:space="preserve">however, if the text of the two zones is semantically independent, so the two are basically two separate (though related) texts, as in </w:t>
      </w:r>
      <w:r>
        <w:fldChar w:fldCharType="begin"/>
      </w:r>
      <w:r>
        <w:instrText xml:space="preserve"> REF _Ref242694905 \h </w:instrText>
      </w:r>
      <w:r>
        <w:fldChar w:fldCharType="separate"/>
      </w:r>
      <w:r>
        <w:t xml:space="preserve">Exhibit </w:t>
      </w:r>
      <w:r>
        <w:rPr>
          <w:noProof/>
        </w:rPr>
        <w:t>4.7</w:t>
      </w:r>
      <w:r>
        <w:t>.</w:t>
      </w:r>
      <w:r>
        <w:rPr>
          <w:noProof/>
        </w:rPr>
        <w:t>N</w:t>
      </w:r>
      <w:r>
        <w:fldChar w:fldCharType="end"/>
      </w:r>
      <w:r>
        <w:t>,</w:t>
      </w:r>
    </w:p>
    <w:p>
      <w:pPr>
        <w:pStyle w:val="Lista3"/>
      </w:pPr>
      <w:r>
        <w:t>then the encoding of a boxlike partition is technically possible and permitted under §</w:t>
      </w:r>
      <w:r>
        <w:fldChar w:fldCharType="begin"/>
      </w:r>
      <w:r>
        <w:instrText xml:space="preserve"> REF _Ref225759775 \r \h </w:instrText>
      </w:r>
      <w:r>
        <w:fldChar w:fldCharType="separate"/>
      </w:r>
      <w:r>
        <w:t>4.7.3</w:t>
      </w:r>
      <w:r>
        <w:fldChar w:fldCharType="end"/>
      </w:r>
    </w:p>
    <w:p>
      <w:pPr>
        <w:pStyle w:val="Lista3"/>
      </w:pPr>
      <w:r>
        <w:t>encoding as a pagelike partition does, however, remain a viable alternative</w:t>
      </w:r>
    </w:p>
    <w:p>
      <w:pPr>
        <w:pStyle w:val="Lista3"/>
      </w:pPr>
      <w:r>
        <w:t>a case-by-case judgement must be made at your discretion, based on the degree of semantic connection perceived between the zones</w:t>
      </w:r>
    </w:p>
    <w:p>
      <w:pPr>
        <w:pStyle w:val="Lista4"/>
      </w:pPr>
      <w:r>
        <w:t>in a structurally complex inscription, the presence of subdivisions within one or more zones may also warrant the use of boxlike partitions (§</w:t>
      </w:r>
      <w:r>
        <w:fldChar w:fldCharType="begin"/>
      </w:r>
      <w:r>
        <w:instrText xml:space="preserve"> REF _Ref225782390 \r \h </w:instrText>
      </w:r>
      <w:r>
        <w:fldChar w:fldCharType="separate"/>
      </w:r>
      <w:r>
        <w:t>4.7.3.6</w:t>
      </w:r>
      <w:r>
        <w:fldChar w:fldCharType="end"/>
      </w:r>
      <w:r>
        <w:t>)</w:t>
      </w:r>
    </w:p>
    <w:p>
      <w:pPr>
        <w:rPr>
          <w:lang w:eastAsia="en-US" w:bidi="ar-SA"/>
        </w:rPr>
      </w:pP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317" w:name="_w6aiimbh4273" w:colFirst="0" w:colLast="0"/>
            <w:bookmarkStart w:id="318" w:name="_Ref44078357"/>
            <w:bookmarkEnd w:id="317"/>
            <w:r>
              <w:t xml:space="preserve">Exhibit </w:t>
            </w:r>
            <w:fldSimple w:instr=" STYLEREF 2 \s ">
              <w:r>
                <w:rPr>
                  <w:noProof/>
                </w:rPr>
                <w:t>4.7</w:t>
              </w:r>
            </w:fldSimple>
            <w:r>
              <w:t>.</w:t>
            </w:r>
            <w:fldSimple w:instr=" SEQ Exhibit \* ALPHABETIC \s 2 ">
              <w:r>
                <w:rPr>
                  <w:noProof/>
                </w:rPr>
                <w:t>K</w:t>
              </w:r>
            </w:fldSimple>
            <w:bookmarkEnd w:id="318"/>
            <w:r>
              <w:t>: two pagelike zones on a slab</w:t>
            </w:r>
          </w:p>
        </w:tc>
      </w:tr>
      <w:tr>
        <w:tc>
          <w:tcPr>
            <w:tcW w:w="5000" w:type="pct"/>
          </w:tcPr>
          <w:p>
            <w:pPr>
              <w:pStyle w:val="Image"/>
            </w:pPr>
            <w:r>
              <w:drawing>
                <wp:inline distT="0" distB="0" distL="0" distR="0">
                  <wp:extent cx="4500000" cy="2700000"/>
                  <wp:effectExtent l="0" t="0" r="0" b="5715"/>
                  <wp:docPr id="1707098164" name="image5.png"/>
                  <wp:cNvGraphicFramePr/>
                  <a:graphic xmlns:a="http://schemas.openxmlformats.org/drawingml/2006/main">
                    <a:graphicData uri="http://schemas.openxmlformats.org/drawingml/2006/picture">
                      <pic:pic xmlns:pic="http://schemas.openxmlformats.org/drawingml/2006/picture">
                        <pic:nvPicPr>
                          <pic:cNvPr id="1707098164" name="image5.png"/>
                          <pic:cNvPicPr preferRelativeResize="0"/>
                        </pic:nvPicPr>
                        <pic:blipFill>
                          <a:blip r:embed="rId30"/>
                          <a:stretch>
                            <a:fillRect/>
                          </a:stretch>
                        </pic:blipFill>
                        <pic:spPr>
                          <a:xfrm>
                            <a:off x="0" y="0"/>
                            <a:ext cx="4500000" cy="2700000"/>
                          </a:xfrm>
                          <a:prstGeom prst="rect">
                            <a:avLst/>
                          </a:prstGeom>
                          <a:ln/>
                        </pic:spPr>
                      </pic:pic>
                    </a:graphicData>
                  </a:graphic>
                </wp:inline>
              </w:drawing>
            </w:r>
          </w:p>
        </w:tc>
      </w:tr>
      <w:tr>
        <w:tc>
          <w:tcPr>
            <w:tcW w:w="5000" w:type="pct"/>
          </w:tcPr>
          <w:p>
            <w:pPr>
              <w:pStyle w:val="CodeParagraph"/>
              <w:keepNext/>
              <w:rPr>
                <w:rStyle w:val="Codetext"/>
              </w:rPr>
            </w:pPr>
            <w:r>
              <w:rPr>
                <w:rStyle w:val="Code"/>
              </w:rPr>
              <w:t>&lt;p&gt;</w:t>
            </w:r>
            <w:r>
              <w:rPr>
                <w:rStyle w:val="Codetext"/>
              </w:rPr>
              <w:br/>
              <w:t xml:space="preserve">  </w:t>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there lived a hobbit.</w:t>
            </w:r>
            <w:r>
              <w:rPr>
                <w:rStyle w:val="Codetext"/>
              </w:rPr>
              <w:br/>
              <w:t xml:space="preserve">  ...</w:t>
            </w:r>
          </w:p>
          <w:p>
            <w:pPr>
              <w:pStyle w:val="CodeParagraph"/>
              <w:keepNext/>
              <w:rPr>
                <w:rStyle w:val="Code"/>
              </w:rPr>
            </w:pPr>
            <w:r>
              <w:rPr>
                <w:rStyle w:val="Codetext"/>
              </w:rPr>
              <w:t xml:space="preserve">  </w:t>
            </w:r>
            <w:r>
              <w:rPr>
                <w:rStyle w:val="Code"/>
              </w:rPr>
              <w:t xml:space="preserve">&lt;lb </w:t>
            </w:r>
            <w:r>
              <w:rPr>
                <w:rStyle w:val="Codeattribute"/>
              </w:rPr>
              <w:t>n</w:t>
            </w:r>
            <w:r>
              <w:rPr>
                <w:rStyle w:val="Code"/>
              </w:rPr>
              <w:t>=</w:t>
            </w:r>
            <w:r>
              <w:rPr>
                <w:rStyle w:val="Codevalue"/>
              </w:rPr>
              <w:t>"10"</w:t>
            </w:r>
            <w:r>
              <w:rPr>
                <w:rStyle w:val="Code"/>
              </w:rPr>
              <w:t>/&gt;</w:t>
            </w:r>
            <w:r>
              <w:rPr>
                <w:rStyle w:val="Codetext"/>
              </w:rPr>
              <w:t>a hobbit-hole, and that</w:t>
            </w:r>
            <w:r>
              <w:rPr>
                <w:rStyle w:val="Codetext"/>
              </w:rPr>
              <w:br/>
              <w:t xml:space="preserve">  </w:t>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 xml:space="preserve">"column" </w:t>
            </w:r>
            <w:r>
              <w:rPr>
                <w:rStyle w:val="Codeattribute"/>
              </w:rPr>
              <w:t>n</w:t>
            </w:r>
            <w:r>
              <w:rPr>
                <w:rStyle w:val="Code"/>
              </w:rPr>
              <w:t>=</w:t>
            </w:r>
            <w:r>
              <w:rPr>
                <w:rStyle w:val="Codevalue"/>
              </w:rPr>
              <w:t>"B"</w:t>
            </w:r>
            <w:r>
              <w:rPr>
                <w:rStyle w:val="Code"/>
              </w:rPr>
              <w:t>/&gt;</w:t>
            </w:r>
          </w:p>
          <w:p>
            <w:pPr>
              <w:pStyle w:val="CodeParagraph"/>
              <w:keepNext/>
            </w:pPr>
            <w:r>
              <w:rPr>
                <w:rStyle w:val="Code"/>
              </w:rPr>
              <w:t xml:space="preserve">  &lt;lb </w:t>
            </w:r>
            <w:r>
              <w:rPr>
                <w:rStyle w:val="Codeattribute"/>
              </w:rPr>
              <w:t>n</w:t>
            </w:r>
            <w:r>
              <w:rPr>
                <w:rStyle w:val="Code"/>
              </w:rPr>
              <w:t>=</w:t>
            </w:r>
            <w:r>
              <w:rPr>
                <w:rStyle w:val="Codevalue"/>
              </w:rPr>
              <w:t>"11"</w:t>
            </w:r>
            <w:r>
              <w:rPr>
                <w:rStyle w:val="Code"/>
              </w:rPr>
              <w:t>/&gt;</w:t>
            </w:r>
            <w:r>
              <w:rPr>
                <w:rStyle w:val="Codetext"/>
              </w:rPr>
              <w:t>means comfort. It had a</w:t>
            </w:r>
            <w:r>
              <w:rPr>
                <w:rStyle w:val="Codetext"/>
              </w:rPr>
              <w:br/>
              <w:t xml:space="preserve">  </w:t>
            </w:r>
            <w:r>
              <w:rPr>
                <w:rStyle w:val="Code"/>
              </w:rPr>
              <w:t xml:space="preserve">&lt;lb </w:t>
            </w:r>
            <w:r>
              <w:rPr>
                <w:rStyle w:val="Codeattribute"/>
              </w:rPr>
              <w:t>n</w:t>
            </w:r>
            <w:r>
              <w:rPr>
                <w:rStyle w:val="Code"/>
              </w:rPr>
              <w:t>=</w:t>
            </w:r>
            <w:r>
              <w:rPr>
                <w:rStyle w:val="Codevalue"/>
              </w:rPr>
              <w:t>"12"</w:t>
            </w:r>
            <w:r>
              <w:rPr>
                <w:rStyle w:val="Code"/>
              </w:rPr>
              <w:t>/&gt;</w:t>
            </w:r>
            <w:r>
              <w:rPr>
                <w:rStyle w:val="Codetext"/>
              </w:rPr>
              <w:t>perfectly round door like</w:t>
            </w:r>
            <w:r>
              <w:rPr>
                <w:rStyle w:val="Codetext"/>
              </w:rPr>
              <w:br/>
              <w:t xml:space="preserve">  ...</w:t>
            </w:r>
            <w:r>
              <w:rPr>
                <w:rStyle w:val="Codetext"/>
              </w:rPr>
              <w:br/>
              <w:t xml:space="preserve">  </w:t>
            </w:r>
            <w:r>
              <w:rPr>
                <w:rStyle w:val="Code"/>
              </w:rPr>
              <w:t xml:space="preserve">&lt;lb </w:t>
            </w:r>
            <w:r>
              <w:rPr>
                <w:rStyle w:val="Codeattribute"/>
              </w:rPr>
              <w:t>n</w:t>
            </w:r>
            <w:r>
              <w:rPr>
                <w:rStyle w:val="Code"/>
              </w:rPr>
              <w:t>=</w:t>
            </w:r>
            <w:r>
              <w:rPr>
                <w:rStyle w:val="Codevalue"/>
              </w:rPr>
              <w:t>"20"</w:t>
            </w:r>
            <w:r>
              <w:rPr>
                <w:rStyle w:val="Code"/>
              </w:rPr>
              <w:t>/&gt;</w:t>
            </w:r>
            <w:r>
              <w:rPr>
                <w:rStyle w:val="Codetext"/>
              </w:rPr>
              <w:t>without smoke.</w:t>
            </w:r>
            <w:r>
              <w:rPr>
                <w:rStyle w:val="Codetext"/>
              </w:rPr>
              <w:br/>
            </w:r>
            <w:r>
              <w:rPr>
                <w:rStyle w:val="Code"/>
              </w:rPr>
              <w:t>&lt;/p&gt;</w:t>
            </w:r>
          </w:p>
        </w:tc>
      </w:tr>
      <w:tr>
        <w:tc>
          <w:tcPr>
            <w:tcW w:w="5000" w:type="pct"/>
          </w:tcPr>
          <w:p>
            <w:pPr>
              <w:pStyle w:val="TableNote"/>
            </w:pPr>
            <w:r>
              <w:t>the partition occurs within a sentence, and it is therefore technically impossible to encode a boxlike partition</w:t>
            </w:r>
          </w:p>
          <w:p>
            <w:pPr>
              <w:pStyle w:val="TableNote"/>
            </w:pPr>
            <w:r>
              <w:t>therefore, pagelike milestones are used</w:t>
            </w:r>
          </w:p>
          <w:p>
            <w:pPr>
              <w:pStyle w:val="TableNote"/>
            </w:pPr>
            <w:r>
              <w:t>line numbers continue in the second column; alternatively, complex line numbers (§</w:t>
            </w:r>
            <w:r>
              <w:fldChar w:fldCharType="begin"/>
            </w:r>
            <w:r>
              <w:instrText xml:space="preserve"> REF _Ref182228380 \r \h </w:instrText>
            </w:r>
            <w:r>
              <w:fldChar w:fldCharType="separate"/>
            </w:r>
            <w:r>
              <w:t>4.5.2.2</w:t>
            </w:r>
            <w:r>
              <w:fldChar w:fldCharType="end"/>
            </w:r>
            <w:r>
              <w:t xml:space="preserve">) could be used, as illustrated in the Case Study in </w:t>
            </w:r>
            <w:r>
              <w:fldChar w:fldCharType="begin"/>
            </w:r>
            <w:r>
              <w:instrText xml:space="preserve"> REF _Ref239844333 \r \h </w:instrText>
            </w:r>
            <w:r>
              <w:fldChar w:fldCharType="separate"/>
            </w:r>
            <w:r>
              <w:t>Appendix A.5</w:t>
            </w:r>
            <w:r>
              <w:fldChar w:fldCharType="end"/>
            </w:r>
            <w:r>
              <w:t xml:space="preserve"> </w:t>
            </w:r>
          </w:p>
        </w:tc>
      </w:tr>
    </w:tbl>
    <w:p>
      <w:pPr>
        <w:rPr>
          <w:lang w:eastAsia="en-US" w:bidi="ar-SA"/>
        </w:rPr>
      </w:pPr>
      <w:bookmarkStart w:id="319" w:name="_xbyjw7atziy5" w:colFirst="0" w:colLast="0"/>
      <w:bookmarkEnd w:id="319"/>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320" w:name="_Ref182924299"/>
            <w:r>
              <w:lastRenderedPageBreak/>
              <w:t xml:space="preserve">Exhibit </w:t>
            </w:r>
            <w:fldSimple w:instr=" STYLEREF 2 \s ">
              <w:r>
                <w:rPr>
                  <w:noProof/>
                </w:rPr>
                <w:t>4.7</w:t>
              </w:r>
            </w:fldSimple>
            <w:r>
              <w:t>.</w:t>
            </w:r>
            <w:fldSimple w:instr=" SEQ Exhibit \* ALPHABETIC \s 2 ">
              <w:r>
                <w:rPr>
                  <w:noProof/>
                </w:rPr>
                <w:t>L</w:t>
              </w:r>
            </w:fldSimple>
            <w:bookmarkEnd w:id="320"/>
            <w:r>
              <w:t>: doorjambs as pagelike zones</w:t>
            </w:r>
          </w:p>
        </w:tc>
      </w:tr>
      <w:tr>
        <w:tc>
          <w:tcPr>
            <w:tcW w:w="5000" w:type="pct"/>
          </w:tcPr>
          <w:p>
            <w:pPr>
              <w:pStyle w:val="Image"/>
              <w:keepLines/>
            </w:pPr>
            <w:r>
              <w:drawing>
                <wp:inline distT="0" distB="0" distL="0" distR="0">
                  <wp:extent cx="5397500" cy="2852420"/>
                  <wp:effectExtent l="0" t="0" r="0" b="5080"/>
                  <wp:docPr id="16670289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7500" cy="2852420"/>
                          </a:xfrm>
                          <a:prstGeom prst="rect">
                            <a:avLst/>
                          </a:prstGeom>
                          <a:noFill/>
                          <a:ln>
                            <a:noFill/>
                          </a:ln>
                        </pic:spPr>
                      </pic:pic>
                    </a:graphicData>
                  </a:graphic>
                </wp:inline>
              </w:drawing>
            </w:r>
          </w:p>
        </w:tc>
      </w:tr>
      <w:tr>
        <w:tc>
          <w:tcPr>
            <w:tcW w:w="5000" w:type="pct"/>
          </w:tcPr>
          <w:p>
            <w:pPr>
              <w:pStyle w:val="CodeParagraph"/>
              <w:keepNext/>
              <w:rPr>
                <w:rStyle w:val="Codetext"/>
              </w:rPr>
            </w:pPr>
            <w:r>
              <w:rPr>
                <w:rStyle w:val="Code"/>
              </w:rPr>
              <w:t>&lt;p&gt;</w:t>
            </w:r>
            <w:r>
              <w:rPr>
                <w:rStyle w:val="Codetext"/>
              </w:rPr>
              <w:br/>
              <w:t xml:space="preserve">  </w:t>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"item"</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there lived a hobbit.</w:t>
            </w:r>
          </w:p>
          <w:p>
            <w:pPr>
              <w:pStyle w:val="CodeParagraph"/>
              <w:keepNext/>
              <w:rPr>
                <w:rStyle w:val="Codetext"/>
              </w:rPr>
            </w:pPr>
            <w:r>
              <w:rPr>
                <w:rStyle w:val="Codetext"/>
              </w:rPr>
              <w:t xml:space="preserve">  ...</w:t>
            </w:r>
            <w:r>
              <w:rPr>
                <w:rStyle w:val="Codetext"/>
              </w:rPr>
              <w:br/>
              <w:t xml:space="preserve">  </w:t>
            </w:r>
            <w:r>
              <w:rPr>
                <w:rStyle w:val="Code"/>
              </w:rPr>
              <w:t xml:space="preserve">&lt;lb </w:t>
            </w:r>
            <w:r>
              <w:rPr>
                <w:rStyle w:val="Codeattribute"/>
              </w:rPr>
              <w:t>n</w:t>
            </w:r>
            <w:r>
              <w:rPr>
                <w:rStyle w:val="Code"/>
              </w:rPr>
              <w:t>=</w:t>
            </w:r>
            <w:r>
              <w:rPr>
                <w:rStyle w:val="Codevalue"/>
              </w:rPr>
              <w:t>"10"</w:t>
            </w:r>
            <w:r>
              <w:rPr>
                <w:rStyle w:val="Code"/>
              </w:rPr>
              <w:t>/&gt;</w:t>
            </w:r>
            <w:r>
              <w:rPr>
                <w:rStyle w:val="Codetext"/>
              </w:rPr>
              <w:t>a hobbit-hole, and that</w:t>
            </w:r>
            <w:r>
              <w:rPr>
                <w:rStyle w:val="Codetext"/>
              </w:rPr>
              <w:br/>
              <w:t xml:space="preserve">  </w:t>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 xml:space="preserve">"item" </w:t>
            </w:r>
            <w:r>
              <w:rPr>
                <w:rStyle w:val="Codeattribute"/>
              </w:rPr>
              <w:t>n</w:t>
            </w:r>
            <w:r>
              <w:rPr>
                <w:rStyle w:val="Code"/>
              </w:rPr>
              <w:t>=</w:t>
            </w:r>
            <w:r>
              <w:rPr>
                <w:rStyle w:val="Codevalue"/>
              </w:rPr>
              <w:t>"B"</w:t>
            </w:r>
            <w:r>
              <w:rPr>
                <w:rStyle w:val="Code"/>
              </w:rPr>
              <w:t>/&gt;</w:t>
            </w:r>
            <w:r>
              <w:rPr>
                <w:rStyle w:val="Codetext"/>
              </w:rPr>
              <w:br/>
            </w:r>
            <w:r>
              <w:rPr>
                <w:rStyle w:val="Code"/>
              </w:rPr>
              <w:t xml:space="preserve">  &lt;lb </w:t>
            </w:r>
            <w:r>
              <w:rPr>
                <w:rStyle w:val="Codeattribute"/>
              </w:rPr>
              <w:t>n</w:t>
            </w:r>
            <w:r>
              <w:rPr>
                <w:rStyle w:val="Code"/>
              </w:rPr>
              <w:t>=</w:t>
            </w:r>
            <w:r>
              <w:rPr>
                <w:rStyle w:val="Codevalue"/>
              </w:rPr>
              <w:t>"11"</w:t>
            </w:r>
            <w:r>
              <w:rPr>
                <w:rStyle w:val="Code"/>
              </w:rPr>
              <w:t>/&gt;</w:t>
            </w:r>
            <w:r>
              <w:rPr>
                <w:rStyle w:val="Codetext"/>
              </w:rPr>
              <w:t>means comfort. It had a</w:t>
            </w:r>
            <w:r>
              <w:rPr>
                <w:rStyle w:val="Codetext"/>
              </w:rPr>
              <w:br/>
              <w:t xml:space="preserve">  </w:t>
            </w:r>
            <w:r>
              <w:rPr>
                <w:rStyle w:val="Code"/>
              </w:rPr>
              <w:t xml:space="preserve">&lt;lb </w:t>
            </w:r>
            <w:r>
              <w:rPr>
                <w:rStyle w:val="Codeattribute"/>
              </w:rPr>
              <w:t>n</w:t>
            </w:r>
            <w:r>
              <w:rPr>
                <w:rStyle w:val="Code"/>
              </w:rPr>
              <w:t>=</w:t>
            </w:r>
            <w:r>
              <w:rPr>
                <w:rStyle w:val="Codevalue"/>
              </w:rPr>
              <w:t>"12"</w:t>
            </w:r>
            <w:r>
              <w:rPr>
                <w:rStyle w:val="Code"/>
              </w:rPr>
              <w:t>/&gt;</w:t>
            </w:r>
            <w:r>
              <w:rPr>
                <w:rStyle w:val="Codetext"/>
              </w:rPr>
              <w:t>perfectly round door like</w:t>
            </w:r>
            <w:r>
              <w:rPr>
                <w:rStyle w:val="Codetext"/>
              </w:rPr>
              <w:br/>
              <w:t xml:space="preserve">  ...</w:t>
            </w:r>
          </w:p>
          <w:p>
            <w:pPr>
              <w:pStyle w:val="CodeParagraph"/>
              <w:keepNext/>
            </w:pPr>
            <w:r>
              <w:rPr>
                <w:rStyle w:val="Codetext"/>
              </w:rPr>
              <w:t xml:space="preserve">  </w:t>
            </w:r>
            <w:r>
              <w:rPr>
                <w:rStyle w:val="Code"/>
              </w:rPr>
              <w:t xml:space="preserve">&lt;lb </w:t>
            </w:r>
            <w:r>
              <w:rPr>
                <w:rStyle w:val="Codeattribute"/>
              </w:rPr>
              <w:t>n</w:t>
            </w:r>
            <w:r>
              <w:rPr>
                <w:rStyle w:val="Code"/>
              </w:rPr>
              <w:t>=</w:t>
            </w:r>
            <w:r>
              <w:rPr>
                <w:rStyle w:val="Codevalue"/>
              </w:rPr>
              <w:t>"20"</w:t>
            </w:r>
            <w:r>
              <w:rPr>
                <w:rStyle w:val="Code"/>
              </w:rPr>
              <w:t>/&gt;</w:t>
            </w:r>
            <w:r>
              <w:rPr>
                <w:rStyle w:val="Codetext"/>
              </w:rPr>
              <w:t>without smoke.</w:t>
            </w:r>
            <w:r>
              <w:rPr>
                <w:rStyle w:val="Codetext"/>
              </w:rPr>
              <w:br/>
            </w:r>
            <w:r>
              <w:rPr>
                <w:rStyle w:val="Code"/>
              </w:rPr>
              <w:t>&lt;/p&gt;</w:t>
            </w:r>
          </w:p>
        </w:tc>
      </w:tr>
      <w:tr>
        <w:tc>
          <w:tcPr>
            <w:tcW w:w="5000" w:type="pct"/>
          </w:tcPr>
          <w:p>
            <w:pPr>
              <w:pStyle w:val="TableNote"/>
            </w:pPr>
            <w:r>
              <w:t xml:space="preserve">the structure of this inscription is identical to that in </w:t>
            </w:r>
            <w:r>
              <w:fldChar w:fldCharType="begin"/>
            </w:r>
            <w:r>
              <w:instrText xml:space="preserve"> REF _Ref44078357 \h </w:instrText>
            </w:r>
            <w:r>
              <w:fldChar w:fldCharType="separate"/>
            </w:r>
            <w:r>
              <w:t xml:space="preserve">Exhibit </w:t>
            </w:r>
            <w:r>
              <w:rPr>
                <w:noProof/>
              </w:rPr>
              <w:t>4.7</w:t>
            </w:r>
            <w:r>
              <w:t>.</w:t>
            </w:r>
            <w:r>
              <w:rPr>
                <w:noProof/>
              </w:rPr>
              <w:t>K</w:t>
            </w:r>
            <w:r>
              <w:fldChar w:fldCharType="end"/>
            </w:r>
            <w:r>
              <w:t>, differing only in topology</w:t>
            </w:r>
          </w:p>
          <w:p>
            <w:pPr>
              <w:pStyle w:val="TableNote"/>
            </w:pPr>
            <w:r>
              <w:t>the partition occurs within a sentence, and it is therefore technically impossible to encode a boxlike partition</w:t>
            </w:r>
          </w:p>
          <w:p>
            <w:pPr>
              <w:pStyle w:val="TableNote"/>
            </w:pPr>
            <w:r>
              <w:t>therefore, pagelike milestones are used</w:t>
            </w:r>
          </w:p>
          <w:p>
            <w:pPr>
              <w:pStyle w:val="TableNote"/>
              <w:rPr>
                <w:noProof/>
              </w:rPr>
            </w:pPr>
            <w:r>
              <w:t>line numbers continue in the second column; alternatively, complex line numbers (§</w:t>
            </w:r>
            <w:r>
              <w:fldChar w:fldCharType="begin"/>
            </w:r>
            <w:r>
              <w:instrText xml:space="preserve"> REF _Ref182228380 \r \h </w:instrText>
            </w:r>
            <w:r>
              <w:fldChar w:fldCharType="separate"/>
            </w:r>
            <w:r>
              <w:t>4.5.2.2</w:t>
            </w:r>
            <w:r>
              <w:fldChar w:fldCharType="end"/>
            </w:r>
            <w:r>
              <w:t xml:space="preserve">) could be used, as illustrated in the Case Study in </w:t>
            </w:r>
            <w:r>
              <w:fldChar w:fldCharType="begin"/>
            </w:r>
            <w:r>
              <w:instrText xml:space="preserve"> REF _Ref239844348 \r \h </w:instrText>
            </w:r>
            <w:r>
              <w:fldChar w:fldCharType="separate"/>
            </w:r>
            <w:r>
              <w:t>Appendix A.5</w:t>
            </w:r>
            <w:r>
              <w:fldChar w:fldCharType="end"/>
            </w:r>
            <w:r>
              <w:rPr>
                <w:noProof/>
              </w:rPr>
              <w:t xml:space="preserve"> </w:t>
            </w:r>
          </w:p>
        </w:tc>
      </w:tr>
    </w:tbl>
    <w:p>
      <w:pPr>
        <w:rPr>
          <w:lang w:eastAsia="en-US" w:bidi="ar-SA"/>
        </w:rPr>
      </w:pP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321" w:name="_Ref225781841"/>
            <w:r>
              <w:lastRenderedPageBreak/>
              <w:t xml:space="preserve">Exhibit </w:t>
            </w:r>
            <w:fldSimple w:instr=" STYLEREF 2 \s ">
              <w:r>
                <w:rPr>
                  <w:noProof/>
                </w:rPr>
                <w:t>4.7</w:t>
              </w:r>
            </w:fldSimple>
            <w:r>
              <w:t>.</w:t>
            </w:r>
            <w:fldSimple w:instr=" SEQ Exhibit \* ALPHABETIC \s 2 ">
              <w:r>
                <w:rPr>
                  <w:noProof/>
                </w:rPr>
                <w:t>M</w:t>
              </w:r>
            </w:fldSimple>
            <w:bookmarkEnd w:id="321"/>
            <w:r>
              <w:t>: pagelike partition at semantic boundary</w:t>
            </w:r>
          </w:p>
        </w:tc>
      </w:tr>
      <w:tr>
        <w:tc>
          <w:tcPr>
            <w:tcW w:w="5000" w:type="pct"/>
          </w:tcPr>
          <w:p>
            <w:pPr>
              <w:pStyle w:val="Image"/>
              <w:keepLines/>
              <w:rPr>
                <w:rStyle w:val="Code"/>
                <w:rFonts w:ascii="Gentium" w:hAnsi="Gentium" w:cs="Tiro Devanagari Sanskrit"/>
                <w:color w:val="auto"/>
                <w:shd w:val="clear" w:color="auto" w:fill="auto"/>
              </w:rPr>
            </w:pPr>
            <w:r>
              <w:drawing>
                <wp:inline distT="0" distB="0" distL="0" distR="0">
                  <wp:extent cx="4492800" cy="2692800"/>
                  <wp:effectExtent l="0" t="0" r="3175" b="0"/>
                  <wp:docPr id="556124011"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92800" cy="2692800"/>
                          </a:xfrm>
                          <a:prstGeom prst="rect">
                            <a:avLst/>
                          </a:prstGeom>
                          <a:noFill/>
                          <a:ln>
                            <a:noFill/>
                          </a:ln>
                        </pic:spPr>
                      </pic:pic>
                    </a:graphicData>
                  </a:graphic>
                </wp:inline>
              </w:drawing>
            </w:r>
          </w:p>
        </w:tc>
      </w:tr>
      <w:tr>
        <w:tc>
          <w:tcPr>
            <w:tcW w:w="5000" w:type="pct"/>
          </w:tcPr>
          <w:p>
            <w:pPr>
              <w:pStyle w:val="TableNote"/>
            </w:pPr>
            <w:r>
              <w:t>the partition occurs between sentences, where a new unit of intrinsic structure can be started</w:t>
            </w:r>
          </w:p>
          <w:p>
            <w:pPr>
              <w:pStyle w:val="TableNote"/>
            </w:pPr>
            <w:r>
              <w:t>encoding as a boxlike partition is technically possible, but not warranted</w:t>
            </w:r>
          </w:p>
          <w:p>
            <w:pPr>
              <w:pStyle w:val="TableNote"/>
            </w:pPr>
            <w:r>
              <w:t>this inscription must be encoded with a pagelike partition</w:t>
            </w:r>
          </w:p>
        </w:tc>
      </w:tr>
    </w:tbl>
    <w:p>
      <w:pPr>
        <w:rPr>
          <w:lang w:eastAsia="en-US" w:bidi="ar-SA"/>
        </w:rPr>
      </w:pP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322" w:name="_Ref242694905"/>
            <w:r>
              <w:t xml:space="preserve">Exhibit </w:t>
            </w:r>
            <w:fldSimple w:instr=" STYLEREF 2 \s ">
              <w:r>
                <w:rPr>
                  <w:noProof/>
                </w:rPr>
                <w:t>4.7</w:t>
              </w:r>
            </w:fldSimple>
            <w:r>
              <w:t>.</w:t>
            </w:r>
            <w:fldSimple w:instr=" SEQ Exhibit \* ALPHABETIC \s 2 ">
              <w:r>
                <w:rPr>
                  <w:noProof/>
                </w:rPr>
                <w:t>N</w:t>
              </w:r>
            </w:fldSimple>
            <w:bookmarkEnd w:id="322"/>
            <w:r>
              <w:t>: pagelike or boxlike partition at major semantic discontinuity</w:t>
            </w:r>
          </w:p>
        </w:tc>
      </w:tr>
      <w:tr>
        <w:tc>
          <w:tcPr>
            <w:tcW w:w="5000" w:type="pct"/>
          </w:tcPr>
          <w:p>
            <w:pPr>
              <w:pStyle w:val="Image"/>
              <w:keepLines/>
              <w:rPr>
                <w:rStyle w:val="Code"/>
              </w:rPr>
            </w:pPr>
            <w:r>
              <w:drawing>
                <wp:inline distT="0" distB="0" distL="0" distR="0">
                  <wp:extent cx="4492800" cy="2692800"/>
                  <wp:effectExtent l="0" t="0" r="3175" b="0"/>
                  <wp:docPr id="894074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92800" cy="2692800"/>
                          </a:xfrm>
                          <a:prstGeom prst="rect">
                            <a:avLst/>
                          </a:prstGeom>
                          <a:noFill/>
                          <a:ln>
                            <a:noFill/>
                          </a:ln>
                        </pic:spPr>
                      </pic:pic>
                    </a:graphicData>
                  </a:graphic>
                </wp:inline>
              </w:drawing>
            </w:r>
          </w:p>
        </w:tc>
      </w:tr>
      <w:tr>
        <w:tc>
          <w:tcPr>
            <w:tcW w:w="5000" w:type="pct"/>
          </w:tcPr>
          <w:p>
            <w:pPr>
              <w:pStyle w:val="TableNote"/>
            </w:pPr>
            <w:r>
              <w:rPr>
                <w:lang w:eastAsia="en-US" w:bidi="ar-SA"/>
              </w:rPr>
              <w:t>the partition coincides with a major semantic discontinuity</w:t>
            </w:r>
          </w:p>
          <w:p>
            <w:pPr>
              <w:pStyle w:val="TableNote"/>
            </w:pPr>
            <w:r>
              <w:rPr>
                <w:lang w:eastAsia="en-US" w:bidi="ar-SA"/>
              </w:rPr>
              <w:t>encoding as a boxlike partition is technically possible and may be warranted, at your discretion</w:t>
            </w:r>
          </w:p>
        </w:tc>
      </w:tr>
    </w:tbl>
    <w:p>
      <w:pPr>
        <w:rPr>
          <w:lang w:eastAsia="en-US" w:bidi="ar-SA"/>
        </w:rPr>
      </w:pPr>
    </w:p>
    <w:p>
      <w:pPr>
        <w:pStyle w:val="Cmsor3"/>
      </w:pPr>
      <w:bookmarkStart w:id="323" w:name="_Ref182322267"/>
      <w:bookmarkStart w:id="324" w:name="_Ref225759805"/>
      <w:bookmarkStart w:id="325" w:name="_Toc242976616"/>
      <w:r>
        <w:t>When to use gridlike partitions</w:t>
      </w:r>
      <w:bookmarkEnd w:id="323"/>
      <w:bookmarkEnd w:id="324"/>
      <w:bookmarkEnd w:id="325"/>
    </w:p>
    <w:p>
      <w:r>
        <w:t>The encoding of gridlike partitions with milestones is, as already noted in §</w:t>
      </w:r>
      <w:r>
        <w:fldChar w:fldCharType="begin"/>
      </w:r>
      <w:r>
        <w:instrText xml:space="preserve"> REF _Ref182923075 \r \h </w:instrText>
      </w:r>
      <w:r>
        <w:fldChar w:fldCharType="separate"/>
      </w:r>
      <w:r>
        <w:t>4.1</w:t>
      </w:r>
      <w:r>
        <w:fldChar w:fldCharType="end"/>
      </w:r>
      <w:r>
        <w:t xml:space="preserve">, not mandatory and should be applied on a case-by-case basis, judging the feasibility of encoding versus the anticipated usefulness of having the partitions represented in the edition. Representing such partitions in the encoding can be especially advantageous if some elements of description apply only to specific partitions </w:t>
      </w:r>
      <w:r>
        <w:rPr>
          <w:noProof/>
        </w:rPr>
        <w:t>(</w:t>
      </w:r>
      <w:r>
        <w:t xml:space="preserve">e.g. certain fragments are kept in a different place, or certain facets of the support are in a different state of preservation), because each partition can then be referred to unambiguously, and the edition will show which parts of the text correspond to which partition. If you opt not to encode gridlike milestones, treat the text straightforwardly as if it occupied a simple surface, and describe the layout in as much detail as you wish in your annotation. </w:t>
      </w:r>
    </w:p>
    <w:p>
      <w:pPr>
        <w:pStyle w:val="Normlbehzs"/>
      </w:pPr>
      <w:r>
        <w:lastRenderedPageBreak/>
        <w:t>This section discusses neat gridlike structures that involve vertical or near-vertical grid lines. Guidance is provided separately in §</w:t>
      </w:r>
      <w:r>
        <w:fldChar w:fldCharType="begin"/>
      </w:r>
      <w:r>
        <w:instrText xml:space="preserve"> REF _Ref225759925 \r \h </w:instrText>
      </w:r>
      <w:r>
        <w:fldChar w:fldCharType="separate"/>
      </w:r>
      <w:r>
        <w:t>4.7.6</w:t>
      </w:r>
      <w:r>
        <w:fldChar w:fldCharType="end"/>
      </w:r>
      <w:r>
        <w:t xml:space="preserve"> for untidy structures, most often (but not always) generated by fragmentation, and also usually amenable to encoding as gridlike partitions.</w:t>
      </w:r>
    </w:p>
    <w:p>
      <w:pPr>
        <w:pStyle w:val="Cmsor4"/>
      </w:pPr>
      <w:r>
        <w:t>Grids of architectural blocks</w:t>
      </w:r>
    </w:p>
    <w:p>
      <w:r>
        <w:t xml:space="preserve">A gridlike extrinsic structure may be the result of physically separate (or at least separable) objects constituting a complex support. This most commonly happens with blocks of masonry constituting part of a wall which bears an inscription, as in </w:t>
      </w:r>
      <w:r>
        <w:fldChar w:fldCharType="begin"/>
      </w:r>
      <w:r>
        <w:instrText xml:space="preserve"> REF _Ref44078533 \h  \* MERGEFORMAT </w:instrText>
      </w:r>
      <w:r>
        <w:fldChar w:fldCharType="separate"/>
      </w:r>
      <w:r>
        <w:t xml:space="preserve">Exhibit </w:t>
      </w:r>
      <w:r>
        <w:rPr>
          <w:noProof/>
        </w:rPr>
        <w:t>4.7.O</w:t>
      </w:r>
      <w:r>
        <w:fldChar w:fldCharType="end"/>
      </w:r>
      <w:r>
        <w:t xml:space="preserve">. </w:t>
      </w:r>
    </w:p>
    <w:p>
      <w:pPr>
        <w:pStyle w:val="Lista"/>
      </w:pPr>
      <w:r>
        <w:t>encoding gridlike partitions is recommended for</w:t>
      </w:r>
      <w:r>
        <w:rPr>
          <w:b/>
          <w:bCs/>
        </w:rPr>
        <w:t xml:space="preserve"> </w:t>
      </w:r>
      <w:r>
        <w:t>building blocks, especially if they are not currently integrated into a structure</w:t>
      </w:r>
    </w:p>
    <w:p>
      <w:pPr>
        <w:pStyle w:val="Lista2"/>
      </w:pPr>
      <w:r>
        <w:t xml:space="preserve">the milestones shall be encoded with </w:t>
      </w:r>
      <w:r>
        <w:rPr>
          <w:rStyle w:val="Codeattribute"/>
        </w:rPr>
        <w:t>@unit=</w:t>
      </w:r>
      <w:r>
        <w:rPr>
          <w:rStyle w:val="Codevalue"/>
        </w:rPr>
        <w:t>"block"</w:t>
      </w:r>
      <w:r>
        <w:t xml:space="preserve"> (§</w:t>
      </w:r>
      <w:r>
        <w:fldChar w:fldCharType="begin"/>
      </w:r>
      <w:r>
        <w:instrText xml:space="preserve"> REF _Ref182815315 \r \h </w:instrText>
      </w:r>
      <w:r>
        <w:fldChar w:fldCharType="separate"/>
      </w:r>
      <w:r>
        <w:t>4.3.1</w:t>
      </w:r>
      <w:r>
        <w:fldChar w:fldCharType="end"/>
      </w:r>
      <w:r>
        <w:t>)</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326" w:name="_Ref44078533"/>
            <w:bookmarkStart w:id="327" w:name="_Ref225495068"/>
            <w:r>
              <w:t xml:space="preserve">Exhibit </w:t>
            </w:r>
            <w:fldSimple w:instr=" STYLEREF 2 \s ">
              <w:r>
                <w:rPr>
                  <w:noProof/>
                </w:rPr>
                <w:t>4.7</w:t>
              </w:r>
            </w:fldSimple>
            <w:r>
              <w:t>.</w:t>
            </w:r>
            <w:fldSimple w:instr=" SEQ Exhibit \* ALPHABETIC \s 2 ">
              <w:r>
                <w:rPr>
                  <w:noProof/>
                </w:rPr>
                <w:t>O</w:t>
              </w:r>
            </w:fldSimple>
            <w:bookmarkEnd w:id="326"/>
            <w:r>
              <w:t>: gridlike partitions for text inscribed across architectural blocks</w:t>
            </w:r>
            <w:bookmarkEnd w:id="327"/>
          </w:p>
        </w:tc>
      </w:tr>
      <w:tr>
        <w:tc>
          <w:tcPr>
            <w:tcW w:w="5000" w:type="pct"/>
          </w:tcPr>
          <w:p>
            <w:pPr>
              <w:pStyle w:val="Image"/>
              <w:keepLines/>
            </w:pPr>
            <w:r>
              <w:drawing>
                <wp:inline distT="0" distB="0" distL="0" distR="0">
                  <wp:extent cx="5404485" cy="1801495"/>
                  <wp:effectExtent l="0" t="0" r="5715" b="8255"/>
                  <wp:docPr id="170247771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4485" cy="1801495"/>
                          </a:xfrm>
                          <a:prstGeom prst="rect">
                            <a:avLst/>
                          </a:prstGeom>
                          <a:noFill/>
                          <a:ln>
                            <a:noFill/>
                          </a:ln>
                        </pic:spPr>
                      </pic:pic>
                    </a:graphicData>
                  </a:graphic>
                </wp:inline>
              </w:drawing>
            </w:r>
          </w:p>
        </w:tc>
      </w:tr>
      <w:tr>
        <w:tc>
          <w:tcPr>
            <w:tcW w:w="5000" w:type="pct"/>
          </w:tcPr>
          <w:p>
            <w:pPr>
              <w:pStyle w:val="CodeParagraph"/>
              <w:keepNext/>
              <w:keepLines/>
              <w:spacing w:line="240" w:lineRule="auto"/>
              <w:rPr>
                <w:rStyle w:val="Code"/>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the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 ground there lived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"c"</w:t>
            </w:r>
            <w:r>
              <w:rPr>
                <w:rStyle w:val="Code"/>
              </w:rPr>
              <w:t>/&gt;</w:t>
            </w:r>
            <w:r>
              <w:rPr>
                <w:rStyle w:val="Codetext"/>
              </w:rPr>
              <w:t>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nasty, dirty, wet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hole, filled with the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"c"</w:t>
            </w:r>
            <w:r>
              <w:rPr>
                <w:rStyle w:val="Code"/>
              </w:rPr>
              <w:t>/&gt;</w:t>
            </w:r>
            <w:r>
              <w:rPr>
                <w:rStyle w:val="Codetext"/>
              </w:rPr>
              <w:t>ends of worms</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"a"</w:t>
            </w:r>
            <w:r>
              <w:rPr>
                <w:rStyle w:val="Code"/>
              </w:rPr>
              <w:t>/&gt;</w:t>
            </w:r>
            <w:r>
              <w:rPr>
                <w:rStyle w:val="Codetext"/>
              </w:rPr>
              <w:t>and an oozy sm</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"b"</w:t>
            </w:r>
            <w:r>
              <w:rPr>
                <w:rStyle w:val="Code"/>
              </w:rPr>
              <w:t xml:space="preserve"> </w:t>
            </w:r>
            <w:r>
              <w:rPr>
                <w:rStyle w:val="Codeattribute"/>
              </w:rPr>
              <w:t>break</w:t>
            </w:r>
            <w:r>
              <w:rPr>
                <w:rStyle w:val="Code"/>
              </w:rPr>
              <w:t>=</w:t>
            </w:r>
            <w:r>
              <w:rPr>
                <w:rStyle w:val="Codevalue"/>
              </w:rPr>
              <w:t>"no"</w:t>
            </w:r>
            <w:r>
              <w:rPr>
                <w:rStyle w:val="Code"/>
              </w:rPr>
              <w:t>/&gt;</w:t>
            </w:r>
            <w:r>
              <w:rPr>
                <w:rStyle w:val="Codetext"/>
              </w:rPr>
              <w:t>ell, nor yet a dry, b</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"c"</w:t>
            </w:r>
            <w:r>
              <w:rPr>
                <w:rStyle w:val="Code"/>
              </w:rPr>
              <w:t xml:space="preserve"> </w:t>
            </w:r>
            <w:r>
              <w:rPr>
                <w:rStyle w:val="Codeattribute"/>
              </w:rPr>
              <w:t>break</w:t>
            </w:r>
            <w:r>
              <w:rPr>
                <w:rStyle w:val="Code"/>
              </w:rPr>
              <w:t>=</w:t>
            </w:r>
            <w:r>
              <w:rPr>
                <w:rStyle w:val="Codevalue"/>
              </w:rPr>
              <w:t>"no"</w:t>
            </w:r>
            <w:r>
              <w:rPr>
                <w:rStyle w:val="Code"/>
              </w:rPr>
              <w:t>/&gt;</w:t>
            </w:r>
            <w:r>
              <w:rPr>
                <w:rStyle w:val="Codetext"/>
              </w:rPr>
              <w:t>are, sandy hole</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with nothing in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it to sit down on or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"c"</w:t>
            </w:r>
            <w:r>
              <w:rPr>
                <w:rStyle w:val="Code"/>
              </w:rPr>
              <w:t>/&gt;</w:t>
            </w:r>
            <w:r>
              <w:rPr>
                <w:rStyle w:val="Codetext"/>
              </w:rPr>
              <w:t>to eat: it was a</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 xml:space="preserve">/&gt;&lt;milestone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hobbit-hole, and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"b"</w:t>
            </w:r>
            <w:r>
              <w:rPr>
                <w:rStyle w:val="Code"/>
              </w:rPr>
              <w:t>/&gt;</w:t>
            </w:r>
            <w:r>
              <w:rPr>
                <w:rStyle w:val="Codetext"/>
              </w:rPr>
              <w:t>that means comfort.</w:t>
            </w:r>
            <w:r>
              <w:rPr>
                <w:rStyle w:val="Codetext"/>
              </w:rPr>
              <w:br/>
            </w:r>
            <w:r>
              <w:rPr>
                <w:rStyle w:val="Code"/>
              </w:rPr>
              <w:t>&lt;/p&gt;</w:t>
            </w:r>
          </w:p>
        </w:tc>
      </w:tr>
      <w:tr>
        <w:tc>
          <w:tcPr>
            <w:tcW w:w="5000" w:type="pct"/>
          </w:tcPr>
          <w:p>
            <w:pPr>
              <w:pStyle w:val="TableNote"/>
            </w:pPr>
            <w:r>
              <w:t xml:space="preserve">notice the use of </w:t>
            </w:r>
            <w:r>
              <w:rPr>
                <w:rStyle w:val="Codeattribute"/>
              </w:rPr>
              <w:t>@break</w:t>
            </w:r>
            <w:r>
              <w:rPr>
                <w:rStyle w:val="Code"/>
              </w:rPr>
              <w:t>=</w:t>
            </w:r>
            <w:r>
              <w:rPr>
                <w:rStyle w:val="Codevalue"/>
              </w:rPr>
              <w:t>"no"</w:t>
            </w:r>
            <w:r>
              <w:t xml:space="preserve"> for the two milestones in line 3, which interrupt a word (§</w:t>
            </w:r>
            <w:r>
              <w:fldChar w:fldCharType="begin"/>
            </w:r>
            <w:r>
              <w:instrText xml:space="preserve"> REF _Ref225519777 \r \h </w:instrText>
            </w:r>
            <w:r>
              <w:fldChar w:fldCharType="separate"/>
            </w:r>
            <w:r>
              <w:t>4.3.2.1</w:t>
            </w:r>
            <w:r>
              <w:fldChar w:fldCharType="end"/>
            </w:r>
            <w:r>
              <w:t>)</w:t>
            </w:r>
          </w:p>
        </w:tc>
      </w:tr>
    </w:tbl>
    <w:p>
      <w:pPr>
        <w:pStyle w:val="Cmsor4"/>
      </w:pPr>
      <w:r>
        <w:t>Grids of fragments</w:t>
      </w:r>
    </w:p>
    <w:p>
      <w:r>
        <w:t xml:space="preserve">The breakage of an inscription’s support can result in a gridlike partition, as in </w:t>
      </w:r>
      <w:r>
        <w:fldChar w:fldCharType="begin"/>
      </w:r>
      <w:r>
        <w:instrText xml:space="preserve"> REF _Ref225859267 \h </w:instrText>
      </w:r>
      <w:r>
        <w:fldChar w:fldCharType="separate"/>
      </w:r>
      <w:r>
        <w:t xml:space="preserve">Exhibit </w:t>
      </w:r>
      <w:r>
        <w:rPr>
          <w:noProof/>
        </w:rPr>
        <w:t>4.7</w:t>
      </w:r>
      <w:r>
        <w:t>.</w:t>
      </w:r>
      <w:r>
        <w:rPr>
          <w:noProof/>
        </w:rPr>
        <w:t>P</w:t>
      </w:r>
      <w:r>
        <w:fldChar w:fldCharType="end"/>
      </w:r>
      <w:r>
        <w:t>. Situations where fragmentation produces a more disorderly structure are discussed separately in §</w:t>
      </w:r>
      <w:r>
        <w:fldChar w:fldCharType="begin"/>
      </w:r>
      <w:r>
        <w:instrText xml:space="preserve"> REF _Ref225759925 \r \h </w:instrText>
      </w:r>
      <w:r>
        <w:fldChar w:fldCharType="separate"/>
      </w:r>
      <w:r>
        <w:t>4.7.6</w:t>
      </w:r>
      <w:r>
        <w:fldChar w:fldCharType="end"/>
      </w:r>
      <w:r>
        <w:t xml:space="preserve"> below.</w:t>
      </w:r>
    </w:p>
    <w:p>
      <w:pPr>
        <w:pStyle w:val="Lista"/>
      </w:pPr>
      <w:r>
        <w:t>encoding gridlike partitions is recommended for</w:t>
      </w:r>
      <w:r>
        <w:rPr>
          <w:b/>
          <w:bCs/>
        </w:rPr>
        <w:t xml:space="preserve"> </w:t>
      </w:r>
      <w:r>
        <w:t>fragments, especially if the pieces have different proveniences, custodial histories or are preserved at different locations</w:t>
      </w:r>
    </w:p>
    <w:p>
      <w:pPr>
        <w:pStyle w:val="Lista2"/>
      </w:pPr>
      <w:r>
        <w:t xml:space="preserve">the milestones shall be encoded with </w:t>
      </w:r>
      <w:r>
        <w:rPr>
          <w:rStyle w:val="Codeattribute"/>
        </w:rPr>
        <w:t>@unit=</w:t>
      </w:r>
      <w:r>
        <w:rPr>
          <w:rStyle w:val="Codevalue"/>
        </w:rPr>
        <w:t>"fragment"</w:t>
      </w:r>
      <w:r>
        <w:t xml:space="preserve"> (§</w:t>
      </w:r>
      <w:r>
        <w:fldChar w:fldCharType="begin"/>
      </w:r>
      <w:r>
        <w:instrText xml:space="preserve"> REF _Ref182815315 \r \h </w:instrText>
      </w:r>
      <w:r>
        <w:fldChar w:fldCharType="separate"/>
      </w:r>
      <w:r>
        <w:t>4.3.1</w:t>
      </w:r>
      <w:r>
        <w:fldChar w:fldCharType="end"/>
      </w:r>
      <w:r>
        <w:t>)</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328" w:name="_Ref225859267"/>
            <w:r>
              <w:lastRenderedPageBreak/>
              <w:t xml:space="preserve">Exhibit </w:t>
            </w:r>
            <w:fldSimple w:instr=" STYLEREF 2 \s ">
              <w:r>
                <w:rPr>
                  <w:noProof/>
                </w:rPr>
                <w:t>4.7</w:t>
              </w:r>
            </w:fldSimple>
            <w:r>
              <w:t>.</w:t>
            </w:r>
            <w:fldSimple w:instr=" SEQ Exhibit \* ALPHABETIC \s 2 ">
              <w:r>
                <w:rPr>
                  <w:noProof/>
                </w:rPr>
                <w:t>P</w:t>
              </w:r>
            </w:fldSimple>
            <w:bookmarkEnd w:id="328"/>
            <w:r>
              <w:t>: gridlike partitions for text inscribed across contiguous fragments</w:t>
            </w:r>
          </w:p>
        </w:tc>
      </w:tr>
      <w:tr>
        <w:tc>
          <w:tcPr>
            <w:tcW w:w="5000" w:type="pct"/>
          </w:tcPr>
          <w:p>
            <w:pPr>
              <w:pStyle w:val="Image"/>
              <w:keepLines/>
            </w:pPr>
            <w:r>
              <w:drawing>
                <wp:inline distT="0" distB="0" distL="0" distR="0">
                  <wp:extent cx="5397500" cy="1480820"/>
                  <wp:effectExtent l="0" t="0" r="0" b="5080"/>
                  <wp:docPr id="12851743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7500" cy="1480820"/>
                          </a:xfrm>
                          <a:prstGeom prst="rect">
                            <a:avLst/>
                          </a:prstGeom>
                          <a:noFill/>
                          <a:ln>
                            <a:noFill/>
                          </a:ln>
                        </pic:spPr>
                      </pic:pic>
                    </a:graphicData>
                  </a:graphic>
                </wp:inline>
              </w:drawing>
            </w:r>
          </w:p>
        </w:tc>
      </w:tr>
      <w:tr>
        <w:tc>
          <w:tcPr>
            <w:tcW w:w="5000" w:type="pct"/>
          </w:tcPr>
          <w:p>
            <w:pPr>
              <w:pStyle w:val="CodeParagraph"/>
              <w:keepNext/>
              <w:keepLines/>
              <w:spacing w:line="240" w:lineRule="auto"/>
              <w:rPr>
                <w:rStyle w:val="Code"/>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the ground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there lived 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nasty, dirty, wet hole, fil</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 xml:space="preserve">"b" </w:t>
            </w:r>
            <w:r>
              <w:rPr>
                <w:rStyle w:val="Codeattribute"/>
              </w:rPr>
              <w:t>break</w:t>
            </w:r>
            <w:r>
              <w:rPr>
                <w:rStyle w:val="Code"/>
              </w:rPr>
              <w:t>=</w:t>
            </w:r>
            <w:r>
              <w:rPr>
                <w:rStyle w:val="Codevalue"/>
              </w:rPr>
              <w:t>"no"</w:t>
            </w:r>
            <w:r>
              <w:rPr>
                <w:rStyle w:val="Code"/>
              </w:rPr>
              <w:t>/&gt;</w:t>
            </w:r>
            <w:r>
              <w:rPr>
                <w:rStyle w:val="Codetext"/>
              </w:rPr>
              <w:t>led with the ends of worms</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and an oozy sm</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 xml:space="preserve"> </w:t>
            </w:r>
            <w:r>
              <w:rPr>
                <w:rStyle w:val="Codeattribute"/>
              </w:rPr>
              <w:t>break</w:t>
            </w:r>
            <w:r>
              <w:rPr>
                <w:rStyle w:val="Code"/>
              </w:rPr>
              <w:t>=</w:t>
            </w:r>
            <w:r>
              <w:rPr>
                <w:rStyle w:val="Codevalue"/>
              </w:rPr>
              <w:t>"no"</w:t>
            </w:r>
            <w:r>
              <w:rPr>
                <w:rStyle w:val="Code"/>
              </w:rPr>
              <w:t>/&gt;</w:t>
            </w:r>
            <w:r>
              <w:rPr>
                <w:rStyle w:val="Codetext"/>
              </w:rPr>
              <w:t xml:space="preserve">ell, nor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yet a dry, b</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"c"</w:t>
            </w:r>
            <w:r>
              <w:rPr>
                <w:rStyle w:val="Code"/>
              </w:rPr>
              <w:t xml:space="preserve"> </w:t>
            </w:r>
            <w:r>
              <w:rPr>
                <w:rStyle w:val="Codeattribute"/>
              </w:rPr>
              <w:t>break</w:t>
            </w:r>
            <w:r>
              <w:rPr>
                <w:rStyle w:val="Code"/>
              </w:rPr>
              <w:t>=</w:t>
            </w:r>
            <w:r>
              <w:rPr>
                <w:rStyle w:val="Codevalue"/>
              </w:rPr>
              <w:t>"no"</w:t>
            </w:r>
            <w:r>
              <w:rPr>
                <w:rStyle w:val="Code"/>
              </w:rPr>
              <w:t>/&gt;</w:t>
            </w:r>
            <w:r>
              <w:rPr>
                <w:rStyle w:val="Codetext"/>
              </w:rPr>
              <w:t>are, sandy hole</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with nothing in it to sit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down on or to eat: it was a</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hobbit-hole, and that me</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 xml:space="preserve">"b" </w:t>
            </w:r>
            <w:r>
              <w:rPr>
                <w:rStyle w:val="Codeattribute"/>
              </w:rPr>
              <w:t>break</w:t>
            </w:r>
            <w:r>
              <w:rPr>
                <w:rStyle w:val="Code"/>
              </w:rPr>
              <w:t>=</w:t>
            </w:r>
            <w:r>
              <w:rPr>
                <w:rStyle w:val="Codevalue"/>
              </w:rPr>
              <w:t>"no"</w:t>
            </w:r>
            <w:r>
              <w:rPr>
                <w:rStyle w:val="Code"/>
              </w:rPr>
              <w:t>/&gt;</w:t>
            </w:r>
            <w:r>
              <w:rPr>
                <w:rStyle w:val="Codetext"/>
              </w:rPr>
              <w:t>ans comfort.</w:t>
            </w:r>
            <w:r>
              <w:rPr>
                <w:rStyle w:val="Codetext"/>
              </w:rPr>
              <w:br/>
            </w:r>
            <w:r>
              <w:rPr>
                <w:rStyle w:val="Code"/>
              </w:rPr>
              <w:t>&lt;/p&gt;</w:t>
            </w:r>
          </w:p>
        </w:tc>
      </w:tr>
      <w:tr>
        <w:tc>
          <w:tcPr>
            <w:tcW w:w="5000" w:type="pct"/>
          </w:tcPr>
          <w:p>
            <w:pPr>
              <w:pStyle w:val="TableNote"/>
            </w:pPr>
            <w:r>
              <w:t xml:space="preserve">notice the use of </w:t>
            </w:r>
            <w:r>
              <w:rPr>
                <w:rStyle w:val="Codeattribute"/>
              </w:rPr>
              <w:t>@break</w:t>
            </w:r>
            <w:r>
              <w:rPr>
                <w:rStyle w:val="Code"/>
              </w:rPr>
              <w:t>=</w:t>
            </w:r>
            <w:r>
              <w:rPr>
                <w:rStyle w:val="Codevalue"/>
              </w:rPr>
              <w:t>"no"</w:t>
            </w:r>
            <w:r>
              <w:t xml:space="preserve"> for milestones in lines 2 and 5, which interrupt a word (§</w:t>
            </w:r>
            <w:r>
              <w:fldChar w:fldCharType="begin"/>
            </w:r>
            <w:r>
              <w:instrText xml:space="preserve"> REF _Ref225519777 \r \h  \* MERGEFORMAT </w:instrText>
            </w:r>
            <w:r>
              <w:fldChar w:fldCharType="separate"/>
            </w:r>
            <w:r>
              <w:t>4.3.2.1</w:t>
            </w:r>
            <w:r>
              <w:fldChar w:fldCharType="end"/>
            </w:r>
            <w:r>
              <w:t>)</w:t>
            </w:r>
          </w:p>
        </w:tc>
      </w:tr>
    </w:tbl>
    <w:p/>
    <w:p>
      <w:pPr>
        <w:pStyle w:val="Cmsor4"/>
      </w:pPr>
      <w:bookmarkStart w:id="329" w:name="_Ref225865506"/>
      <w:r>
        <w:t>Grids of quasi-columns</w:t>
      </w:r>
      <w:bookmarkEnd w:id="329"/>
    </w:p>
    <w:p>
      <w:r>
        <w:t>When an inscription on a single surface is divided into several zones, this usually produces a pagelike or, occasionally, a boxlike partition (§</w:t>
      </w:r>
      <w:r>
        <w:fldChar w:fldCharType="begin"/>
      </w:r>
      <w:r>
        <w:instrText xml:space="preserve"> REF _Ref225781091 \r \h </w:instrText>
      </w:r>
      <w:r>
        <w:fldChar w:fldCharType="separate"/>
      </w:r>
      <w:r>
        <w:t>4.7.4.2</w:t>
      </w:r>
      <w:r>
        <w:fldChar w:fldCharType="end"/>
      </w:r>
      <w:r>
        <w:t xml:space="preserve">). However, especially when an inscription consists of many stanzas of verse following an identical or similar metre, the text may be arranged in the form of quasi-columns with a horizontal space between them, as in </w:t>
      </w:r>
      <w:r>
        <w:fldChar w:fldCharType="begin"/>
      </w:r>
      <w:r>
        <w:instrText xml:space="preserve"> REF _Ref44078509 \h </w:instrText>
      </w:r>
      <w:r>
        <w:fldChar w:fldCharType="separate"/>
      </w:r>
      <w:r>
        <w:t xml:space="preserve">Exhibit </w:t>
      </w:r>
      <w:r>
        <w:rPr>
          <w:noProof/>
        </w:rPr>
        <w:t>4.7</w:t>
      </w:r>
      <w:r>
        <w:t>.</w:t>
      </w:r>
      <w:r>
        <w:rPr>
          <w:noProof/>
        </w:rPr>
        <w:t>Q</w:t>
      </w:r>
      <w:r>
        <w:fldChar w:fldCharType="end"/>
      </w:r>
      <w:r>
        <w:t>. We call these ‘quasi-columns’ because in true columns the reading sequence is from the top to the bottom of one column, then proceeding to the next (which is a pagelike partition, §</w:t>
      </w:r>
      <w:r>
        <w:fldChar w:fldCharType="begin"/>
      </w:r>
      <w:r>
        <w:instrText xml:space="preserve"> REF _Ref225781091 \r \h </w:instrText>
      </w:r>
      <w:r>
        <w:fldChar w:fldCharType="separate"/>
      </w:r>
      <w:r>
        <w:t>4.7.4.2</w:t>
      </w:r>
      <w:r>
        <w:fldChar w:fldCharType="end"/>
      </w:r>
      <w:r>
        <w:t>), while here each line crosses over into the next column before continuing with the next line of the first column.</w:t>
      </w:r>
    </w:p>
    <w:p>
      <w:pPr>
        <w:pStyle w:val="Normlbehzs"/>
      </w:pPr>
      <w:r>
        <w:t xml:space="preserve">The boundaries of stanzas and their subunits are often emphasised with spaces in inscriptions, but if the layout is not deliberately designed with quasi-columns, these spaces will be staggered throughout the lines instead of constituting a grid (illustrated in </w:t>
      </w:r>
      <w:r>
        <w:fldChar w:fldCharType="begin"/>
      </w:r>
      <w:r>
        <w:instrText xml:space="preserve"> REF _Ref182995673 \h </w:instrText>
      </w:r>
      <w:r>
        <w:fldChar w:fldCharType="separate"/>
      </w:r>
      <w:r>
        <w:t xml:space="preserve">Exhibit </w:t>
      </w:r>
      <w:r>
        <w:rPr>
          <w:noProof/>
        </w:rPr>
        <w:t>5.4</w:t>
      </w:r>
      <w:r>
        <w:t>.</w:t>
      </w:r>
      <w:r>
        <w:rPr>
          <w:noProof/>
        </w:rPr>
        <w:t>A</w:t>
      </w:r>
      <w:r>
        <w:fldChar w:fldCharType="end"/>
      </w:r>
      <w:r>
        <w:t>). In such a case, a gridlike partition is not present.</w:t>
      </w:r>
    </w:p>
    <w:p>
      <w:pPr>
        <w:pStyle w:val="Lista"/>
      </w:pPr>
      <w:r>
        <w:t>encoding gridlike partitions is recommended for quasi-columns only if the columns are a neat and salient feature of the inscription’s layout</w:t>
      </w:r>
    </w:p>
    <w:p>
      <w:pPr>
        <w:pStyle w:val="Lista2"/>
      </w:pPr>
      <w:r>
        <w:t xml:space="preserve">in this case, the milestones shall be encoded with </w:t>
      </w:r>
      <w:r>
        <w:rPr>
          <w:rStyle w:val="Codeattribute"/>
        </w:rPr>
        <w:t>@unit=</w:t>
      </w:r>
      <w:r>
        <w:rPr>
          <w:rStyle w:val="Codevalue"/>
        </w:rPr>
        <w:t>"column"</w:t>
      </w:r>
      <w:r>
        <w:t xml:space="preserve"> (§</w:t>
      </w:r>
      <w:r>
        <w:fldChar w:fldCharType="begin"/>
      </w:r>
      <w:r>
        <w:instrText xml:space="preserve"> REF _Ref182815315 \r \h </w:instrText>
      </w:r>
      <w:r>
        <w:fldChar w:fldCharType="separate"/>
      </w:r>
      <w:r>
        <w:t>4.3.1</w:t>
      </w:r>
      <w:r>
        <w:fldChar w:fldCharType="end"/>
      </w:r>
      <w:r>
        <w:t>)</w:t>
      </w:r>
    </w:p>
    <w:p>
      <w:pPr>
        <w:pStyle w:val="Lista2"/>
      </w:pPr>
      <w:r>
        <w:t>if quasi-columns are present only in a part of the inscribed field, then encode gridlike milestones only for the lines affected by the quasi-columns (cf. §</w:t>
      </w:r>
      <w:r>
        <w:fldChar w:fldCharType="begin"/>
      </w:r>
      <w:r>
        <w:instrText xml:space="preserve"> REF _Ref225860329 \r \h </w:instrText>
      </w:r>
      <w:r>
        <w:fldChar w:fldCharType="separate"/>
      </w:r>
      <w:r>
        <w:t>4.7.6.1</w:t>
      </w:r>
      <w:r>
        <w:fldChar w:fldCharType="end"/>
      </w:r>
      <w:r>
        <w:t>)</w:t>
      </w:r>
    </w:p>
    <w:p>
      <w:pPr>
        <w:pStyle w:val="Lista"/>
      </w:pPr>
      <w:r>
        <w:t>if quasi-columns are encoded with milestones, then the space between them shall not be represented as space (§</w:t>
      </w:r>
      <w:r>
        <w:fldChar w:fldCharType="begin"/>
      </w:r>
      <w:r>
        <w:instrText xml:space="preserve"> REF _Ref183011891 \r \h </w:instrText>
      </w:r>
      <w:r>
        <w:fldChar w:fldCharType="separate"/>
      </w:r>
      <w:r>
        <w:t>5.4.1</w:t>
      </w:r>
      <w:r>
        <w:fldChar w:fldCharType="end"/>
      </w:r>
      <w:r>
        <w:t>) in your edition</w:t>
      </w:r>
    </w:p>
    <w:p>
      <w:pPr>
        <w:pStyle w:val="Lista"/>
      </w:pPr>
      <w:r>
        <w:t>if you choose not to encode a gridlike partition for spaced verse (whether because you consider it unnecessary or because the spacing is irregular), the spaces shall be encoded as per §</w:t>
      </w:r>
      <w:r>
        <w:fldChar w:fldCharType="begin"/>
      </w:r>
      <w:r>
        <w:instrText xml:space="preserve"> REF _Ref183011891 \r \h </w:instrText>
      </w:r>
      <w:r>
        <w:fldChar w:fldCharType="separate"/>
      </w:r>
      <w:r>
        <w:t>5.4.1</w:t>
      </w:r>
      <w:r>
        <w:fldChar w:fldCharType="end"/>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330" w:name="_Ref44078509"/>
            <w:r>
              <w:lastRenderedPageBreak/>
              <w:t xml:space="preserve">Exhibit </w:t>
            </w:r>
            <w:fldSimple w:instr=" STYLEREF 2 \s ">
              <w:r>
                <w:rPr>
                  <w:noProof/>
                </w:rPr>
                <w:t>4.7</w:t>
              </w:r>
            </w:fldSimple>
            <w:r>
              <w:t>.</w:t>
            </w:r>
            <w:fldSimple w:instr=" SEQ Exhibit \* ALPHABETIC \s 2 ">
              <w:r>
                <w:rPr>
                  <w:noProof/>
                </w:rPr>
                <w:t>Q</w:t>
              </w:r>
            </w:fldSimple>
            <w:bookmarkEnd w:id="330"/>
            <w:r>
              <w:t>: gridlike partitions for verse inscribed in quasi-columns</w:t>
            </w:r>
          </w:p>
        </w:tc>
      </w:tr>
      <w:tr>
        <w:tc>
          <w:tcPr>
            <w:tcW w:w="5000" w:type="pct"/>
          </w:tcPr>
          <w:p>
            <w:pPr>
              <w:pStyle w:val="Image"/>
              <w:keepLines/>
            </w:pPr>
            <w:r>
              <w:drawing>
                <wp:inline distT="0" distB="0" distL="0" distR="0">
                  <wp:extent cx="5397500" cy="1487805"/>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7500" cy="1487805"/>
                          </a:xfrm>
                          <a:prstGeom prst="rect">
                            <a:avLst/>
                          </a:prstGeom>
                          <a:noFill/>
                          <a:ln>
                            <a:noFill/>
                          </a:ln>
                        </pic:spPr>
                      </pic:pic>
                    </a:graphicData>
                  </a:graphic>
                </wp:inline>
              </w:drawing>
            </w:r>
          </w:p>
        </w:tc>
      </w:tr>
      <w:tr>
        <w:tc>
          <w:tcPr>
            <w:tcW w:w="5000" w:type="pct"/>
          </w:tcPr>
          <w:p>
            <w:pPr>
              <w:pStyle w:val="CodeParagraph"/>
              <w:rPr>
                <w:rStyle w:val="Code"/>
              </w:rPr>
            </w:pPr>
            <w:r>
              <w:rPr>
                <w:rStyle w:val="Code"/>
              </w:rPr>
              <w:t xml:space="preserve">&lt;lg </w:t>
            </w:r>
            <w:r>
              <w:rPr>
                <w:rStyle w:val="Codeattribute"/>
              </w:rPr>
              <w:t>n</w:t>
            </w:r>
            <w:r>
              <w:rPr>
                <w:rStyle w:val="Code"/>
              </w:rPr>
              <w:t>=</w:t>
            </w:r>
            <w:r>
              <w:rPr>
                <w:rStyle w:val="Codevalue"/>
              </w:rPr>
              <w:t>"1"</w:t>
            </w:r>
            <w:r>
              <w:rPr>
                <w:rStyle w:val="Code"/>
              </w:rPr>
              <w:t>&gt;</w:t>
            </w:r>
            <w:r>
              <w:rPr>
                <w:rStyle w:val="Codetext"/>
              </w:rPr>
              <w:br/>
              <w:t xml:space="preserve">  </w:t>
            </w:r>
            <w:r>
              <w:rPr>
                <w:rStyle w:val="Code"/>
              </w:rPr>
              <w:t>&lt;l</w:t>
            </w:r>
            <w:r>
              <w:rPr>
                <w:rStyle w:val="Codeattribute"/>
              </w:rPr>
              <w:t xml:space="preserve"> n</w:t>
            </w:r>
            <w:r>
              <w:rPr>
                <w:rStyle w:val="Code"/>
              </w:rPr>
              <w:t>=</w:t>
            </w:r>
            <w:r>
              <w:rPr>
                <w:rStyle w:val="Codevalue"/>
              </w:rPr>
              <w:t>"a"</w:t>
            </w:r>
            <w:r>
              <w:rPr>
                <w:rStyle w:val="Code"/>
              </w:rPr>
              <w:t xml:space="preserve">&gt;&lt;lb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t xml:space="preserve"> </w:t>
            </w:r>
            <w:r>
              <w:rPr>
                <w:rStyle w:val="Codetext"/>
              </w:rPr>
              <w:t xml:space="preserve">Chip the glasses and </w:t>
            </w:r>
            <w:r>
              <w:rPr>
                <w:rStyle w:val="Code"/>
              </w:rPr>
              <w:t xml:space="preserve">&lt;milestone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crack the plates!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"b"</w:t>
            </w:r>
            <w:r>
              <w:rPr>
                <w:rStyle w:val="Code"/>
              </w:rPr>
              <w:t xml:space="preserve">&gt;&lt;lb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Blunt the knives and </w:t>
            </w:r>
            <w:r>
              <w:rPr>
                <w:rStyle w:val="Code"/>
              </w:rPr>
              <w:t xml:space="preserve">&lt;milestone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bend the forks!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"c"</w:t>
            </w:r>
            <w:r>
              <w:rPr>
                <w:rStyle w:val="Code"/>
              </w:rPr>
              <w:t xml:space="preserve">&gt;&lt;lb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That’s what Bilbo </w:t>
            </w:r>
            <w:r>
              <w:rPr>
                <w:rStyle w:val="Code"/>
              </w:rPr>
              <w:t xml:space="preserve">&lt;milestone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 Baggins hates—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"d"</w:t>
            </w:r>
            <w:r>
              <w:rPr>
                <w:rStyle w:val="Code"/>
              </w:rPr>
              <w:t xml:space="preserve">&gt;&lt;lb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Smash the bottles and </w:t>
            </w:r>
            <w:r>
              <w:rPr>
                <w:rStyle w:val="Code"/>
              </w:rPr>
              <w:t xml:space="preserve">&lt;milestone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burn the corks!</w:t>
            </w:r>
            <w:r>
              <w:rPr>
                <w:rStyle w:val="Code"/>
              </w:rPr>
              <w:t>&lt;/l&gt;</w:t>
            </w:r>
            <w:r>
              <w:rPr>
                <w:rStyle w:val="Codetext"/>
              </w:rPr>
              <w:br/>
            </w:r>
            <w:r>
              <w:rPr>
                <w:rStyle w:val="Code"/>
              </w:rPr>
              <w:t>&lt;/lg&gt;</w:t>
            </w:r>
          </w:p>
        </w:tc>
      </w:tr>
      <w:tr>
        <w:tc>
          <w:tcPr>
            <w:tcW w:w="5000" w:type="pct"/>
          </w:tcPr>
          <w:p>
            <w:pPr>
              <w:pStyle w:val="TableNote"/>
              <w:keepNext/>
              <w:keepLines/>
            </w:pPr>
            <w:r>
              <w:t>in this inscription, spacing at the caesura in each line arranges the text into neat columns</w:t>
            </w:r>
          </w:p>
          <w:p>
            <w:pPr>
              <w:pStyle w:val="TableNote"/>
              <w:keepNext/>
              <w:keepLines/>
            </w:pPr>
            <w:r>
              <w:t>the start of each column has been marked up with a gridlike milestone</w:t>
            </w:r>
          </w:p>
          <w:p>
            <w:pPr>
              <w:pStyle w:val="TableNote"/>
              <w:keepNext/>
              <w:keepLines/>
            </w:pPr>
            <w:r>
              <w:t>if some or all subsequent column beginnings coincide with the beginning of a verse line (rather than just a caesura within a line), then the milestone for the applicable column must be within the container for the new line</w:t>
            </w:r>
          </w:p>
          <w:p>
            <w:pPr>
              <w:pStyle w:val="TableNote"/>
              <w:keepNext/>
              <w:keepLines/>
            </w:pPr>
            <w:r>
              <w:t xml:space="preserve">compare </w:t>
            </w:r>
            <w:r>
              <w:fldChar w:fldCharType="begin"/>
            </w:r>
            <w:r>
              <w:instrText xml:space="preserve"> REF _Ref182995673 \h </w:instrText>
            </w:r>
            <w:r>
              <w:fldChar w:fldCharType="separate"/>
            </w:r>
            <w:r>
              <w:t xml:space="preserve">Exhibit </w:t>
            </w:r>
            <w:r>
              <w:rPr>
                <w:noProof/>
              </w:rPr>
              <w:t>5.4</w:t>
            </w:r>
            <w:r>
              <w:t>.</w:t>
            </w:r>
            <w:r>
              <w:rPr>
                <w:noProof/>
              </w:rPr>
              <w:t>A</w:t>
            </w:r>
            <w:r>
              <w:fldChar w:fldCharType="end"/>
            </w:r>
            <w:r>
              <w:t xml:space="preserve"> where the same stanza’s spacing does not result in the text laid out in columns, so encoding with gridlike milestones is not applicable</w:t>
            </w:r>
          </w:p>
        </w:tc>
      </w:tr>
      <w:tr>
        <w:tc>
          <w:tcPr>
            <w:tcW w:w="5000" w:type="pct"/>
          </w:tcPr>
          <w:p>
            <w:pPr>
              <w:pStyle w:val="TableNote"/>
            </w:pPr>
            <w:r>
              <w:t>alternative encoding without milestones:</w:t>
            </w:r>
          </w:p>
          <w:p>
            <w:pPr>
              <w:pStyle w:val="CodeParagraph"/>
              <w:rPr>
                <w:rFonts w:ascii="Consolas" w:hAnsi="Consolas" w:cs="Consolas"/>
                <w:noProof/>
                <w:color w:val="002060"/>
                <w:shd w:val="clear" w:color="auto" w:fill="F2F2F2" w:themeFill="background1" w:themeFillShade="F2"/>
              </w:rPr>
            </w:pPr>
            <w:r>
              <w:rPr>
                <w:rStyle w:val="Code"/>
              </w:rPr>
              <w:t xml:space="preserve">&lt;lg </w:t>
            </w:r>
            <w:r>
              <w:rPr>
                <w:rStyle w:val="Codeattribute"/>
              </w:rPr>
              <w:t>n</w:t>
            </w:r>
            <w:r>
              <w:rPr>
                <w:rStyle w:val="Code"/>
              </w:rPr>
              <w:t>=</w:t>
            </w:r>
            <w:r>
              <w:rPr>
                <w:rStyle w:val="Codevalue"/>
              </w:rPr>
              <w:t>"1"</w:t>
            </w:r>
            <w:r>
              <w:rPr>
                <w:rStyle w:val="Code"/>
              </w:rPr>
              <w:t>&gt;</w:t>
            </w:r>
            <w:r>
              <w:rPr>
                <w:rStyle w:val="Codetext"/>
              </w:rPr>
              <w:br/>
              <w:t xml:space="preserve">  </w:t>
            </w:r>
            <w:r>
              <w:rPr>
                <w:rStyle w:val="Code"/>
              </w:rPr>
              <w:t>&lt;l</w:t>
            </w:r>
            <w:r>
              <w:rPr>
                <w:rStyle w:val="Codeattribute"/>
              </w:rPr>
              <w:t xml:space="preserve"> n</w:t>
            </w:r>
            <w:r>
              <w:rPr>
                <w:rStyle w:val="Code"/>
              </w:rPr>
              <w:t>=</w:t>
            </w:r>
            <w:r>
              <w:rPr>
                <w:rStyle w:val="Codevalue"/>
              </w:rPr>
              <w:t>"a"</w:t>
            </w:r>
            <w:r>
              <w:rPr>
                <w:rStyle w:val="Code"/>
              </w:rPr>
              <w:t xml:space="preserve">&gt;&lt;lb </w:t>
            </w:r>
            <w:r>
              <w:rPr>
                <w:rStyle w:val="Codeattribute"/>
              </w:rPr>
              <w:t>n</w:t>
            </w:r>
            <w:r>
              <w:rPr>
                <w:rStyle w:val="Code"/>
              </w:rPr>
              <w:t>=</w:t>
            </w:r>
            <w:r>
              <w:rPr>
                <w:rStyle w:val="Codevalue"/>
              </w:rPr>
              <w:t>"1"</w:t>
            </w:r>
            <w:r>
              <w:rPr>
                <w:rStyle w:val="Code"/>
              </w:rPr>
              <w:t>/&gt;</w:t>
            </w:r>
            <w:r>
              <w:t xml:space="preserve"> </w:t>
            </w:r>
            <w:r>
              <w:rPr>
                <w:rStyle w:val="Codetext"/>
              </w:rPr>
              <w:t xml:space="preserve">Chip the glasses and </w:t>
            </w:r>
            <w:r>
              <w:rPr>
                <w:rStyle w:val="Code"/>
              </w:rPr>
              <w:t>&lt;space/&gt;</w:t>
            </w:r>
            <w:r>
              <w:rPr>
                <w:rStyle w:val="Codetext"/>
              </w:rPr>
              <w:t>crack the plates!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"b"</w:t>
            </w:r>
            <w:r>
              <w:rPr>
                <w:rStyle w:val="Code"/>
              </w:rPr>
              <w:t xml:space="preserve">&gt;&lt;lb </w:t>
            </w:r>
            <w:r>
              <w:rPr>
                <w:rStyle w:val="Codeattribute"/>
              </w:rPr>
              <w:t>n</w:t>
            </w:r>
            <w:r>
              <w:rPr>
                <w:rStyle w:val="Code"/>
              </w:rPr>
              <w:t>=</w:t>
            </w:r>
            <w:r>
              <w:rPr>
                <w:rStyle w:val="Codevalue"/>
              </w:rPr>
              <w:t>"2"</w:t>
            </w:r>
            <w:r>
              <w:rPr>
                <w:rStyle w:val="Code"/>
              </w:rPr>
              <w:t>/&gt;</w:t>
            </w:r>
            <w:r>
              <w:rPr>
                <w:rStyle w:val="Codetext"/>
              </w:rPr>
              <w:t xml:space="preserve">Blunt the knives and </w:t>
            </w:r>
            <w:r>
              <w:rPr>
                <w:rStyle w:val="Code"/>
              </w:rPr>
              <w:t>&lt;space/&gt;</w:t>
            </w:r>
            <w:r>
              <w:rPr>
                <w:rStyle w:val="Codetext"/>
              </w:rPr>
              <w:t>bend the forks!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"c"</w:t>
            </w:r>
            <w:r>
              <w:rPr>
                <w:rStyle w:val="Code"/>
              </w:rPr>
              <w:t xml:space="preserve">&gt;&lt;lb </w:t>
            </w:r>
            <w:r>
              <w:rPr>
                <w:rStyle w:val="Codeattribute"/>
              </w:rPr>
              <w:t>n</w:t>
            </w:r>
            <w:r>
              <w:rPr>
                <w:rStyle w:val="Code"/>
              </w:rPr>
              <w:t>=</w:t>
            </w:r>
            <w:r>
              <w:rPr>
                <w:rStyle w:val="Codevalue"/>
              </w:rPr>
              <w:t>"3"</w:t>
            </w:r>
            <w:r>
              <w:rPr>
                <w:rStyle w:val="Code"/>
              </w:rPr>
              <w:t>/&gt;</w:t>
            </w:r>
            <w:r>
              <w:rPr>
                <w:rStyle w:val="Codetext"/>
              </w:rPr>
              <w:t xml:space="preserve">That’s what Bilbo </w:t>
            </w:r>
            <w:r>
              <w:rPr>
                <w:rStyle w:val="Code"/>
              </w:rPr>
              <w:t>&lt;space/&gt;</w:t>
            </w:r>
            <w:r>
              <w:rPr>
                <w:rStyle w:val="Codetext"/>
              </w:rPr>
              <w:t>Baggins hates—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"d"</w:t>
            </w:r>
            <w:r>
              <w:rPr>
                <w:rStyle w:val="Code"/>
              </w:rPr>
              <w:t xml:space="preserve">&gt;&lt;lb </w:t>
            </w:r>
            <w:r>
              <w:rPr>
                <w:rStyle w:val="Codeattribute"/>
              </w:rPr>
              <w:t>n</w:t>
            </w:r>
            <w:r>
              <w:rPr>
                <w:rStyle w:val="Code"/>
              </w:rPr>
              <w:t>=</w:t>
            </w:r>
            <w:r>
              <w:rPr>
                <w:rStyle w:val="Codevalue"/>
              </w:rPr>
              <w:t>"4"</w:t>
            </w:r>
            <w:r>
              <w:rPr>
                <w:rStyle w:val="Code"/>
              </w:rPr>
              <w:t>/&gt;</w:t>
            </w:r>
            <w:r>
              <w:rPr>
                <w:rStyle w:val="Codetext"/>
              </w:rPr>
              <w:t xml:space="preserve">Smash the bottles and </w:t>
            </w:r>
            <w:r>
              <w:rPr>
                <w:rStyle w:val="Code"/>
              </w:rPr>
              <w:t>&lt;space/&gt;</w:t>
            </w:r>
            <w:r>
              <w:rPr>
                <w:rStyle w:val="Codetext"/>
              </w:rPr>
              <w:t>burn the corks!</w:t>
            </w:r>
            <w:r>
              <w:rPr>
                <w:rStyle w:val="Code"/>
              </w:rPr>
              <w:t>&lt;/l&gt;</w:t>
            </w:r>
            <w:r>
              <w:rPr>
                <w:rStyle w:val="Codetext"/>
              </w:rPr>
              <w:br/>
            </w:r>
            <w:r>
              <w:rPr>
                <w:rStyle w:val="Code"/>
              </w:rPr>
              <w:t>&lt;/lg&gt;</w:t>
            </w:r>
          </w:p>
        </w:tc>
      </w:tr>
    </w:tbl>
    <w:p/>
    <w:p>
      <w:pPr>
        <w:pStyle w:val="Cmsor4"/>
      </w:pPr>
      <w:r>
        <w:t>Grids of subsurfaces</w:t>
      </w:r>
    </w:p>
    <w:p>
      <w:r>
        <w:t xml:space="preserve">Complex three-dimensional surfaces such as those of a polygonal pillar or a stele may be inscribed in such a way that each line runs across two or more subsurfaces, as in </w:t>
      </w:r>
      <w:r>
        <w:fldChar w:fldCharType="begin"/>
      </w:r>
      <w:r>
        <w:instrText xml:space="preserve"> REF _Ref182822234 \h </w:instrText>
      </w:r>
      <w:r>
        <w:fldChar w:fldCharType="separate"/>
      </w:r>
      <w:r>
        <w:t xml:space="preserve">Exhibit </w:t>
      </w:r>
      <w:r>
        <w:rPr>
          <w:noProof/>
        </w:rPr>
        <w:t>4.7</w:t>
      </w:r>
      <w:r>
        <w:t>.</w:t>
      </w:r>
      <w:r>
        <w:rPr>
          <w:noProof/>
        </w:rPr>
        <w:t>R</w:t>
      </w:r>
      <w:r>
        <w:fldChar w:fldCharType="end"/>
      </w:r>
      <w:r>
        <w:t xml:space="preserve"> and </w:t>
      </w:r>
      <w:r>
        <w:fldChar w:fldCharType="begin"/>
      </w:r>
      <w:r>
        <w:instrText xml:space="preserve"> REF _Ref239844365 \r \h </w:instrText>
      </w:r>
      <w:r>
        <w:fldChar w:fldCharType="separate"/>
      </w:r>
      <w:r>
        <w:t>Appendix A.5</w:t>
      </w:r>
      <w:r>
        <w:fldChar w:fldCharType="end"/>
      </w:r>
      <w:r>
        <w:t>.  The edges separating the faces constituting the surface produce a gridlike partition.</w:t>
      </w:r>
    </w:p>
    <w:p>
      <w:pPr>
        <w:pStyle w:val="Lista"/>
      </w:pPr>
      <w:r>
        <w:t>encoding gridlike partitions is generally not recommended for complex surfaces, but may be applied if such encoding is deemed useful</w:t>
      </w:r>
    </w:p>
    <w:p>
      <w:pPr>
        <w:pStyle w:val="Lista2"/>
      </w:pPr>
      <w:r>
        <w:t xml:space="preserve">the milestones shall be encoded with </w:t>
      </w:r>
      <w:r>
        <w:rPr>
          <w:rStyle w:val="Codeattribute"/>
        </w:rPr>
        <w:t>@unit=</w:t>
      </w:r>
      <w:r>
        <w:rPr>
          <w:rStyle w:val="Codevalue"/>
        </w:rPr>
        <w:t>"face"</w:t>
      </w:r>
      <w:r>
        <w:t xml:space="preserve"> (§</w:t>
      </w:r>
      <w:r>
        <w:fldChar w:fldCharType="begin"/>
      </w:r>
      <w:r>
        <w:instrText xml:space="preserve"> REF _Ref182815315 \r \h </w:instrText>
      </w:r>
      <w:r>
        <w:fldChar w:fldCharType="separate"/>
      </w:r>
      <w:r>
        <w:t>4.3.1</w:t>
      </w:r>
      <w:r>
        <w:fldChar w:fldCharType="end"/>
      </w:r>
      <w:r>
        <w:t>)</w:t>
      </w:r>
    </w:p>
    <w:p>
      <w:pPr>
        <w:pStyle w:val="Lista"/>
      </w:pPr>
      <w:r>
        <w:t>if you choose not to encode a gridlike partition for a complex surface, and the lines contain conspicuous spaces around the transitions from one subsurface to another, these spaces shall be encoded as per §</w:t>
      </w:r>
      <w:r>
        <w:fldChar w:fldCharType="begin"/>
      </w:r>
      <w:r>
        <w:instrText xml:space="preserve"> REF _Ref183011891 \r \h </w:instrText>
      </w:r>
      <w:r>
        <w:fldChar w:fldCharType="separate"/>
      </w:r>
      <w:r>
        <w:t>5.4.1</w:t>
      </w:r>
      <w:r>
        <w:fldChar w:fldCharType="end"/>
      </w:r>
    </w:p>
    <w:p>
      <w:bookmarkStart w:id="331" w:name="_mtlzzef8q66a" w:colFirst="0" w:colLast="0"/>
      <w:bookmarkStart w:id="332" w:name="_r2vovj8fm87l" w:colFirst="0" w:colLast="0"/>
      <w:bookmarkStart w:id="333" w:name="_mssvwla5qx2o" w:colFirst="0" w:colLast="0"/>
      <w:bookmarkEnd w:id="331"/>
      <w:bookmarkEnd w:id="332"/>
      <w:bookmarkEnd w:id="333"/>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334" w:name="_Ref182822234"/>
            <w:r>
              <w:lastRenderedPageBreak/>
              <w:t xml:space="preserve">Exhibit </w:t>
            </w:r>
            <w:fldSimple w:instr=" STYLEREF 2 \s ">
              <w:r>
                <w:rPr>
                  <w:noProof/>
                </w:rPr>
                <w:t>4.7</w:t>
              </w:r>
            </w:fldSimple>
            <w:r>
              <w:t>.</w:t>
            </w:r>
            <w:fldSimple w:instr=" SEQ Exhibit \* ALPHABETIC \s 2 ">
              <w:r>
                <w:rPr>
                  <w:noProof/>
                </w:rPr>
                <w:t>R</w:t>
              </w:r>
            </w:fldSimple>
            <w:bookmarkEnd w:id="334"/>
            <w:r>
              <w:t>: gridlike partitions for adjacent faces of a polygonal pillar</w:t>
            </w:r>
          </w:p>
        </w:tc>
      </w:tr>
      <w:tr>
        <w:tc>
          <w:tcPr>
            <w:tcW w:w="5000" w:type="pct"/>
          </w:tcPr>
          <w:p>
            <w:pPr>
              <w:pStyle w:val="Image"/>
              <w:keepLines/>
            </w:pPr>
            <w:r>
              <w:drawing>
                <wp:inline distT="0" distB="0" distL="0" distR="0">
                  <wp:extent cx="5397500" cy="3173095"/>
                  <wp:effectExtent l="0" t="0" r="0" b="8255"/>
                  <wp:docPr id="41"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97500" cy="3173095"/>
                          </a:xfrm>
                          <a:prstGeom prst="rect">
                            <a:avLst/>
                          </a:prstGeom>
                          <a:noFill/>
                          <a:ln>
                            <a:noFill/>
                          </a:ln>
                        </pic:spPr>
                      </pic:pic>
                    </a:graphicData>
                  </a:graphic>
                </wp:inline>
              </w:drawing>
            </w:r>
          </w:p>
        </w:tc>
      </w:tr>
      <w:tr>
        <w:tc>
          <w:tcPr>
            <w:tcW w:w="5000" w:type="pct"/>
          </w:tcPr>
          <w:p>
            <w:pPr>
              <w:pStyle w:val="CodeParagraph"/>
              <w:keepNext/>
              <w:keepLines/>
              <w:spacing w:line="240" w:lineRule="auto"/>
              <w:rPr>
                <w:rFonts w:ascii="Consolas" w:hAnsi="Consolas" w:cs="Consolas"/>
                <w:noProof/>
                <w:color w:val="002060"/>
                <w:shd w:val="clear" w:color="auto" w:fill="F2F2F2" w:themeFill="background1" w:themeFillShade="F2"/>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the ground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there lived 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nasty, dirty, wet hole, filled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with the ends of worms</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and an oozy smell, nor yet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a dry, bare, sandy hole</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with nothing in it to sit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down on or to eat: it was a</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hobbit-hole, and that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means comfort.</w:t>
            </w:r>
            <w:r>
              <w:rPr>
                <w:rStyle w:val="Codetext"/>
              </w:rPr>
              <w:br/>
            </w:r>
            <w:r>
              <w:rPr>
                <w:rStyle w:val="Code"/>
              </w:rPr>
              <w:t>&lt;/p&gt;</w:t>
            </w:r>
          </w:p>
        </w:tc>
      </w:tr>
    </w:tbl>
    <w:p/>
    <w:p>
      <w:pPr>
        <w:pStyle w:val="Cmsor3"/>
      </w:pPr>
      <w:bookmarkStart w:id="335" w:name="_Ref225759925"/>
      <w:bookmarkStart w:id="336" w:name="_Toc242976617"/>
      <w:r>
        <w:t>Untidy extrinsic structure</w:t>
      </w:r>
      <w:bookmarkStart w:id="337" w:name="_Ref182811945"/>
      <w:bookmarkEnd w:id="335"/>
      <w:bookmarkEnd w:id="336"/>
    </w:p>
    <w:p>
      <w:r>
        <w:t>Certain aspects of extrinsic structure – typically fragmentation, but occasionally also the surfaces of complex three-dimensional objects – result in partitions that do not constitute a neat grid covering the entire campus of an inscription. This section describes good practice for such untidy situations. In addition to the specific guidelines below, keep in mind that when some extant pieces of a fragmented inscription cannot be fitted together, then boxlike partitions are called for (§</w:t>
      </w:r>
      <w:r>
        <w:fldChar w:fldCharType="begin"/>
      </w:r>
      <w:r>
        <w:instrText xml:space="preserve"> REF _Ref225346692 \r \h </w:instrText>
      </w:r>
      <w:r>
        <w:fldChar w:fldCharType="separate"/>
      </w:r>
      <w:r>
        <w:t>4.7.3.2</w:t>
      </w:r>
      <w:r>
        <w:fldChar w:fldCharType="end"/>
      </w:r>
      <w:r>
        <w:t>). Also keep in mind that in cases where fragments (or surfaces) do join up, as in the situations covered in this section, the encoding normally involves gridlike partitions, and the encoding of such partitions is always optional (§</w:t>
      </w:r>
      <w:r>
        <w:fldChar w:fldCharType="begin"/>
      </w:r>
      <w:r>
        <w:instrText xml:space="preserve"> REF _Ref182322267 \r \h </w:instrText>
      </w:r>
      <w:r>
        <w:fldChar w:fldCharType="separate"/>
      </w:r>
      <w:r>
        <w:t>4.7.5</w:t>
      </w:r>
      <w:r>
        <w:fldChar w:fldCharType="end"/>
      </w:r>
      <w:r>
        <w:t>). Thus, before complicating your encoding in an attempt to represent an untidy original document’s structure, consider whether doing so serves a useful purpose.</w:t>
      </w:r>
    </w:p>
    <w:p>
      <w:pPr>
        <w:pStyle w:val="Cmsor4"/>
      </w:pPr>
      <w:bookmarkStart w:id="338" w:name="_Ref182813737"/>
      <w:bookmarkStart w:id="339" w:name="_Ref225860329"/>
      <w:r>
        <w:t xml:space="preserve">Features inadvertently splitting </w:t>
      </w:r>
      <w:r>
        <w:rPr>
          <w:rStyle w:val="Foreign"/>
        </w:rPr>
        <w:t>akṣara</w:t>
      </w:r>
      <w:r>
        <w:rPr>
          <w:rStyle w:val="Foreign"/>
          <w:i w:val="0"/>
          <w:iCs w:val="0"/>
        </w:rPr>
        <w:t>s</w:t>
      </w:r>
      <w:bookmarkEnd w:id="338"/>
    </w:p>
    <w:p>
      <w:r>
        <w:t>Three-dimensional features of the support, such as a crack, may split a glyph inadvertently. When the feature is encoded as a partition (usually a gridlike one, possibly a pagelike one), then the graphemes of the text need to be assigned to one side of the partition or another. Such a situation must be handled differently from cases where a theoretically atomic glyph was deliberately split into parts by the engraver in order to accommodate a feature, for which see §</w:t>
      </w:r>
      <w:r>
        <w:fldChar w:fldCharType="begin"/>
      </w:r>
      <w:r>
        <w:instrText xml:space="preserve"> REF _Ref43987165 \r \h </w:instrText>
      </w:r>
      <w:r>
        <w:fldChar w:fldCharType="separate"/>
      </w:r>
      <w:r>
        <w:t>5.1.4</w:t>
      </w:r>
      <w:r>
        <w:fldChar w:fldCharType="end"/>
      </w:r>
      <w:r>
        <w:t xml:space="preserve">. For inadvertently split glyphs, make a case-by-case decision based on the following guidelines. </w:t>
      </w:r>
    </w:p>
    <w:p>
      <w:pPr>
        <w:pStyle w:val="Lista"/>
      </w:pPr>
      <w:r>
        <w:t>by default, treat the partition as if it did not split any glyphs, and thus</w:t>
      </w:r>
    </w:p>
    <w:p>
      <w:pPr>
        <w:pStyle w:val="Lista2"/>
      </w:pPr>
      <w:r>
        <w:lastRenderedPageBreak/>
        <w:t>if all or most of a line is split in a largely horizontal direction by a pagelike partition, arbitrarily assign the entire line to the side on which there is more of it and encode the partition before or after that line as applicable (see also §</w:t>
      </w:r>
      <w:r>
        <w:fldChar w:fldCharType="begin"/>
      </w:r>
      <w:r>
        <w:instrText xml:space="preserve"> REF _Ref182836682 \r \h </w:instrText>
      </w:r>
      <w:r>
        <w:fldChar w:fldCharType="separate"/>
      </w:r>
      <w:r>
        <w:t>4.7.6.4</w:t>
      </w:r>
      <w:r>
        <w:fldChar w:fldCharType="end"/>
      </w:r>
      <w:r>
        <w:t>)</w:t>
      </w:r>
    </w:p>
    <w:p>
      <w:pPr>
        <w:pStyle w:val="Lista2"/>
      </w:pPr>
      <w:r>
        <w:t xml:space="preserve">if an </w:t>
      </w:r>
      <w:r>
        <w:rPr>
          <w:rStyle w:val="Foreign"/>
        </w:rPr>
        <w:t>akṣara</w:t>
      </w:r>
      <w:r>
        <w:t xml:space="preserve"> is split in a largely vertical direction by a gridlike partition as in </w:t>
      </w:r>
      <w:r>
        <w:fldChar w:fldCharType="begin"/>
      </w:r>
      <w:r>
        <w:instrText xml:space="preserve"> REF _Ref182386652 \h </w:instrText>
      </w:r>
      <w:r>
        <w:fldChar w:fldCharType="separate"/>
      </w:r>
      <w:r>
        <w:t xml:space="preserve">Exhibit </w:t>
      </w:r>
      <w:r>
        <w:rPr>
          <w:noProof/>
        </w:rPr>
        <w:t>4.7</w:t>
      </w:r>
      <w:r>
        <w:t>.</w:t>
      </w:r>
      <w:r>
        <w:rPr>
          <w:noProof/>
        </w:rPr>
        <w:t>S</w:t>
      </w:r>
      <w:r>
        <w:fldChar w:fldCharType="end"/>
      </w:r>
      <w:r>
        <w:t xml:space="preserve">, arbitrarily assign the entire </w:t>
      </w:r>
      <w:r>
        <w:rPr>
          <w:rStyle w:val="Foreign"/>
        </w:rPr>
        <w:t>akṣara</w:t>
      </w:r>
      <w:r>
        <w:t xml:space="preserve"> to the side on which there is more of it and encode the partition before or after that </w:t>
      </w:r>
      <w:r>
        <w:rPr>
          <w:rStyle w:val="Foreign"/>
        </w:rPr>
        <w:t>akṣara</w:t>
      </w:r>
      <w:r>
        <w:t xml:space="preserve"> as applicable</w:t>
      </w:r>
    </w:p>
    <w:p>
      <w:pPr>
        <w:pStyle w:val="Lista3"/>
      </w:pPr>
      <w:r>
        <w:t xml:space="preserve">if the split is more or less equal, make your choice based on the diagnostically more useful part of the </w:t>
      </w:r>
      <w:r>
        <w:rPr>
          <w:rStyle w:val="Foreign"/>
        </w:rPr>
        <w:t>akṣara</w:t>
      </w:r>
      <w:r>
        <w:t xml:space="preserve"> and/or the location of morpheme boundaries</w:t>
      </w:r>
    </w:p>
    <w:p>
      <w:pPr>
        <w:pStyle w:val="Lista"/>
      </w:pPr>
      <w:r>
        <w:t xml:space="preserve">however, if the feature is sufficiently fine and great accuracy is desirable, individual graphs (which correspond to individual graphemes and are thus separable in transliteration) may be allocated to one side as in or another even if they belong to a single glyph of the original, as in </w:t>
      </w:r>
      <w:r>
        <w:fldChar w:fldCharType="begin"/>
      </w:r>
      <w:r>
        <w:instrText xml:space="preserve"> REF _Ref225864286 \h </w:instrText>
      </w:r>
      <w:r>
        <w:fldChar w:fldCharType="separate"/>
      </w:r>
      <w:r>
        <w:t xml:space="preserve">Exhibit </w:t>
      </w:r>
      <w:r>
        <w:rPr>
          <w:noProof/>
        </w:rPr>
        <w:t>4.7</w:t>
      </w:r>
      <w:r>
        <w:t>.</w:t>
      </w:r>
      <w:r>
        <w:rPr>
          <w:noProof/>
        </w:rPr>
        <w:t>T</w:t>
      </w:r>
      <w:r>
        <w:fldChar w:fldCharType="end"/>
      </w:r>
    </w:p>
    <w:p>
      <w:pPr>
        <w:pStyle w:val="Lista2"/>
      </w:pPr>
      <w:r>
        <w:t>the conditions for allocating a grapheme to a particular side of a feature are</w:t>
      </w:r>
    </w:p>
    <w:p>
      <w:pPr>
        <w:pStyle w:val="Lista3"/>
      </w:pPr>
      <w:r>
        <w:t>that the original graph is, or can be reconstructed as being, wholly or mostly on that side</w:t>
      </w:r>
    </w:p>
    <w:p>
      <w:pPr>
        <w:pStyle w:val="Lista3"/>
      </w:pPr>
      <w:r>
        <w:t>that the graphic sequence of the graphs corresponds to the reading sequence</w:t>
      </w:r>
    </w:p>
    <w:p>
      <w:pPr>
        <w:pStyle w:val="Lista4"/>
      </w:pPr>
      <w:r>
        <w:t xml:space="preserve">thus, a superscript preconsonantal </w:t>
      </w:r>
      <w:r>
        <w:rPr>
          <w:rStyle w:val="Foreign"/>
        </w:rPr>
        <w:t>r</w:t>
      </w:r>
      <w:r>
        <w:t xml:space="preserve"> or a prescript </w:t>
      </w:r>
      <w:r>
        <w:rPr>
          <w:rStyle w:val="Foreign"/>
        </w:rPr>
        <w:t>e</w:t>
      </w:r>
      <w:r>
        <w:t xml:space="preserve"> cannot be allocated to a side other than that of the primary consonant of an </w:t>
      </w:r>
      <w:r>
        <w:rPr>
          <w:rStyle w:val="Foreign"/>
        </w:rPr>
        <w:t>akṣara</w:t>
      </w:r>
    </w:p>
    <w:p>
      <w:pPr>
        <w:pStyle w:val="Lista2"/>
      </w:pPr>
      <w:r>
        <w:t xml:space="preserve">graphs which are split into more or less equal parts by the feature should still be allocated arbitrarily to one side of the milestone or the other, on the basis of considerations such as the location of the larger or diagnostically more useful part of the </w:t>
      </w:r>
      <w:r>
        <w:rPr>
          <w:rStyle w:val="Foreign"/>
        </w:rPr>
        <w:t>akṣara</w:t>
      </w:r>
      <w:r>
        <w:t xml:space="preserve"> and the location of morpheme boundaries</w:t>
      </w:r>
    </w:p>
    <w:p>
      <w:pPr>
        <w:pStyle w:val="Lista"/>
      </w:pPr>
      <w:r>
        <w:t>whichever way you allocate the transliterated graphemes vis-à-vis the feature, word interruption (§</w:t>
      </w:r>
      <w:r>
        <w:fldChar w:fldCharType="begin"/>
      </w:r>
      <w:r>
        <w:instrText xml:space="preserve"> REF _Ref225519777 \r \h </w:instrText>
      </w:r>
      <w:r>
        <w:fldChar w:fldCharType="separate"/>
      </w:r>
      <w:r>
        <w:t>4.3.2.1</w:t>
      </w:r>
      <w:r>
        <w:fldChar w:fldCharType="end"/>
      </w:r>
      <w:r>
        <w:t>) shall be encoded on the basis your allocation; thus,</w:t>
      </w:r>
    </w:p>
    <w:p>
      <w:pPr>
        <w:pStyle w:val="Lista2"/>
      </w:pPr>
      <w:r>
        <w:rPr>
          <w:rStyle w:val="Codeattribute"/>
        </w:rPr>
        <w:t>@break=</w:t>
      </w:r>
      <w:r>
        <w:rPr>
          <w:rStyle w:val="Codevalue"/>
        </w:rPr>
        <w:t>"no"</w:t>
      </w:r>
      <w:r>
        <w:t xml:space="preserve"> is not required just because the feature splits a glyph</w:t>
      </w:r>
    </w:p>
    <w:p>
      <w:pPr>
        <w:pStyle w:val="Lista2"/>
      </w:pPr>
      <w:r>
        <w:rPr>
          <w:rStyle w:val="Codeattribute"/>
        </w:rPr>
        <w:t>@break=</w:t>
      </w:r>
      <w:r>
        <w:rPr>
          <w:rStyle w:val="Codevalue"/>
        </w:rPr>
        <w:t>"no"</w:t>
      </w:r>
      <w:r>
        <w:t xml:space="preserve"> is required when the encoded milestone interrupts a word</w:t>
      </w:r>
    </w:p>
    <w:tbl>
      <w:tblPr>
        <w:tblStyle w:val="CodeSampleTable"/>
        <w:tblW w:w="5000" w:type="pct"/>
        <w:tblLook w:val="04A0" w:firstRow="1" w:lastRow="0" w:firstColumn="1" w:lastColumn="0" w:noHBand="0" w:noVBand="1"/>
      </w:tblPr>
      <w:tblGrid>
        <w:gridCol w:w="6393"/>
        <w:gridCol w:w="3235"/>
      </w:tblGrid>
      <w:tr>
        <w:trPr>
          <w:cnfStyle w:val="100000000000" w:firstRow="1" w:lastRow="0" w:firstColumn="0" w:lastColumn="0" w:oddVBand="0" w:evenVBand="0" w:oddHBand="0" w:evenHBand="0" w:firstRowFirstColumn="0" w:firstRowLastColumn="0" w:lastRowFirstColumn="0" w:lastRowLastColumn="0"/>
        </w:trPr>
        <w:tc>
          <w:tcPr>
            <w:tcW w:w="5000" w:type="pct"/>
            <w:gridSpan w:val="2"/>
          </w:tcPr>
          <w:p>
            <w:pPr>
              <w:pStyle w:val="Kpalrs"/>
            </w:pPr>
            <w:bookmarkStart w:id="340" w:name="_Ref182386652"/>
            <w:bookmarkStart w:id="341" w:name="_Ref182386649"/>
            <w:r>
              <w:t xml:space="preserve">Exhibit </w:t>
            </w:r>
            <w:fldSimple w:instr=" STYLEREF 2 \s ">
              <w:r>
                <w:rPr>
                  <w:noProof/>
                </w:rPr>
                <w:t>4.7</w:t>
              </w:r>
            </w:fldSimple>
            <w:r>
              <w:t>.</w:t>
            </w:r>
            <w:fldSimple w:instr=" SEQ Exhibit \* ALPHABETIC \s 2 ">
              <w:r>
                <w:rPr>
                  <w:noProof/>
                </w:rPr>
                <w:t>S</w:t>
              </w:r>
            </w:fldSimple>
            <w:bookmarkEnd w:id="340"/>
            <w:r>
              <w:t>: glyph split by a gridlike feature</w:t>
            </w:r>
            <w:bookmarkEnd w:id="341"/>
            <w:r>
              <w:t xml:space="preserve"> and allocated to one side</w:t>
            </w:r>
          </w:p>
        </w:tc>
      </w:tr>
      <w:tr>
        <w:trPr>
          <w:trHeight w:val="516"/>
        </w:trPr>
        <w:tc>
          <w:tcPr>
            <w:tcW w:w="3320" w:type="pct"/>
            <w:tcBorders>
              <w:right w:val="single" w:sz="4" w:space="0" w:color="auto"/>
            </w:tcBorders>
          </w:tcPr>
          <w:p>
            <w:pPr>
              <w:pStyle w:val="CodeParagraph"/>
              <w:keepNext/>
              <w:rPr>
                <w:rStyle w:val="Codetext"/>
              </w:rPr>
            </w:pPr>
            <w:r>
              <w:rPr>
                <w:rStyle w:val="Codetext"/>
              </w:rPr>
              <w:t xml:space="preserve">... piṅul· </w:t>
            </w:r>
            <w:r>
              <w:rPr>
                <w:rStyle w:val="Code"/>
              </w:rPr>
              <w:t xml:space="preserve">&lt;milestone </w:t>
            </w:r>
            <w:r>
              <w:rPr>
                <w:rStyle w:val="Codeattribute"/>
              </w:rPr>
              <w:t>unit=</w:t>
            </w:r>
            <w:r>
              <w:rPr>
                <w:rStyle w:val="Codevalue"/>
              </w:rPr>
              <w:t>"fragment"</w:t>
            </w:r>
            <w:r>
              <w:rPr>
                <w:rStyle w:val="Code"/>
              </w:rPr>
              <w:t xml:space="preserve"> </w:t>
            </w:r>
            <w:r>
              <w:rPr>
                <w:rStyle w:val="Codeattribute"/>
              </w:rPr>
              <w:t>n=</w:t>
            </w:r>
            <w:r>
              <w:rPr>
                <w:rStyle w:val="Codevalue"/>
              </w:rPr>
              <w:t>"2"</w:t>
            </w:r>
            <w:r>
              <w:rPr>
                <w:rStyle w:val="Code"/>
              </w:rPr>
              <w:t>/&gt;</w:t>
            </w:r>
            <w:r>
              <w:rPr>
                <w:rStyle w:val="Codetext"/>
              </w:rPr>
              <w:t xml:space="preserve"> </w:t>
            </w:r>
            <w:r>
              <w:rPr>
                <w:rStyle w:val="Code"/>
              </w:rPr>
              <w:t>&lt;unclear&gt;</w:t>
            </w:r>
            <w:r>
              <w:rPr>
                <w:rStyle w:val="Codetext"/>
              </w:rPr>
              <w:t>hu</w:t>
            </w:r>
            <w:r>
              <w:rPr>
                <w:rStyle w:val="Code"/>
              </w:rPr>
              <w:t>&lt;/unclear&gt;</w:t>
            </w:r>
            <w:r>
              <w:rPr>
                <w:rStyle w:val="Codetext"/>
              </w:rPr>
              <w:t>ler· ...</w:t>
            </w:r>
          </w:p>
        </w:tc>
        <w:tc>
          <w:tcPr>
            <w:tcW w:w="1680" w:type="pct"/>
            <w:vMerge w:val="restart"/>
            <w:tcBorders>
              <w:left w:val="single" w:sz="4" w:space="0" w:color="auto"/>
            </w:tcBorders>
            <w:vAlign w:val="center"/>
          </w:tcPr>
          <w:p>
            <w:pPr>
              <w:pStyle w:val="Image"/>
            </w:pPr>
            <w:r>
              <w:drawing>
                <wp:inline distT="0" distB="0" distL="0" distR="0">
                  <wp:extent cx="2048400" cy="763200"/>
                  <wp:effectExtent l="0" t="0" r="0" b="0"/>
                  <wp:docPr id="5595725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048400" cy="763200"/>
                          </a:xfrm>
                          <a:prstGeom prst="rect">
                            <a:avLst/>
                          </a:prstGeom>
                          <a:noFill/>
                          <a:ln>
                            <a:noFill/>
                          </a:ln>
                        </pic:spPr>
                      </pic:pic>
                    </a:graphicData>
                  </a:graphic>
                </wp:inline>
              </w:drawing>
            </w:r>
          </w:p>
        </w:tc>
      </w:tr>
      <w:tr>
        <w:trPr>
          <w:trHeight w:val="516"/>
        </w:trPr>
        <w:tc>
          <w:tcPr>
            <w:tcW w:w="3320" w:type="pct"/>
            <w:tcBorders>
              <w:right w:val="single" w:sz="4" w:space="0" w:color="auto"/>
            </w:tcBorders>
          </w:tcPr>
          <w:p>
            <w:pPr>
              <w:pStyle w:val="TableNote"/>
              <w:keepNext/>
            </w:pPr>
            <w:r>
              <w:t xml:space="preserve">the glyph </w:t>
            </w:r>
            <w:r>
              <w:rPr>
                <w:rStyle w:val="Foreign"/>
              </w:rPr>
              <w:t>hu</w:t>
            </w:r>
            <w:r>
              <w:t xml:space="preserve"> is split in roughly equal parts by a vertical crack</w:t>
            </w:r>
          </w:p>
          <w:p>
            <w:pPr>
              <w:pStyle w:val="TableNote"/>
              <w:keepNext/>
            </w:pPr>
            <w:r>
              <w:t xml:space="preserve">most of this glyph is to the right of the crack, and this glyph is the beginning of a word, so the entire transliteration has been placed to the right of the milestone, which does not take </w:t>
            </w:r>
            <w:r>
              <w:rPr>
                <w:rStyle w:val="Codeattribute"/>
              </w:rPr>
              <w:t>@break=</w:t>
            </w:r>
            <w:r>
              <w:rPr>
                <w:rStyle w:val="Codevalue"/>
              </w:rPr>
              <w:t>"no"</w:t>
            </w:r>
          </w:p>
        </w:tc>
        <w:tc>
          <w:tcPr>
            <w:tcW w:w="1680" w:type="pct"/>
            <w:vMerge/>
            <w:tcBorders>
              <w:left w:val="single" w:sz="4" w:space="0" w:color="auto"/>
            </w:tcBorders>
            <w:vAlign w:val="bottom"/>
          </w:tcPr>
          <w:p>
            <w:pPr>
              <w:pStyle w:val="Image"/>
            </w:pPr>
          </w:p>
        </w:tc>
      </w:tr>
    </w:tbl>
    <w:p/>
    <w:tbl>
      <w:tblPr>
        <w:tblStyle w:val="CodeSampleTable"/>
        <w:tblW w:w="5000" w:type="pct"/>
        <w:tblLook w:val="04A0" w:firstRow="1" w:lastRow="0" w:firstColumn="1" w:lastColumn="0" w:noHBand="0" w:noVBand="1"/>
      </w:tblPr>
      <w:tblGrid>
        <w:gridCol w:w="6393"/>
        <w:gridCol w:w="3235"/>
      </w:tblGrid>
      <w:tr>
        <w:trPr>
          <w:cnfStyle w:val="100000000000" w:firstRow="1" w:lastRow="0" w:firstColumn="0" w:lastColumn="0" w:oddVBand="0" w:evenVBand="0" w:oddHBand="0" w:evenHBand="0" w:firstRowFirstColumn="0" w:firstRowLastColumn="0" w:lastRowFirstColumn="0" w:lastRowLastColumn="0"/>
          <w:trHeight w:val="516"/>
        </w:trPr>
        <w:tc>
          <w:tcPr>
            <w:tcW w:w="5000" w:type="pct"/>
            <w:gridSpan w:val="2"/>
          </w:tcPr>
          <w:p>
            <w:pPr>
              <w:pStyle w:val="Kpalrs"/>
            </w:pPr>
            <w:bookmarkStart w:id="342" w:name="_Ref225864286"/>
            <w:r>
              <w:t xml:space="preserve">Exhibit </w:t>
            </w:r>
            <w:fldSimple w:instr=" STYLEREF 2 \s ">
              <w:r>
                <w:rPr>
                  <w:noProof/>
                </w:rPr>
                <w:t>4.7</w:t>
              </w:r>
            </w:fldSimple>
            <w:r>
              <w:t>.</w:t>
            </w:r>
            <w:fldSimple w:instr=" SEQ Exhibit \* ALPHABETIC \s 2 ">
              <w:r>
                <w:rPr>
                  <w:noProof/>
                </w:rPr>
                <w:t>T</w:t>
              </w:r>
            </w:fldSimple>
            <w:bookmarkEnd w:id="342"/>
            <w:r>
              <w:t>: glyph split by a gridlike feature, graphemes individually allocated to sides</w:t>
            </w:r>
          </w:p>
        </w:tc>
      </w:tr>
      <w:tr>
        <w:trPr>
          <w:trHeight w:val="548"/>
        </w:trPr>
        <w:tc>
          <w:tcPr>
            <w:tcW w:w="3320" w:type="pct"/>
            <w:tcBorders>
              <w:right w:val="single" w:sz="4" w:space="0" w:color="auto"/>
            </w:tcBorders>
          </w:tcPr>
          <w:p>
            <w:pPr>
              <w:pStyle w:val="CodeParagraph"/>
              <w:keepNext/>
              <w:rPr>
                <w:rStyle w:val="Codetext"/>
              </w:rPr>
            </w:pPr>
            <w:r>
              <w:rPr>
                <w:rStyle w:val="Codetext"/>
              </w:rPr>
              <w:t>... Ika</w:t>
            </w:r>
            <w:r>
              <w:rPr>
                <w:rStyle w:val="Code"/>
              </w:rPr>
              <w:t>&lt;unclear&gt;</w:t>
            </w:r>
            <w:r>
              <w:rPr>
                <w:rStyle w:val="Codetext"/>
              </w:rPr>
              <w:t>na</w:t>
            </w:r>
            <w:r>
              <w:rPr>
                <w:rStyle w:val="Code"/>
              </w:rPr>
              <w:t xml:space="preserve">&lt;/unclear&gt;&lt;milestone </w:t>
            </w:r>
            <w:r>
              <w:rPr>
                <w:rStyle w:val="Codeattribute"/>
              </w:rPr>
              <w:t>unit=</w:t>
            </w:r>
            <w:r>
              <w:rPr>
                <w:rStyle w:val="Codevalue"/>
              </w:rPr>
              <w:t>"fragment"</w:t>
            </w:r>
            <w:r>
              <w:rPr>
                <w:rStyle w:val="Code"/>
              </w:rPr>
              <w:t xml:space="preserve"> </w:t>
            </w:r>
            <w:r>
              <w:rPr>
                <w:rStyle w:val="Codeattribute"/>
              </w:rPr>
              <w:t>n=</w:t>
            </w:r>
            <w:r>
              <w:rPr>
                <w:rStyle w:val="Codevalue"/>
              </w:rPr>
              <w:t>"2"</w:t>
            </w:r>
            <w:r>
              <w:rPr>
                <w:rStyle w:val="Code"/>
              </w:rPr>
              <w:t xml:space="preserve"> </w:t>
            </w:r>
            <w:r>
              <w:rPr>
                <w:rStyle w:val="Codeattribute"/>
              </w:rPr>
              <w:t>break=</w:t>
            </w:r>
            <w:r>
              <w:rPr>
                <w:rStyle w:val="Codevalue"/>
              </w:rPr>
              <w:t>"no"</w:t>
            </w:r>
            <w:r>
              <w:rPr>
                <w:rStyle w:val="Code"/>
              </w:rPr>
              <w:t>/&gt;&lt;unclear&gt;</w:t>
            </w:r>
            <w:r>
              <w:rPr>
                <w:rStyle w:val="Codetext"/>
              </w:rPr>
              <w:t>ṁ</w:t>
            </w:r>
            <w:r>
              <w:rPr>
                <w:rStyle w:val="Code"/>
              </w:rPr>
              <w:t>&lt;/unclear&gt;</w:t>
            </w:r>
            <w:r>
              <w:rPr>
                <w:rStyle w:val="Codetext"/>
              </w:rPr>
              <w:t xml:space="preserve"> patiḥ ...</w:t>
            </w:r>
          </w:p>
        </w:tc>
        <w:tc>
          <w:tcPr>
            <w:tcW w:w="1680" w:type="pct"/>
            <w:vMerge w:val="restart"/>
            <w:tcBorders>
              <w:left w:val="single" w:sz="4" w:space="0" w:color="auto"/>
            </w:tcBorders>
            <w:vAlign w:val="center"/>
          </w:tcPr>
          <w:p>
            <w:pPr>
              <w:pStyle w:val="Image"/>
            </w:pPr>
            <w:r>
              <w:drawing>
                <wp:inline distT="0" distB="0" distL="0" distR="0">
                  <wp:extent cx="1641600" cy="820800"/>
                  <wp:effectExtent l="0" t="0" r="0" b="0"/>
                  <wp:docPr id="172161797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H="1">
                            <a:off x="0" y="0"/>
                            <a:ext cx="1641600" cy="820800"/>
                          </a:xfrm>
                          <a:prstGeom prst="rect">
                            <a:avLst/>
                          </a:prstGeom>
                          <a:noFill/>
                          <a:ln>
                            <a:noFill/>
                          </a:ln>
                        </pic:spPr>
                      </pic:pic>
                    </a:graphicData>
                  </a:graphic>
                </wp:inline>
              </w:drawing>
            </w:r>
          </w:p>
        </w:tc>
      </w:tr>
      <w:tr>
        <w:trPr>
          <w:trHeight w:val="548"/>
        </w:trPr>
        <w:tc>
          <w:tcPr>
            <w:tcW w:w="3320" w:type="pct"/>
            <w:tcBorders>
              <w:right w:val="single" w:sz="4" w:space="0" w:color="auto"/>
            </w:tcBorders>
          </w:tcPr>
          <w:p>
            <w:pPr>
              <w:pStyle w:val="TableNote"/>
            </w:pPr>
            <w:r>
              <w:t xml:space="preserve">the glyph </w:t>
            </w:r>
            <w:r>
              <w:rPr>
                <w:rStyle w:val="Foreign"/>
              </w:rPr>
              <w:t>naṁ</w:t>
            </w:r>
            <w:r>
              <w:t xml:space="preserve"> is split and partly obliterated by a vertical crack</w:t>
            </w:r>
          </w:p>
          <w:p>
            <w:pPr>
              <w:pStyle w:val="TableNote"/>
              <w:rPr>
                <w:rStyle w:val="Codetext"/>
                <w:rFonts w:ascii="Calibri" w:hAnsi="Calibri" w:cs="Arial Unicode MS"/>
                <w:noProof w:val="0"/>
                <w:color w:val="auto"/>
                <w:shd w:val="clear" w:color="auto" w:fill="auto"/>
              </w:rPr>
            </w:pPr>
            <w:r>
              <w:t xml:space="preserve">the </w:t>
            </w:r>
            <w:r>
              <w:rPr>
                <w:rStyle w:val="Foreign"/>
              </w:rPr>
              <w:t>anusvāra</w:t>
            </w:r>
            <w:r>
              <w:t xml:space="preserve"> is (or would have been) definitely to the right of the crack, while the body </w:t>
            </w:r>
            <w:r>
              <w:rPr>
                <w:rStyle w:val="Foreign"/>
              </w:rPr>
              <w:t>na</w:t>
            </w:r>
            <w:r>
              <w:t xml:space="preserve"> has been arbitrarily allocated to the left of the milestone, which needs </w:t>
            </w:r>
            <w:r>
              <w:rPr>
                <w:rStyle w:val="Codeattribute"/>
              </w:rPr>
              <w:t>@break=</w:t>
            </w:r>
            <w:r>
              <w:rPr>
                <w:rStyle w:val="Codevalue"/>
              </w:rPr>
              <w:t>"no"</w:t>
            </w:r>
          </w:p>
        </w:tc>
        <w:tc>
          <w:tcPr>
            <w:tcW w:w="1680" w:type="pct"/>
            <w:vMerge/>
            <w:tcBorders>
              <w:left w:val="single" w:sz="4" w:space="0" w:color="auto"/>
            </w:tcBorders>
            <w:vAlign w:val="bottom"/>
          </w:tcPr>
          <w:p>
            <w:pPr>
              <w:pStyle w:val="Image"/>
            </w:pPr>
          </w:p>
        </w:tc>
      </w:tr>
    </w:tbl>
    <w:p>
      <w:pPr>
        <w:pStyle w:val="Cmsor4"/>
      </w:pPr>
      <w:r>
        <w:t>Features splitting only some lines of an inscription</w:t>
      </w:r>
      <w:bookmarkEnd w:id="339"/>
    </w:p>
    <w:p>
      <w:r>
        <w:t>Recall from §</w:t>
      </w:r>
      <w:r>
        <w:fldChar w:fldCharType="begin"/>
      </w:r>
      <w:r>
        <w:instrText xml:space="preserve"> REF _Ref182923075 \r \h </w:instrText>
      </w:r>
      <w:r>
        <w:fldChar w:fldCharType="separate"/>
      </w:r>
      <w:r>
        <w:t>4.1</w:t>
      </w:r>
      <w:r>
        <w:fldChar w:fldCharType="end"/>
      </w:r>
      <w:r>
        <w:t xml:space="preserve"> that gridlike partitions represent the lowest tier of the hierarchy of extrinsic structure, and that the scope of a milestone is understood to be up to the point where a partition of the same, or a higher, tier occurs. The logical consequence of this is that when a grid covers the entirety of an inscription, the milestones for each cell of the grid must be present in each epigraphic line of the edition (or the textpart division). Sometimes, however, a grid applies only to part of the inscribed campus, as in </w:t>
      </w:r>
      <w:r>
        <w:fldChar w:fldCharType="begin"/>
      </w:r>
      <w:r>
        <w:instrText xml:space="preserve"> REF _Ref182834409 \h </w:instrText>
      </w:r>
      <w:r>
        <w:fldChar w:fldCharType="separate"/>
      </w:r>
      <w:r>
        <w:t xml:space="preserve">Exhibit </w:t>
      </w:r>
      <w:r>
        <w:rPr>
          <w:noProof/>
        </w:rPr>
        <w:t>4.7</w:t>
      </w:r>
      <w:r>
        <w:t>.</w:t>
      </w:r>
      <w:r>
        <w:rPr>
          <w:noProof/>
        </w:rPr>
        <w:t>U</w:t>
      </w:r>
      <w:r>
        <w:fldChar w:fldCharType="end"/>
      </w:r>
      <w:r>
        <w:t xml:space="preserve">. In order to reduce code clutter and encoding burden, in this latter case we use milestone elements only in the specific lines which are directly affected by the feature represented by the milestone. It will be understood in such a case that the partition applies only to the lines where it is encoded. If the inscription is fragmented, then lines without an encoded partition will be assumed to be on the largest adjacent fragment. Multiple irregular fragments shall be encoded in the same manner: lines not affected by the fragmentation need no </w:t>
      </w:r>
      <w:r>
        <w:lastRenderedPageBreak/>
        <w:t>gridlike milestones, while affected lines need as many milestones as the number of separate fragments across which the line in question continues.</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343" w:name="_Ref182834409"/>
            <w:r>
              <w:t xml:space="preserve">Exhibit </w:t>
            </w:r>
            <w:fldSimple w:instr=" STYLEREF 2 \s ">
              <w:r>
                <w:rPr>
                  <w:noProof/>
                </w:rPr>
                <w:t>4.7</w:t>
              </w:r>
            </w:fldSimple>
            <w:r>
              <w:t>.</w:t>
            </w:r>
            <w:fldSimple w:instr=" SEQ Exhibit \* ALPHABETIC \s 2 ">
              <w:r>
                <w:rPr>
                  <w:noProof/>
                </w:rPr>
                <w:t>U</w:t>
              </w:r>
            </w:fldSimple>
            <w:bookmarkEnd w:id="343"/>
            <w:r>
              <w:t>: gridlike milestones in only some of the lines</w:t>
            </w:r>
          </w:p>
        </w:tc>
      </w:tr>
      <w:tr>
        <w:tc>
          <w:tcPr>
            <w:tcW w:w="5000" w:type="pct"/>
            <w:vAlign w:val="center"/>
          </w:tcPr>
          <w:p>
            <w:pPr>
              <w:pStyle w:val="Image"/>
            </w:pPr>
            <w:r>
              <w:drawing>
                <wp:inline distT="0" distB="0" distL="0" distR="0">
                  <wp:extent cx="5397500" cy="1480820"/>
                  <wp:effectExtent l="0" t="0" r="0" b="5080"/>
                  <wp:docPr id="52" name="Kép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97500" cy="1480820"/>
                          </a:xfrm>
                          <a:prstGeom prst="rect">
                            <a:avLst/>
                          </a:prstGeom>
                          <a:noFill/>
                          <a:ln>
                            <a:noFill/>
                          </a:ln>
                        </pic:spPr>
                      </pic:pic>
                    </a:graphicData>
                  </a:graphic>
                </wp:inline>
              </w:drawing>
            </w:r>
          </w:p>
        </w:tc>
      </w:tr>
      <w:tr>
        <w:tc>
          <w:tcPr>
            <w:tcW w:w="5000" w:type="pct"/>
          </w:tcPr>
          <w:p>
            <w:pPr>
              <w:pStyle w:val="CodeParagraph"/>
              <w:keepNext/>
              <w:rPr>
                <w:rStyle w:val="Code"/>
              </w:rPr>
            </w:pPr>
            <w:r>
              <w:rPr>
                <w:rStyle w:val="Code"/>
              </w:rPr>
              <w:t>&lt;p&gt;</w:t>
            </w:r>
          </w:p>
          <w:p>
            <w:pPr>
              <w:pStyle w:val="CodeParagraph"/>
              <w:keepNext/>
              <w:rPr>
                <w:rStyle w:val="Codetext"/>
              </w:rPr>
            </w:pPr>
            <w:r>
              <w:rPr>
                <w:rStyle w:val="Code"/>
              </w:rPr>
              <w:t xml:space="preserve">  &lt;lb </w:t>
            </w:r>
            <w:r>
              <w:rPr>
                <w:rStyle w:val="Codeattribute"/>
              </w:rPr>
              <w:t>n</w:t>
            </w:r>
            <w:r>
              <w:rPr>
                <w:rStyle w:val="Code"/>
              </w:rPr>
              <w:t>=</w:t>
            </w:r>
            <w:r>
              <w:rPr>
                <w:rStyle w:val="Codevalue"/>
              </w:rPr>
              <w:t>"1"</w:t>
            </w:r>
            <w:r>
              <w:rPr>
                <w:rStyle w:val="Code"/>
              </w:rPr>
              <w:t>/&gt;</w:t>
            </w:r>
            <w:r>
              <w:rPr>
                <w:rStyle w:val="Codetext"/>
              </w:rPr>
              <w:t>In a hole in the ground there lived a hobbit. Not a</w:t>
            </w:r>
            <w:r>
              <w:rPr>
                <w:rStyle w:val="Codetext"/>
              </w:rPr>
              <w:br/>
            </w:r>
            <w:r>
              <w:rPr>
                <w:rStyle w:val="Code"/>
              </w:rPr>
              <w:t xml:space="preserve">  &lt;lb </w:t>
            </w:r>
            <w:r>
              <w:rPr>
                <w:rStyle w:val="Codeattribute"/>
              </w:rPr>
              <w:t>n</w:t>
            </w:r>
            <w:r>
              <w:rPr>
                <w:rStyle w:val="Code"/>
              </w:rPr>
              <w:t>=</w:t>
            </w:r>
            <w:r>
              <w:rPr>
                <w:rStyle w:val="Codevalue"/>
              </w:rPr>
              <w:t>"2"</w:t>
            </w:r>
            <w:r>
              <w:rPr>
                <w:rStyle w:val="Code"/>
              </w:rPr>
              <w:t>/&gt;</w:t>
            </w:r>
            <w:r>
              <w:rPr>
                <w:rStyle w:val="Codetext"/>
              </w:rPr>
              <w:t>nasty, dirty, wet hole, filled with the ends of worms</w:t>
            </w:r>
            <w:r>
              <w:rPr>
                <w:rStyle w:val="Codetext"/>
              </w:rPr>
              <w:br/>
            </w:r>
            <w:r>
              <w:rPr>
                <w:rStyle w:val="Code"/>
              </w:rPr>
              <w:t xml:space="preserve">  &lt;lb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"a"</w:t>
            </w:r>
            <w:r>
              <w:rPr>
                <w:rStyle w:val="Code"/>
              </w:rPr>
              <w:t>&gt;</w:t>
            </w:r>
            <w:r>
              <w:rPr>
                <w:rStyle w:val="Codetext"/>
              </w:rPr>
              <w:t xml:space="preserve">and </w:t>
            </w:r>
            <w:r>
              <w:rPr>
                <w:rStyle w:val="Code"/>
              </w:rPr>
              <w:t xml:space="preserve">&lt;milestone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"b"</w:t>
            </w:r>
            <w:r>
              <w:rPr>
                <w:rStyle w:val="Code"/>
              </w:rPr>
              <w:t>&gt;</w:t>
            </w:r>
            <w:r>
              <w:rPr>
                <w:rStyle w:val="Codetext"/>
              </w:rPr>
              <w:t>an oozy smell, nor yet a dry, bare, sandy hole</w:t>
            </w:r>
            <w:r>
              <w:rPr>
                <w:rStyle w:val="Codetext"/>
              </w:rPr>
              <w:br/>
            </w:r>
            <w:r>
              <w:rPr>
                <w:rStyle w:val="Code"/>
              </w:rPr>
              <w:t xml:space="preserve">  &lt;lb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"a"</w:t>
            </w:r>
            <w:r>
              <w:rPr>
                <w:rStyle w:val="Code"/>
              </w:rPr>
              <w:t>&gt;</w:t>
            </w:r>
            <w:r>
              <w:rPr>
                <w:rStyle w:val="Codetext"/>
              </w:rPr>
              <w:t>with not</w:t>
            </w:r>
            <w:r>
              <w:rPr>
                <w:rStyle w:val="Code"/>
              </w:rPr>
              <w:t xml:space="preserve">&lt;milestone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 xml:space="preserve">"b" </w:t>
            </w:r>
            <w:r>
              <w:rPr>
                <w:rStyle w:val="Codeattribute"/>
              </w:rPr>
              <w:t>break</w:t>
            </w:r>
            <w:r>
              <w:rPr>
                <w:rStyle w:val="Code"/>
              </w:rPr>
              <w:t>=</w:t>
            </w:r>
            <w:r>
              <w:rPr>
                <w:rStyle w:val="Codevalue"/>
              </w:rPr>
              <w:t>"no"</w:t>
            </w:r>
            <w:r>
              <w:rPr>
                <w:rStyle w:val="Code"/>
              </w:rPr>
              <w:t>&gt;&lt;unclear&gt;h&lt;/unclear&gt;</w:t>
            </w:r>
            <w:r>
              <w:rPr>
                <w:rStyle w:val="Codetext"/>
              </w:rPr>
              <w:t>ing in it to sit down on or to eat: it was a</w:t>
            </w:r>
          </w:p>
          <w:p>
            <w:pPr>
              <w:pStyle w:val="CodeParagraph"/>
              <w:keepNext/>
              <w:rPr>
                <w:rStyle w:val="Codetext"/>
              </w:rPr>
            </w:pPr>
            <w:r>
              <w:rPr>
                <w:rStyle w:val="Code"/>
              </w:rPr>
              <w:t xml:space="preserve">  &lt;lb </w:t>
            </w:r>
            <w:r>
              <w:rPr>
                <w:rStyle w:val="Codeattribute"/>
              </w:rPr>
              <w:t>n</w:t>
            </w:r>
            <w:r>
              <w:rPr>
                <w:rStyle w:val="Code"/>
              </w:rPr>
              <w:t>=</w:t>
            </w:r>
            <w:r>
              <w:rPr>
                <w:rStyle w:val="Codevalue"/>
              </w:rPr>
              <w:t>"5"</w:t>
            </w:r>
            <w:r>
              <w:rPr>
                <w:rStyle w:val="Code"/>
              </w:rPr>
              <w:t xml:space="preserve">/&gt;&lt;milestone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"a"</w:t>
            </w:r>
            <w:r>
              <w:rPr>
                <w:rStyle w:val="Code"/>
              </w:rPr>
              <w:t>&gt;</w:t>
            </w:r>
            <w:r>
              <w:rPr>
                <w:rStyle w:val="Codetext"/>
              </w:rPr>
              <w:t xml:space="preserve">hobbit-hole, </w:t>
            </w:r>
            <w:r>
              <w:rPr>
                <w:rStyle w:val="Code"/>
              </w:rPr>
              <w:t xml:space="preserve">&lt;unclear&gt;a&lt;/unclear&gt;&lt;milestone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"b"</w:t>
            </w:r>
            <w:r>
              <w:rPr>
                <w:rStyle w:val="Codeattribute"/>
              </w:rPr>
              <w:t xml:space="preserve"> break</w:t>
            </w:r>
            <w:r>
              <w:rPr>
                <w:rStyle w:val="Code"/>
              </w:rPr>
              <w:t>=</w:t>
            </w:r>
            <w:r>
              <w:rPr>
                <w:rStyle w:val="Codevalue"/>
              </w:rPr>
              <w:t>"no"</w:t>
            </w:r>
            <w:r>
              <w:rPr>
                <w:rStyle w:val="Code"/>
              </w:rPr>
              <w:t>&gt;</w:t>
            </w:r>
            <w:r>
              <w:rPr>
                <w:rStyle w:val="Codetext"/>
              </w:rPr>
              <w:t>nd that means comfort.</w:t>
            </w:r>
          </w:p>
          <w:p>
            <w:pPr>
              <w:pStyle w:val="CodeParagraph"/>
              <w:keepNext/>
            </w:pPr>
            <w:r>
              <w:rPr>
                <w:rStyle w:val="Code"/>
              </w:rPr>
              <w:t>&lt;/p&gt;</w:t>
            </w:r>
          </w:p>
        </w:tc>
      </w:tr>
      <w:tr>
        <w:tc>
          <w:tcPr>
            <w:tcW w:w="5000" w:type="pct"/>
          </w:tcPr>
          <w:p>
            <w:pPr>
              <w:pStyle w:val="TableNote"/>
            </w:pPr>
            <w:r>
              <w:t>the first two lines are not affected by fragmentation, so no gridlike milestones are encoded there</w:t>
            </w:r>
          </w:p>
          <w:p>
            <w:pPr>
              <w:pStyle w:val="TableNote"/>
            </w:pPr>
            <w:r>
              <w:t>split glyphs are arbitrarily assigned to one side of the crack as per §</w:t>
            </w:r>
            <w:r>
              <w:fldChar w:fldCharType="begin"/>
            </w:r>
            <w:r>
              <w:instrText xml:space="preserve"> REF _Ref182813737 \r \h </w:instrText>
            </w:r>
            <w:r>
              <w:fldChar w:fldCharType="separate"/>
            </w:r>
            <w:r>
              <w:t>4.7.6.1</w:t>
            </w:r>
            <w:r>
              <w:fldChar w:fldCharType="end"/>
            </w:r>
          </w:p>
        </w:tc>
      </w:tr>
    </w:tbl>
    <w:p>
      <w:pPr>
        <w:pStyle w:val="Cmsor4"/>
      </w:pPr>
      <w:r>
        <w:t>Missing pieces</w:t>
      </w:r>
    </w:p>
    <w:p>
      <w:r>
        <w:t xml:space="preserve">Just because a piece of an inscription has been lost, as in </w:t>
      </w:r>
      <w:r>
        <w:fldChar w:fldCharType="begin"/>
      </w:r>
      <w:r>
        <w:instrText xml:space="preserve"> REF _Ref182834107 \h </w:instrText>
      </w:r>
      <w:r>
        <w:fldChar w:fldCharType="separate"/>
      </w:r>
      <w:r>
        <w:t xml:space="preserve">Exhibit </w:t>
      </w:r>
      <w:r>
        <w:rPr>
          <w:noProof/>
        </w:rPr>
        <w:t>4.7</w:t>
      </w:r>
      <w:r>
        <w:t>.</w:t>
      </w:r>
      <w:r>
        <w:rPr>
          <w:noProof/>
        </w:rPr>
        <w:t>V</w:t>
      </w:r>
      <w:r>
        <w:fldChar w:fldCharType="end"/>
      </w:r>
      <w:r>
        <w:t>, there is no need to encode any kind of partition. As far as encoding is concerned, this is just another kind of lacuna, to be encoded according to §</w:t>
      </w:r>
      <w:r>
        <w:fldChar w:fldCharType="begin"/>
      </w:r>
      <w:r>
        <w:instrText xml:space="preserve"> REF _Ref228460110 \r \h </w:instrText>
      </w:r>
      <w:r>
        <w:fldChar w:fldCharType="separate"/>
      </w:r>
      <w:r>
        <w:t>6.5</w:t>
      </w:r>
      <w:r>
        <w:fldChar w:fldCharType="end"/>
      </w:r>
      <w:r>
        <w:t xml:space="preserve"> (with special considerations for massive lacunae in §</w:t>
      </w:r>
      <w:r>
        <w:fldChar w:fldCharType="begin"/>
      </w:r>
      <w:r>
        <w:instrText xml:space="preserve"> REF _Ref43981711 \r \h </w:instrText>
      </w:r>
      <w:r>
        <w:fldChar w:fldCharType="separate"/>
      </w:r>
      <w:r>
        <w:t>6.5.4</w:t>
      </w:r>
      <w:r>
        <w:fldChar w:fldCharType="end"/>
      </w:r>
      <w:r>
        <w:t xml:space="preserve">). If the lost piece is subsequently recovered and the digital inscription is updated accordingly, then partitions can (optionally) be encoded for the fragments, as in </w:t>
      </w:r>
      <w:r>
        <w:fldChar w:fldCharType="begin"/>
      </w:r>
      <w:r>
        <w:instrText xml:space="preserve"> REF _Ref182834409 \h </w:instrText>
      </w:r>
      <w:r>
        <w:fldChar w:fldCharType="separate"/>
      </w:r>
      <w:r>
        <w:t xml:space="preserve">Exhibit </w:t>
      </w:r>
      <w:r>
        <w:rPr>
          <w:noProof/>
        </w:rPr>
        <w:t>4.7</w:t>
      </w:r>
      <w:r>
        <w:t>.</w:t>
      </w:r>
      <w:r>
        <w:rPr>
          <w:noProof/>
        </w:rPr>
        <w:t>U</w:t>
      </w:r>
      <w:r>
        <w:fldChar w:fldCharType="end"/>
      </w:r>
      <w:r>
        <w:t xml:space="preserve"> above. </w:t>
      </w:r>
    </w:p>
    <w:p>
      <w:pPr>
        <w:pStyle w:val="Normlbehzs"/>
      </w:pPr>
      <w:r>
        <w:t xml:space="preserve">As a logical extension of this approach, if an inscription consists of two or more extant fragments while one or more further fragments are lost, as in </w:t>
      </w:r>
      <w:r>
        <w:fldChar w:fldCharType="begin"/>
      </w:r>
      <w:r>
        <w:instrText xml:space="preserve"> REF _Ref182834408 \h </w:instrText>
      </w:r>
      <w:r>
        <w:fldChar w:fldCharType="separate"/>
      </w:r>
      <w:r>
        <w:t xml:space="preserve">Exhibit </w:t>
      </w:r>
      <w:r>
        <w:rPr>
          <w:noProof/>
        </w:rPr>
        <w:t>4.7</w:t>
      </w:r>
      <w:r>
        <w:t>.</w:t>
      </w:r>
      <w:r>
        <w:rPr>
          <w:noProof/>
        </w:rPr>
        <w:t>W</w:t>
      </w:r>
      <w:r>
        <w:fldChar w:fldCharType="end"/>
      </w:r>
      <w:r>
        <w:t>, then partitions (if they are encoded) should be created only for the extant fragments. Thus:</w:t>
      </w:r>
    </w:p>
    <w:p>
      <w:pPr>
        <w:pStyle w:val="Lista"/>
      </w:pPr>
      <w:r>
        <w:t>the lacunae representing the text belonging to a lost fragment, whether restored or not, shall be encoded as belonging to the adjacent extant fragment</w:t>
      </w:r>
    </w:p>
    <w:p>
      <w:pPr>
        <w:pStyle w:val="Lista2"/>
      </w:pPr>
      <w:r>
        <w:t>if two sides of a lost fragment are adjacent to different extant fragments, arbitrarily pick one of the extant fragments (typically the earlier one) and encode the lacunae as belonging to that fragment</w:t>
      </w:r>
    </w:p>
    <w:p>
      <w:pPr>
        <w:pStyle w:val="Lista"/>
      </w:pPr>
      <w:r>
        <w:t>when the edges of lacunae are partially restored on the basis of the adjacent preserved text, feel free to allocate the restorations to the fragment which serves as the basis for restoration, even if the rest of the lacuna is allocated to another fragment</w:t>
      </w:r>
    </w:p>
    <w:p>
      <w:pPr>
        <w:pStyle w:val="Lista2"/>
      </w:pPr>
      <w:r>
        <w:t>in this case, word interruption (§</w:t>
      </w:r>
      <w:r>
        <w:fldChar w:fldCharType="begin"/>
      </w:r>
      <w:r>
        <w:instrText xml:space="preserve"> REF _Ref225519777 \r \h </w:instrText>
      </w:r>
      <w:r>
        <w:fldChar w:fldCharType="separate"/>
      </w:r>
      <w:r>
        <w:t>4.3.2.1</w:t>
      </w:r>
      <w:r>
        <w:fldChar w:fldCharType="end"/>
      </w:r>
      <w:r>
        <w:t>) shall be encoded on the basis your allocation of the milestone, not on that of the actual location of the fracture; thus,</w:t>
      </w:r>
    </w:p>
    <w:p>
      <w:pPr>
        <w:pStyle w:val="Lista2"/>
      </w:pPr>
      <w:r>
        <w:rPr>
          <w:rStyle w:val="Codeattribute"/>
        </w:rPr>
        <w:t>@break=</w:t>
      </w:r>
      <w:r>
        <w:rPr>
          <w:rStyle w:val="Codevalue"/>
        </w:rPr>
        <w:t>"no"</w:t>
      </w:r>
      <w:r>
        <w:t xml:space="preserve"> is not required when a full word is restored on one side of the milestone</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344" w:name="_Ref182834107"/>
            <w:r>
              <w:lastRenderedPageBreak/>
              <w:t xml:space="preserve">Exhibit </w:t>
            </w:r>
            <w:fldSimple w:instr=" STYLEREF 2 \s ">
              <w:r>
                <w:rPr>
                  <w:noProof/>
                </w:rPr>
                <w:t>4.7</w:t>
              </w:r>
            </w:fldSimple>
            <w:r>
              <w:t>.</w:t>
            </w:r>
            <w:fldSimple w:instr=" SEQ Exhibit \* ALPHABETIC \s 2 ">
              <w:r>
                <w:rPr>
                  <w:noProof/>
                </w:rPr>
                <w:t>V</w:t>
              </w:r>
            </w:fldSimple>
            <w:bookmarkEnd w:id="344"/>
            <w:r>
              <w:t>: inscription with a missing piece</w:t>
            </w:r>
          </w:p>
        </w:tc>
      </w:tr>
      <w:tr>
        <w:tc>
          <w:tcPr>
            <w:tcW w:w="5000" w:type="pct"/>
            <w:vAlign w:val="center"/>
          </w:tcPr>
          <w:p>
            <w:pPr>
              <w:pStyle w:val="Image"/>
              <w:keepLines/>
            </w:pPr>
            <w:r>
              <w:drawing>
                <wp:inline distT="0" distB="0" distL="0" distR="0">
                  <wp:extent cx="5397500" cy="1480820"/>
                  <wp:effectExtent l="0" t="0" r="0" b="5080"/>
                  <wp:docPr id="44"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7500" cy="1480820"/>
                          </a:xfrm>
                          <a:prstGeom prst="rect">
                            <a:avLst/>
                          </a:prstGeom>
                          <a:noFill/>
                          <a:ln>
                            <a:noFill/>
                          </a:ln>
                        </pic:spPr>
                      </pic:pic>
                    </a:graphicData>
                  </a:graphic>
                </wp:inline>
              </w:drawing>
            </w:r>
          </w:p>
        </w:tc>
      </w:tr>
      <w:tr>
        <w:tc>
          <w:tcPr>
            <w:tcW w:w="5000" w:type="pct"/>
          </w:tcPr>
          <w:p>
            <w:pPr>
              <w:pStyle w:val="CodeParagraph"/>
              <w:keepNext/>
              <w:keepLines/>
              <w:rPr>
                <w:rStyle w:val="Code"/>
              </w:rPr>
            </w:pPr>
            <w:r>
              <w:rPr>
                <w:rStyle w:val="Code"/>
              </w:rPr>
              <w:t>&lt;p&gt;</w:t>
            </w:r>
          </w:p>
          <w:p>
            <w:pPr>
              <w:pStyle w:val="CodeParagraph"/>
              <w:keepNext/>
              <w:keepLines/>
              <w:rPr>
                <w:rStyle w:val="Codetext"/>
              </w:rPr>
            </w:pPr>
            <w:r>
              <w:rPr>
                <w:rStyle w:val="Code"/>
              </w:rPr>
              <w:t xml:space="preserve">  &lt;lb </w:t>
            </w:r>
            <w:r>
              <w:rPr>
                <w:rStyle w:val="Codeattribute"/>
              </w:rPr>
              <w:t>n</w:t>
            </w:r>
            <w:r>
              <w:rPr>
                <w:rStyle w:val="Code"/>
              </w:rPr>
              <w:t>=</w:t>
            </w:r>
            <w:r>
              <w:rPr>
                <w:rStyle w:val="Codevalue"/>
              </w:rPr>
              <w:t>"1"</w:t>
            </w:r>
            <w:r>
              <w:rPr>
                <w:rStyle w:val="Code"/>
              </w:rPr>
              <w:t>/&gt;</w:t>
            </w:r>
            <w:r>
              <w:rPr>
                <w:rStyle w:val="Codetext"/>
              </w:rPr>
              <w:t>In a hole in the ground there lived a hobbit. Not a</w:t>
            </w:r>
            <w:r>
              <w:rPr>
                <w:rStyle w:val="Codetext"/>
              </w:rPr>
              <w:br/>
            </w:r>
            <w:r>
              <w:rPr>
                <w:rStyle w:val="Code"/>
              </w:rPr>
              <w:t xml:space="preserve">  &lt;lb </w:t>
            </w:r>
            <w:r>
              <w:rPr>
                <w:rStyle w:val="Codeattribute"/>
              </w:rPr>
              <w:t>n</w:t>
            </w:r>
            <w:r>
              <w:rPr>
                <w:rStyle w:val="Code"/>
              </w:rPr>
              <w:t>=</w:t>
            </w:r>
            <w:r>
              <w:rPr>
                <w:rStyle w:val="Codevalue"/>
              </w:rPr>
              <w:t>"2"</w:t>
            </w:r>
            <w:r>
              <w:rPr>
                <w:rStyle w:val="Code"/>
              </w:rPr>
              <w:t>/&gt;</w:t>
            </w:r>
            <w:r>
              <w:rPr>
                <w:rStyle w:val="Codetext"/>
              </w:rPr>
              <w:t>nasty, dirty, wet hole, filled with the ends of worms</w:t>
            </w:r>
            <w:r>
              <w:rPr>
                <w:rStyle w:val="Codetext"/>
              </w:rPr>
              <w:br/>
            </w:r>
            <w:r>
              <w:rPr>
                <w:rStyle w:val="Code"/>
              </w:rPr>
              <w:t xml:space="preserve">  &lt;lb </w:t>
            </w:r>
            <w:r>
              <w:rPr>
                <w:rStyle w:val="Codeattribute"/>
              </w:rPr>
              <w:t>n</w:t>
            </w:r>
            <w:r>
              <w:rPr>
                <w:rStyle w:val="Code"/>
              </w:rPr>
              <w:t>=</w:t>
            </w:r>
            <w:r>
              <w:rPr>
                <w:rStyle w:val="Codevalue"/>
              </w:rPr>
              <w:t>"3"</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"character"</w:t>
            </w:r>
            <w:r>
              <w:rPr>
                <w:rStyle w:val="Code"/>
              </w:rPr>
              <w:t>/&gt;</w:t>
            </w:r>
            <w:r>
              <w:rPr>
                <w:rStyle w:val="Codetext"/>
              </w:rPr>
              <w:t>an oozy smell, nor yet a dry, bare, sandy hole</w:t>
            </w:r>
            <w:r>
              <w:rPr>
                <w:rStyle w:val="Codetext"/>
              </w:rPr>
              <w:br/>
            </w:r>
            <w:r>
              <w:rPr>
                <w:rStyle w:val="Code"/>
              </w:rPr>
              <w:t xml:space="preserve">  &lt;lb </w:t>
            </w:r>
            <w:r>
              <w:rPr>
                <w:rStyle w:val="Codeattribute"/>
              </w:rPr>
              <w:t>n</w:t>
            </w:r>
            <w:r>
              <w:rPr>
                <w:rStyle w:val="Code"/>
              </w:rPr>
              <w:t>=</w:t>
            </w:r>
            <w:r>
              <w:rPr>
                <w:rStyle w:val="Codevalue"/>
              </w:rPr>
              <w:t>"4"</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"8"</w:t>
            </w:r>
            <w:r>
              <w:rPr>
                <w:rStyle w:val="Code"/>
              </w:rPr>
              <w:t xml:space="preserve"> </w:t>
            </w:r>
            <w:r>
              <w:rPr>
                <w:rStyle w:val="Codeattribute"/>
              </w:rPr>
              <w:t>unit</w:t>
            </w:r>
            <w:r>
              <w:rPr>
                <w:rStyle w:val="Code"/>
              </w:rPr>
              <w:t>=</w:t>
            </w:r>
            <w:r>
              <w:rPr>
                <w:rStyle w:val="Codevalue"/>
              </w:rPr>
              <w:t>"character"</w:t>
            </w:r>
            <w:r>
              <w:rPr>
                <w:rStyle w:val="Code"/>
              </w:rPr>
              <w:t>/&gt;&lt;unclear&gt;h&lt;/unclear&gt;</w:t>
            </w:r>
            <w:r>
              <w:rPr>
                <w:rStyle w:val="Codetext"/>
              </w:rPr>
              <w:t>ing in it to sit down on or to eat: it was a</w:t>
            </w:r>
          </w:p>
          <w:p>
            <w:pPr>
              <w:pStyle w:val="CodeParagraph"/>
              <w:keepNext/>
              <w:keepLines/>
              <w:rPr>
                <w:rStyle w:val="Codetext"/>
              </w:rPr>
            </w:pPr>
            <w:r>
              <w:rPr>
                <w:rStyle w:val="Code"/>
              </w:rPr>
              <w:t xml:space="preserve">  &lt;lb </w:t>
            </w:r>
            <w:r>
              <w:rPr>
                <w:rStyle w:val="Codeattribute"/>
              </w:rPr>
              <w:t>n</w:t>
            </w:r>
            <w:r>
              <w:rPr>
                <w:rStyle w:val="Code"/>
              </w:rPr>
              <w:t>=</w:t>
            </w:r>
            <w:r>
              <w:rPr>
                <w:rStyle w:val="Codevalue"/>
              </w:rPr>
              <w:t>"5"</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"14"</w:t>
            </w:r>
            <w:r>
              <w:rPr>
                <w:rStyle w:val="Code"/>
              </w:rPr>
              <w:t xml:space="preserve"> </w:t>
            </w:r>
            <w:r>
              <w:rPr>
                <w:rStyle w:val="Codeattribute"/>
              </w:rPr>
              <w:t>unit</w:t>
            </w:r>
            <w:r>
              <w:rPr>
                <w:rStyle w:val="Code"/>
              </w:rPr>
              <w:t>=</w:t>
            </w:r>
            <w:r>
              <w:rPr>
                <w:rStyle w:val="Codevalue"/>
              </w:rPr>
              <w:t>"character"</w:t>
            </w:r>
            <w:r>
              <w:rPr>
                <w:rStyle w:val="Code"/>
              </w:rPr>
              <w:t>/&gt;</w:t>
            </w:r>
            <w:r>
              <w:rPr>
                <w:rStyle w:val="Codetext"/>
              </w:rPr>
              <w:t>nd that means comfort.</w:t>
            </w:r>
          </w:p>
          <w:p>
            <w:pPr>
              <w:pStyle w:val="CodeParagraph"/>
              <w:keepNext/>
              <w:keepLines/>
            </w:pPr>
            <w:r>
              <w:rPr>
                <w:rStyle w:val="Code"/>
              </w:rPr>
              <w:t>&lt;/p&gt;</w:t>
            </w:r>
          </w:p>
        </w:tc>
      </w:tr>
    </w:tbl>
    <w:p/>
    <w:tbl>
      <w:tblPr>
        <w:tblStyle w:val="CodeSampleTable"/>
        <w:tblW w:w="0" w:type="auto"/>
        <w:tblLook w:val="04A0" w:firstRow="1" w:lastRow="0" w:firstColumn="1" w:lastColumn="0" w:noHBand="0" w:noVBand="1"/>
      </w:tblPr>
      <w:tblGrid>
        <w:gridCol w:w="9054"/>
      </w:tblGrid>
      <w:tr>
        <w:trPr>
          <w:cnfStyle w:val="100000000000" w:firstRow="1" w:lastRow="0" w:firstColumn="0" w:lastColumn="0" w:oddVBand="0" w:evenVBand="0" w:oddHBand="0" w:evenHBand="0" w:firstRowFirstColumn="0" w:firstRowLastColumn="0" w:lastRowFirstColumn="0" w:lastRowLastColumn="0"/>
        </w:trPr>
        <w:tc>
          <w:tcPr>
            <w:tcW w:w="9054" w:type="dxa"/>
          </w:tcPr>
          <w:p>
            <w:pPr>
              <w:pStyle w:val="Kpalrs"/>
              <w:keepLines/>
            </w:pPr>
            <w:bookmarkStart w:id="345" w:name="_Ref182834408"/>
            <w:r>
              <w:lastRenderedPageBreak/>
              <w:t xml:space="preserve">Exhibit </w:t>
            </w:r>
            <w:fldSimple w:instr=" STYLEREF 2 \s ">
              <w:r>
                <w:rPr>
                  <w:noProof/>
                </w:rPr>
                <w:t>4.7</w:t>
              </w:r>
            </w:fldSimple>
            <w:r>
              <w:t>.</w:t>
            </w:r>
            <w:fldSimple w:instr=" SEQ Exhibit \* ALPHABETIC \s 2 ">
              <w:r>
                <w:rPr>
                  <w:noProof/>
                </w:rPr>
                <w:t>W</w:t>
              </w:r>
            </w:fldSimple>
            <w:bookmarkEnd w:id="345"/>
            <w:r>
              <w:t>: gridlike partitions for contiguous fragments with a missing piece</w:t>
            </w:r>
          </w:p>
        </w:tc>
      </w:tr>
      <w:tr>
        <w:tc>
          <w:tcPr>
            <w:tcW w:w="9054" w:type="dxa"/>
          </w:tcPr>
          <w:p>
            <w:pPr>
              <w:pStyle w:val="Image"/>
              <w:keepLines/>
            </w:pPr>
            <w:r>
              <w:drawing>
                <wp:inline distT="0" distB="0" distL="0" distR="0">
                  <wp:extent cx="5397500" cy="2702560"/>
                  <wp:effectExtent l="0" t="0" r="0" b="2540"/>
                  <wp:docPr id="1032500959"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97500" cy="2702560"/>
                          </a:xfrm>
                          <a:prstGeom prst="rect">
                            <a:avLst/>
                          </a:prstGeom>
                          <a:noFill/>
                          <a:ln>
                            <a:noFill/>
                          </a:ln>
                        </pic:spPr>
                      </pic:pic>
                    </a:graphicData>
                  </a:graphic>
                </wp:inline>
              </w:drawing>
            </w:r>
          </w:p>
        </w:tc>
      </w:tr>
      <w:tr>
        <w:tc>
          <w:tcPr>
            <w:tcW w:w="9054" w:type="dxa"/>
          </w:tcPr>
          <w:p>
            <w:pPr>
              <w:pStyle w:val="TableNote"/>
              <w:keepNext/>
              <w:keepLines/>
            </w:pPr>
            <w:r>
              <w:t>two extant fragments of a slab can be joined, but a smaller fragment is missing</w:t>
            </w:r>
          </w:p>
          <w:p>
            <w:pPr>
              <w:pStyle w:val="TableNote"/>
              <w:keepNext/>
              <w:keepLines/>
            </w:pPr>
            <w:r>
              <w:t>the fragments are optionally encoded as gridlike milestones</w:t>
            </w:r>
          </w:p>
          <w:p>
            <w:pPr>
              <w:pStyle w:val="TableNote"/>
              <w:keepNext/>
              <w:keepLines/>
            </w:pPr>
            <w:r>
              <w:t>the lacunae in the first five lines are arbitrarily allocated to fragment a</w:t>
            </w:r>
          </w:p>
          <w:p>
            <w:pPr>
              <w:pStyle w:val="TableNote"/>
              <w:keepNext/>
              <w:keepLines/>
            </w:pPr>
            <w:r>
              <w:t>restorations of partially lost words are always allocated to the fragment bearing their extant segments</w:t>
            </w:r>
          </w:p>
        </w:tc>
      </w:tr>
      <w:tr>
        <w:tc>
          <w:tcPr>
            <w:tcW w:w="9054" w:type="dxa"/>
          </w:tcPr>
          <w:p>
            <w:pPr>
              <w:pStyle w:val="CodeParagraph"/>
              <w:rPr>
                <w:rStyle w:val="Code"/>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"17"</w:t>
            </w:r>
            <w:r>
              <w:rPr>
                <w:rStyle w:val="Code"/>
              </w:rPr>
              <w:t xml:space="preserve"> </w:t>
            </w:r>
            <w:r>
              <w:rPr>
                <w:rStyle w:val="Codeattribute"/>
              </w:rPr>
              <w:t>unit</w:t>
            </w:r>
            <w:r>
              <w:rPr>
                <w:rStyle w:val="Code"/>
              </w:rPr>
              <w:t>=</w:t>
            </w:r>
            <w:r>
              <w:rPr>
                <w:rStyle w:val="Codevalue"/>
              </w:rPr>
              <w:t>"character"</w:t>
            </w:r>
            <w:r>
              <w:rPr>
                <w:rStyle w:val="Code"/>
              </w:rPr>
              <w:t xml:space="preserve">/&gt; &lt;milestone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 xml:space="preserve">/&gt;&lt;supplied </w:t>
            </w:r>
            <w:r>
              <w:rPr>
                <w:rStyle w:val="Codeattribute"/>
              </w:rPr>
              <w:t>reason</w:t>
            </w:r>
            <w:r>
              <w:rPr>
                <w:rStyle w:val="Code"/>
              </w:rPr>
              <w:t>=</w:t>
            </w:r>
            <w:r>
              <w:rPr>
                <w:rStyle w:val="Codevalue"/>
              </w:rPr>
              <w:t>"lost"</w:t>
            </w:r>
            <w:r>
              <w:rPr>
                <w:rStyle w:val="Code"/>
              </w:rPr>
              <w:t>&gt;</w:t>
            </w:r>
            <w:r>
              <w:rPr>
                <w:rStyle w:val="Codetext"/>
              </w:rPr>
              <w:t>li</w:t>
            </w:r>
            <w:r>
              <w:rPr>
                <w:rStyle w:val="Code"/>
              </w:rPr>
              <w:t>&lt;/supplied&gt;</w:t>
            </w:r>
            <w:r>
              <w:rPr>
                <w:rStyle w:val="Codetext"/>
              </w:rPr>
              <w:t>ved 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nasty, dirty, wet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"14"</w:t>
            </w:r>
            <w:r>
              <w:rPr>
                <w:rStyle w:val="Code"/>
              </w:rPr>
              <w:t xml:space="preserve"> </w:t>
            </w:r>
            <w:r>
              <w:rPr>
                <w:rStyle w:val="Codeattribute"/>
              </w:rPr>
              <w:t>unit</w:t>
            </w:r>
            <w:r>
              <w:rPr>
                <w:rStyle w:val="Code"/>
              </w:rPr>
              <w:t>=</w:t>
            </w:r>
            <w:r>
              <w:rPr>
                <w:rStyle w:val="Codevalue"/>
              </w:rPr>
              <w:t>"character"</w:t>
            </w:r>
            <w:r>
              <w:rPr>
                <w:rStyle w:val="Code"/>
              </w:rPr>
              <w:t xml:space="preserve">/&gt; &lt;milestone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 xml:space="preserve">/&gt;&lt;supplied </w:t>
            </w:r>
            <w:r>
              <w:rPr>
                <w:rStyle w:val="Codeattribute"/>
              </w:rPr>
              <w:t>reason</w:t>
            </w:r>
            <w:r>
              <w:rPr>
                <w:rStyle w:val="Code"/>
              </w:rPr>
              <w:t>=</w:t>
            </w:r>
            <w:r>
              <w:rPr>
                <w:rStyle w:val="Codevalue"/>
              </w:rPr>
              <w:t>"lost"</w:t>
            </w:r>
            <w:r>
              <w:rPr>
                <w:rStyle w:val="Code"/>
              </w:rPr>
              <w:t>&gt;</w:t>
            </w:r>
            <w:r>
              <w:rPr>
                <w:rStyle w:val="Codetext"/>
              </w:rPr>
              <w:t>w</w:t>
            </w:r>
            <w:r>
              <w:rPr>
                <w:rStyle w:val="Code"/>
              </w:rPr>
              <w:t>&lt;/supplied&gt;&lt;unclear&gt;</w:t>
            </w:r>
            <w:r>
              <w:rPr>
                <w:rStyle w:val="Codetext"/>
              </w:rPr>
              <w:t>i</w:t>
            </w:r>
            <w:r>
              <w:rPr>
                <w:rStyle w:val="Code"/>
              </w:rPr>
              <w:t>&lt;/unclear&gt;</w:t>
            </w:r>
            <w:r>
              <w:rPr>
                <w:rStyle w:val="Codetext"/>
              </w:rPr>
              <w:t>th the ends of worms</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and an oozy sme</w:t>
            </w:r>
            <w:r>
              <w:rPr>
                <w:rStyle w:val="Code"/>
              </w:rPr>
              <w:t>&lt;unclear&gt;</w:t>
            </w:r>
            <w:r>
              <w:rPr>
                <w:rStyle w:val="Codetext"/>
              </w:rPr>
              <w:t>ll</w:t>
            </w:r>
            <w:r>
              <w:rPr>
                <w:rStyle w:val="Code"/>
              </w:rPr>
              <w:t xml:space="preserve">&lt;/unclear&gt; &lt;gap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"10"</w:t>
            </w:r>
            <w:r>
              <w:rPr>
                <w:rStyle w:val="Code"/>
              </w:rPr>
              <w:t xml:space="preserve"> </w:t>
            </w:r>
            <w:r>
              <w:rPr>
                <w:rStyle w:val="Codeattribute"/>
              </w:rPr>
              <w:t>unit</w:t>
            </w:r>
            <w:r>
              <w:rPr>
                <w:rStyle w:val="Code"/>
              </w:rPr>
              <w:t>=</w:t>
            </w:r>
            <w:r>
              <w:rPr>
                <w:rStyle w:val="Codevalue"/>
              </w:rPr>
              <w:t>"character"</w:t>
            </w:r>
            <w:r>
              <w:rPr>
                <w:rStyle w:val="Code"/>
              </w:rPr>
              <w:t xml:space="preserve">/&gt; &lt;milestone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a dry, bare, sandy hole</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with nothing in it </w:t>
            </w:r>
            <w:r>
              <w:rPr>
                <w:rStyle w:val="Code"/>
              </w:rPr>
              <w:t>&lt;unclear&gt;</w:t>
            </w:r>
            <w:r>
              <w:rPr>
                <w:rStyle w:val="Codetext"/>
              </w:rPr>
              <w:t>t</w:t>
            </w:r>
            <w:r>
              <w:rPr>
                <w:rStyle w:val="Code"/>
              </w:rPr>
              <w:t xml:space="preserve">&lt;/unclear&gt;&lt;gap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"6"</w:t>
            </w:r>
            <w:r>
              <w:rPr>
                <w:rStyle w:val="Code"/>
              </w:rPr>
              <w:t xml:space="preserve"> </w:t>
            </w:r>
            <w:r>
              <w:rPr>
                <w:rStyle w:val="Codeattribute"/>
              </w:rPr>
              <w:t>unit</w:t>
            </w:r>
            <w:r>
              <w:rPr>
                <w:rStyle w:val="Code"/>
              </w:rPr>
              <w:t>=</w:t>
            </w:r>
            <w:r>
              <w:rPr>
                <w:rStyle w:val="Codevalue"/>
              </w:rPr>
              <w:t>"character"</w:t>
            </w:r>
            <w:r>
              <w:rPr>
                <w:rStyle w:val="Code"/>
              </w:rPr>
              <w:t xml:space="preserve">/&gt; &lt;milestone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down on or to eat: it was a</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hobbit-hole, and th</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at</w:t>
            </w:r>
            <w:r>
              <w:rPr>
                <w:rStyle w:val="Code"/>
              </w:rPr>
              <w:t>&lt;/supplied&gt;</w:t>
            </w:r>
            <w:r>
              <w:rPr>
                <w:rStyle w:val="Codetext"/>
              </w:rPr>
              <w:t xml:space="preserve">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means comfort. It had a  </w:t>
            </w:r>
            <w:r>
              <w:rPr>
                <w:rStyle w:val="Codetext"/>
              </w:rPr>
              <w:br/>
              <w:t xml:space="preserve">  </w:t>
            </w:r>
            <w:r>
              <w:rPr>
                <w:rStyle w:val="Code"/>
              </w:rPr>
              <w:t xml:space="preserve">&lt;lb </w:t>
            </w:r>
            <w:r>
              <w:rPr>
                <w:rStyle w:val="Codeattribute"/>
              </w:rPr>
              <w:t>n</w:t>
            </w:r>
            <w:r>
              <w:rPr>
                <w:rStyle w:val="Code"/>
              </w:rPr>
              <w:t>=</w:t>
            </w:r>
            <w:r>
              <w:rPr>
                <w:rStyle w:val="Codevalue"/>
              </w:rPr>
              <w:t>"6"</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perfectly round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/&gt;&lt;unclear&gt;</w:t>
            </w:r>
            <w:r>
              <w:rPr>
                <w:rStyle w:val="Codetext"/>
              </w:rPr>
              <w:t>d</w:t>
            </w:r>
            <w:r>
              <w:rPr>
                <w:rStyle w:val="Code"/>
              </w:rPr>
              <w:t>&lt;/unclear&gt;</w:t>
            </w:r>
            <w:r>
              <w:rPr>
                <w:rStyle w:val="Codetext"/>
              </w:rPr>
              <w:t xml:space="preserve">oor like a porthole, painted green,  </w:t>
            </w:r>
            <w:r>
              <w:rPr>
                <w:rStyle w:val="Codetext"/>
              </w:rPr>
              <w:br/>
              <w:t xml:space="preserve">  </w:t>
            </w:r>
            <w:r>
              <w:rPr>
                <w:rStyle w:val="Code"/>
              </w:rPr>
              <w:t xml:space="preserve">&lt;lb </w:t>
            </w:r>
            <w:r>
              <w:rPr>
                <w:rStyle w:val="Codeattribute"/>
              </w:rPr>
              <w:t>n</w:t>
            </w:r>
            <w:r>
              <w:rPr>
                <w:rStyle w:val="Code"/>
              </w:rPr>
              <w:t>=</w:t>
            </w:r>
            <w:r>
              <w:rPr>
                <w:rStyle w:val="Codevalue"/>
              </w:rPr>
              <w:t>"7"</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with a shiny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yellow brass knob in the exact middle.</w:t>
            </w:r>
            <w:r>
              <w:rPr>
                <w:rStyle w:val="Codetext"/>
              </w:rPr>
              <w:br/>
              <w:t xml:space="preserve">  </w:t>
            </w:r>
            <w:r>
              <w:rPr>
                <w:rStyle w:val="Code"/>
              </w:rPr>
              <w:t xml:space="preserve">&lt;lb </w:t>
            </w:r>
            <w:r>
              <w:rPr>
                <w:rStyle w:val="Codeattribute"/>
              </w:rPr>
              <w:t>n</w:t>
            </w:r>
            <w:r>
              <w:rPr>
                <w:rStyle w:val="Code"/>
              </w:rPr>
              <w:t>=</w:t>
            </w:r>
            <w:r>
              <w:rPr>
                <w:rStyle w:val="Codevalue"/>
              </w:rPr>
              <w:t>"8"</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The door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opened on to a tube-shaped hall like a</w:t>
            </w:r>
            <w:r>
              <w:rPr>
                <w:rStyle w:val="Codetext"/>
              </w:rPr>
              <w:br/>
              <w:t xml:space="preserve">  </w:t>
            </w:r>
            <w:r>
              <w:rPr>
                <w:rStyle w:val="Code"/>
              </w:rPr>
              <w:t xml:space="preserve">&lt;lb </w:t>
            </w:r>
            <w:r>
              <w:rPr>
                <w:rStyle w:val="Codeattribute"/>
              </w:rPr>
              <w:t>n</w:t>
            </w:r>
            <w:r>
              <w:rPr>
                <w:rStyle w:val="Code"/>
              </w:rPr>
              <w:t>=</w:t>
            </w:r>
            <w:r>
              <w:rPr>
                <w:rStyle w:val="Codevalue"/>
              </w:rPr>
              <w:t>"9"</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tunne</w:t>
            </w:r>
            <w:r>
              <w:rPr>
                <w:rStyle w:val="Code"/>
              </w:rPr>
              <w:t>&lt;unclear&gt;</w:t>
            </w:r>
            <w:r>
              <w:rPr>
                <w:rStyle w:val="Codetext"/>
              </w:rPr>
              <w:t>l</w:t>
            </w:r>
            <w:r>
              <w:rPr>
                <w:rStyle w:val="Code"/>
              </w:rPr>
              <w:t xml:space="preserve">&lt;/unclear&gt;&lt;supplied </w:t>
            </w:r>
            <w:r>
              <w:rPr>
                <w:rStyle w:val="Codeattribute"/>
              </w:rPr>
              <w:t>reason</w:t>
            </w:r>
            <w:r>
              <w:rPr>
                <w:rStyle w:val="Code"/>
              </w:rPr>
              <w:t>=</w:t>
            </w:r>
            <w:r>
              <w:rPr>
                <w:rStyle w:val="Codevalue"/>
              </w:rPr>
              <w:t>"lost"</w:t>
            </w:r>
            <w:r>
              <w:rPr>
                <w:rStyle w:val="Code"/>
              </w:rPr>
              <w:t xml:space="preserve"> </w:t>
            </w:r>
            <w:r>
              <w:rPr>
                <w:rStyle w:val="Codeattribute"/>
              </w:rPr>
              <w:t>cert</w:t>
            </w:r>
            <w:r>
              <w:rPr>
                <w:rStyle w:val="Code"/>
              </w:rPr>
              <w:t>=</w:t>
            </w:r>
            <w:r>
              <w:rPr>
                <w:rStyle w:val="Codevalue"/>
              </w:rPr>
              <w:t>"low"</w:t>
            </w:r>
            <w:r>
              <w:rPr>
                <w:rStyle w:val="Code"/>
              </w:rPr>
              <w:t>&gt;</w:t>
            </w:r>
            <w:r>
              <w:rPr>
                <w:rStyle w:val="Codetext"/>
              </w:rPr>
              <w:t>:</w:t>
            </w:r>
            <w:r>
              <w:rPr>
                <w:rStyle w:val="Code"/>
              </w:rPr>
              <w:t>&lt;/supplied&gt;</w:t>
            </w:r>
            <w:r>
              <w:rPr>
                <w:rStyle w:val="Codetext"/>
              </w:rPr>
              <w:t xml:space="preserve">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a very comfortable tunnel without smoke.</w:t>
            </w:r>
            <w:r>
              <w:rPr>
                <w:rStyle w:val="Codetext"/>
              </w:rPr>
              <w:br/>
            </w:r>
            <w:r>
              <w:rPr>
                <w:rStyle w:val="Code"/>
              </w:rPr>
              <w:t>&lt;/p&gt;</w:t>
            </w:r>
          </w:p>
        </w:tc>
      </w:tr>
    </w:tbl>
    <w:p>
      <w:pPr>
        <w:pStyle w:val="Cmsor4"/>
      </w:pPr>
      <w:bookmarkStart w:id="346" w:name="_Ref182836682"/>
      <w:bookmarkEnd w:id="337"/>
      <w:r>
        <w:t>Features splitting an inscription horizontally</w:t>
      </w:r>
      <w:bookmarkEnd w:id="346"/>
    </w:p>
    <w:p>
      <w:r>
        <w:t xml:space="preserve">A fracture or other three-dimensional feature of the support may split an inscription horizontally, i.e. along the lines of the text, as in </w:t>
      </w:r>
      <w:r>
        <w:fldChar w:fldCharType="begin"/>
      </w:r>
      <w:r>
        <w:instrText xml:space="preserve"> REF _Ref182822467 \h </w:instrText>
      </w:r>
      <w:r>
        <w:fldChar w:fldCharType="separate"/>
      </w:r>
      <w:r>
        <w:t xml:space="preserve">Exhibit </w:t>
      </w:r>
      <w:r>
        <w:rPr>
          <w:noProof/>
        </w:rPr>
        <w:t>4.7</w:t>
      </w:r>
      <w:r>
        <w:t>.</w:t>
      </w:r>
      <w:r>
        <w:rPr>
          <w:noProof/>
        </w:rPr>
        <w:t>X</w:t>
      </w:r>
      <w:r>
        <w:fldChar w:fldCharType="end"/>
      </w:r>
      <w:r>
        <w:t>. Encoding such a feature is optional, and the considerations in §</w:t>
      </w:r>
      <w:r>
        <w:fldChar w:fldCharType="begin"/>
      </w:r>
      <w:r>
        <w:instrText xml:space="preserve"> REF _Ref182322267 \r \h </w:instrText>
      </w:r>
      <w:r>
        <w:fldChar w:fldCharType="separate"/>
      </w:r>
      <w:r>
        <w:t>4.7.5</w:t>
      </w:r>
      <w:r>
        <w:fldChar w:fldCharType="end"/>
      </w:r>
      <w:r>
        <w:t xml:space="preserve"> continue to apply. However, encoding it as a gridlike partition would not be practicable, since each cell of a grid is understood to be part of a line (§</w:t>
      </w:r>
      <w:r>
        <w:fldChar w:fldCharType="begin"/>
      </w:r>
      <w:r>
        <w:instrText xml:space="preserve"> REF _Ref182923075 \r \h </w:instrText>
      </w:r>
      <w:r>
        <w:fldChar w:fldCharType="separate"/>
      </w:r>
      <w:r>
        <w:t>4.1</w:t>
      </w:r>
      <w:r>
        <w:fldChar w:fldCharType="end"/>
      </w:r>
      <w:r>
        <w:t>), while here the partition is on a higher level of the extrinsic hierarchy, with full lines belonging to each fragment. Therefore, if encoding is desired, such a feature is to be treated as a pagelike partition.</w:t>
      </w:r>
    </w:p>
    <w:p>
      <w:pPr>
        <w:pStyle w:val="Lista"/>
      </w:pPr>
      <w:r>
        <w:t>if a fracture or other feature splits an epigraphic line horizontally or nearly horizontally, so that there are parts of that line’s text on both sides of the feature, then assign the entire line arbitrarily to one side of the feature or the other (see also §</w:t>
      </w:r>
      <w:r>
        <w:fldChar w:fldCharType="begin"/>
      </w:r>
      <w:r>
        <w:instrText xml:space="preserve"> REF _Ref182813737 \r \h </w:instrText>
      </w:r>
      <w:r>
        <w:fldChar w:fldCharType="separate"/>
      </w:r>
      <w:r>
        <w:t>4.7.6.1</w:t>
      </w:r>
      <w:r>
        <w:fldChar w:fldCharType="end"/>
      </w:r>
      <w:r>
        <w:t>)</w:t>
      </w:r>
    </w:p>
    <w:p>
      <w:pPr>
        <w:pStyle w:val="Lista"/>
      </w:pPr>
      <w:r>
        <w:lastRenderedPageBreak/>
        <w:t>even if a small number of characters in the affected line are wholly on one side of the feature, you are free to choose this encoding in preference to using numerous gridlike milestones in that line</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347" w:name="_Ref182822467"/>
            <w:r>
              <w:t xml:space="preserve">Exhibit </w:t>
            </w:r>
            <w:fldSimple w:instr=" STYLEREF 2 \s ">
              <w:r>
                <w:rPr>
                  <w:noProof/>
                </w:rPr>
                <w:t>4.7</w:t>
              </w:r>
            </w:fldSimple>
            <w:r>
              <w:t>.</w:t>
            </w:r>
            <w:fldSimple w:instr=" SEQ Exhibit \* ALPHABETIC \s 2 ">
              <w:r>
                <w:rPr>
                  <w:noProof/>
                </w:rPr>
                <w:t>X</w:t>
              </w:r>
            </w:fldSimple>
            <w:bookmarkEnd w:id="347"/>
            <w:r>
              <w:t>: pagelike partition for a horizontal fracture</w:t>
            </w:r>
          </w:p>
        </w:tc>
      </w:tr>
      <w:tr>
        <w:tc>
          <w:tcPr>
            <w:tcW w:w="5000" w:type="pct"/>
          </w:tcPr>
          <w:p>
            <w:pPr>
              <w:pStyle w:val="Image"/>
              <w:keepLines/>
            </w:pPr>
            <w:r>
              <w:drawing>
                <wp:inline distT="0" distB="0" distL="0" distR="0">
                  <wp:extent cx="5397500" cy="1480820"/>
                  <wp:effectExtent l="0" t="0" r="0" b="5080"/>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7500" cy="1480820"/>
                          </a:xfrm>
                          <a:prstGeom prst="rect">
                            <a:avLst/>
                          </a:prstGeom>
                          <a:noFill/>
                          <a:ln>
                            <a:noFill/>
                          </a:ln>
                        </pic:spPr>
                      </pic:pic>
                    </a:graphicData>
                  </a:graphic>
                </wp:inline>
              </w:drawing>
            </w:r>
          </w:p>
        </w:tc>
      </w:tr>
      <w:tr>
        <w:tc>
          <w:tcPr>
            <w:tcW w:w="5000" w:type="pct"/>
          </w:tcPr>
          <w:p>
            <w:pPr>
              <w:pStyle w:val="CodeParagraph"/>
              <w:keepNext/>
              <w:rPr>
                <w:rStyle w:val="Code"/>
              </w:rPr>
            </w:pPr>
            <w:r>
              <w:rPr>
                <w:rStyle w:val="Code"/>
              </w:rPr>
              <w:t>&lt;p&gt;</w:t>
            </w:r>
          </w:p>
          <w:p>
            <w:pPr>
              <w:pStyle w:val="CodeParagraph"/>
              <w:keepNext/>
              <w:rPr>
                <w:rStyle w:val="Code"/>
              </w:rPr>
            </w:pPr>
            <w:r>
              <w:rPr>
                <w:rStyle w:val="Code"/>
              </w:rPr>
              <w:t xml:space="preserve">  &lt;milestone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p>
          <w:p>
            <w:pPr>
              <w:pStyle w:val="CodeParagraph"/>
              <w:keepNext/>
              <w:rPr>
                <w:rStyle w:val="Code"/>
              </w:rPr>
            </w:pPr>
            <w:r>
              <w:rPr>
                <w:rStyle w:val="Code"/>
              </w:rPr>
              <w:t xml:space="preserve">  &lt;lb </w:t>
            </w:r>
            <w:r>
              <w:rPr>
                <w:rStyle w:val="Codeattribute"/>
              </w:rPr>
              <w:t>n</w:t>
            </w:r>
            <w:r>
              <w:rPr>
                <w:rStyle w:val="Code"/>
              </w:rPr>
              <w:t>=</w:t>
            </w:r>
            <w:r>
              <w:rPr>
                <w:rStyle w:val="Codevalue"/>
              </w:rPr>
              <w:t>"1"</w:t>
            </w:r>
            <w:r>
              <w:rPr>
                <w:rStyle w:val="Code"/>
              </w:rPr>
              <w:t>/&gt;</w:t>
            </w:r>
            <w:r>
              <w:rPr>
                <w:rStyle w:val="Codetext"/>
              </w:rPr>
              <w:t>In a hole in the ground there lived a hobbit. Not a</w:t>
            </w:r>
            <w:r>
              <w:rPr>
                <w:rStyle w:val="Codetext"/>
              </w:rPr>
              <w:br/>
            </w:r>
            <w:r>
              <w:rPr>
                <w:rStyle w:val="Code"/>
              </w:rPr>
              <w:t xml:space="preserve">  &lt;lb </w:t>
            </w:r>
            <w:r>
              <w:rPr>
                <w:rStyle w:val="Codeattribute"/>
              </w:rPr>
              <w:t>n</w:t>
            </w:r>
            <w:r>
              <w:rPr>
                <w:rStyle w:val="Code"/>
              </w:rPr>
              <w:t>=</w:t>
            </w:r>
            <w:r>
              <w:rPr>
                <w:rStyle w:val="Codevalue"/>
              </w:rPr>
              <w:t>"2"</w:t>
            </w:r>
            <w:r>
              <w:rPr>
                <w:rStyle w:val="Code"/>
              </w:rPr>
              <w:t>/&gt;</w:t>
            </w:r>
            <w:r>
              <w:rPr>
                <w:rStyle w:val="Codetext"/>
              </w:rPr>
              <w:t>nasty, dirty, wet hole, filled with the ends of worms</w:t>
            </w:r>
            <w:r>
              <w:rPr>
                <w:rStyle w:val="Codetext"/>
              </w:rPr>
              <w:br/>
            </w:r>
            <w:r>
              <w:rPr>
                <w:rStyle w:val="Code"/>
              </w:rPr>
              <w:t xml:space="preserve">  &lt;lb </w:t>
            </w:r>
            <w:r>
              <w:rPr>
                <w:rStyle w:val="Codeattribute"/>
              </w:rPr>
              <w:t>n</w:t>
            </w:r>
            <w:r>
              <w:rPr>
                <w:rStyle w:val="Code"/>
              </w:rPr>
              <w:t>=</w:t>
            </w:r>
            <w:r>
              <w:rPr>
                <w:rStyle w:val="Codevalue"/>
              </w:rPr>
              <w:t>"3"</w:t>
            </w:r>
            <w:r>
              <w:rPr>
                <w:rStyle w:val="Code"/>
              </w:rPr>
              <w:t>/&gt;</w:t>
            </w:r>
            <w:r>
              <w:rPr>
                <w:rStyle w:val="Codetext"/>
              </w:rPr>
              <w:t>and an oozy smell, nor yet a dry, bare, sandy hole</w:t>
            </w:r>
            <w:r>
              <w:rPr>
                <w:rStyle w:val="Codetext"/>
              </w:rPr>
              <w:br/>
            </w:r>
            <w:r>
              <w:rPr>
                <w:rStyle w:val="Code"/>
              </w:rPr>
              <w:t xml:space="preserve">  &lt;milestone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p>
          <w:p>
            <w:pPr>
              <w:pStyle w:val="CodeParagraph"/>
              <w:keepNext/>
              <w:rPr>
                <w:rStyle w:val="Codetext"/>
              </w:rPr>
            </w:pPr>
            <w:r>
              <w:rPr>
                <w:rStyle w:val="Code"/>
              </w:rPr>
              <w:t xml:space="preserve">  &lt;lb </w:t>
            </w:r>
            <w:r>
              <w:rPr>
                <w:rStyle w:val="Codeattribute"/>
              </w:rPr>
              <w:t>n</w:t>
            </w:r>
            <w:r>
              <w:rPr>
                <w:rStyle w:val="Code"/>
              </w:rPr>
              <w:t>=</w:t>
            </w:r>
            <w:r>
              <w:rPr>
                <w:rStyle w:val="Codevalue"/>
              </w:rPr>
              <w:t>"4"</w:t>
            </w:r>
            <w:r>
              <w:rPr>
                <w:rStyle w:val="Code"/>
              </w:rPr>
              <w:t>/&gt;</w:t>
            </w:r>
            <w:r>
              <w:rPr>
                <w:rStyle w:val="Codetext"/>
              </w:rPr>
              <w:t>with not</w:t>
            </w:r>
            <w:r>
              <w:rPr>
                <w:rStyle w:val="Code"/>
              </w:rPr>
              <w:t>h</w:t>
            </w:r>
            <w:r>
              <w:rPr>
                <w:rStyle w:val="Codetext"/>
              </w:rPr>
              <w:t>ing in it to sit down on or to eat: it was a</w:t>
            </w:r>
          </w:p>
          <w:p>
            <w:pPr>
              <w:pStyle w:val="CodeParagraph"/>
              <w:keepNext/>
              <w:rPr>
                <w:rStyle w:val="Codetext"/>
              </w:rPr>
            </w:pPr>
            <w:r>
              <w:rPr>
                <w:rStyle w:val="Code"/>
              </w:rPr>
              <w:t xml:space="preserve">  &lt;lb </w:t>
            </w:r>
            <w:r>
              <w:rPr>
                <w:rStyle w:val="Codeattribute"/>
              </w:rPr>
              <w:t>n</w:t>
            </w:r>
            <w:r>
              <w:rPr>
                <w:rStyle w:val="Code"/>
              </w:rPr>
              <w:t>=</w:t>
            </w:r>
            <w:r>
              <w:rPr>
                <w:rStyle w:val="Codevalue"/>
              </w:rPr>
              <w:t>"5"</w:t>
            </w:r>
            <w:r>
              <w:rPr>
                <w:rStyle w:val="Code"/>
              </w:rPr>
              <w:t>/&gt;</w:t>
            </w:r>
            <w:r>
              <w:rPr>
                <w:rStyle w:val="Codetext"/>
              </w:rPr>
              <w:t xml:space="preserve">hobbit-hole, </w:t>
            </w:r>
            <w:r>
              <w:rPr>
                <w:rStyle w:val="Code"/>
              </w:rPr>
              <w:t>a&lt;</w:t>
            </w:r>
            <w:r>
              <w:rPr>
                <w:rStyle w:val="Codetext"/>
              </w:rPr>
              <w:t>nd that means comfort.</w:t>
            </w:r>
          </w:p>
          <w:p>
            <w:pPr>
              <w:pStyle w:val="CodeParagraph"/>
              <w:rPr>
                <w:rStyle w:val="Code"/>
              </w:rPr>
            </w:pPr>
            <w:r>
              <w:rPr>
                <w:rStyle w:val="Code"/>
              </w:rPr>
              <w:t>&lt;/p&gt;</w:t>
            </w:r>
          </w:p>
        </w:tc>
      </w:tr>
    </w:tbl>
    <w:p>
      <w:pPr>
        <w:pStyle w:val="Cmsor1"/>
      </w:pPr>
      <w:bookmarkStart w:id="348" w:name="_Ref232171176"/>
      <w:r>
        <w:lastRenderedPageBreak/>
        <w:t>The received text</w:t>
      </w:r>
      <w:bookmarkEnd w:id="281"/>
      <w:bookmarkEnd w:id="348"/>
    </w:p>
    <w:p>
      <w:pPr>
        <w:pStyle w:val="Cmsor2"/>
      </w:pPr>
      <w:bookmarkStart w:id="349" w:name="_2wkl86mjw6p2" w:colFirst="0" w:colLast="0"/>
      <w:bookmarkEnd w:id="349"/>
      <w:r>
        <w:t>Phonographic graphemes</w:t>
      </w:r>
    </w:p>
    <w:p>
      <w:r>
        <w:t>Phonographic graphemes do not, as a rule, need markup on their own: they, including several special glyph forms, are handled through transliteration alone as per TG §4. Occasionally, a phonographic glyph is employed in a different function, which is to be handled according to §</w:t>
      </w:r>
      <w:r>
        <w:fldChar w:fldCharType="begin"/>
      </w:r>
      <w:r>
        <w:instrText xml:space="preserve"> REF _Ref226033790 \r \h </w:instrText>
      </w:r>
      <w:r>
        <w:fldChar w:fldCharType="separate"/>
      </w:r>
      <w:r>
        <w:t>5.1.5</w:t>
      </w:r>
      <w:r>
        <w:fldChar w:fldCharType="end"/>
      </w:r>
      <w:r>
        <w:t>. This section concerns additional encoding methods that may in some circumstances be applicable to phonographic graphemes or their parts.</w:t>
      </w:r>
    </w:p>
    <w:p>
      <w:pPr>
        <w:pStyle w:val="Cmsor3"/>
      </w:pPr>
      <w:bookmarkStart w:id="350" w:name="_83o605fngw18" w:colFirst="0" w:colLast="0"/>
      <w:bookmarkStart w:id="351" w:name="_Ref43987221"/>
      <w:bookmarkStart w:id="352" w:name="_Toc242976618"/>
      <w:bookmarkEnd w:id="350"/>
      <w:r>
        <w:t xml:space="preserve">Tagging target graphemes as one </w:t>
      </w:r>
      <w:r>
        <w:rPr>
          <w:rStyle w:val="Foreign"/>
        </w:rPr>
        <w:t>akṣara</w:t>
      </w:r>
      <w:bookmarkEnd w:id="351"/>
      <w:bookmarkEnd w:id="352"/>
    </w:p>
    <w:p>
      <w:pPr>
        <w:rPr>
          <w:lang w:eastAsia="en-US" w:bidi="ar-SA"/>
        </w:rPr>
      </w:pPr>
      <w:r>
        <w:rPr>
          <w:lang w:eastAsia="en-US" w:bidi="ar-SA"/>
        </w:rPr>
        <w:t xml:space="preserve">As per TG §3.3.2.1, in transliteration we employ the = (equals) sign as optional shorthand in the role of a character joiner, for use between two target graphemes that are manifested in the source as parts of a single complex glyph </w:t>
      </w:r>
      <w:r>
        <w:rPr>
          <w:noProof/>
          <w:lang w:eastAsia="en-US" w:bidi="ar-SA"/>
        </w:rPr>
        <w:t xml:space="preserve">(TG </w:t>
      </w:r>
      <w:r>
        <w:rPr>
          <w:lang w:eastAsia="en-US" w:bidi="ar-SA"/>
        </w:rPr>
        <w:t xml:space="preserve">§2.4.3), when these would normally manifest as </w:t>
      </w:r>
      <w:r>
        <w:rPr>
          <w:noProof/>
          <w:lang w:eastAsia="en-US" w:bidi="ar-SA"/>
        </w:rPr>
        <w:t>(</w:t>
      </w:r>
      <w:r>
        <w:rPr>
          <w:lang w:eastAsia="en-US" w:bidi="ar-SA"/>
        </w:rPr>
        <w:t>components of) separate glyphs according to the general rules of the Indic writing system. In any situation where you use the = sign according to the TG’s recommendations, as well as in any other situations where you feel it is useful to demarcate a string of target graphemes as belonging to a single glyph in the source, the following XML markup may be used. This encoding is optional, and it may be used either in addition to or instead of the shorthand involving the = sign.</w:t>
      </w:r>
    </w:p>
    <w:p>
      <w:pPr>
        <w:pStyle w:val="Lista"/>
      </w:pPr>
      <w:r>
        <w:t xml:space="preserve">to tag any string of transliterated graphemes as belonging to a single glyph in the source writing system, wrap these graphemes in the element </w:t>
      </w:r>
      <w:r>
        <w:rPr>
          <w:rStyle w:val="Code"/>
        </w:rPr>
        <w:t xml:space="preserve">&lt;seg </w:t>
      </w:r>
      <w:r>
        <w:rPr>
          <w:rStyle w:val="Codeattribute"/>
        </w:rPr>
        <w:t>type</w:t>
      </w:r>
      <w:r>
        <w:rPr>
          <w:rStyle w:val="Code"/>
        </w:rPr>
        <w:t>=</w:t>
      </w:r>
      <w:r>
        <w:rPr>
          <w:rStyle w:val="Codevalue"/>
        </w:rPr>
        <w:t>"aksara"</w:t>
      </w:r>
      <w:r>
        <w:rPr>
          <w:rStyle w:val="Code"/>
        </w:rPr>
        <w:t>&gt;</w:t>
      </w:r>
      <w:r>
        <w:t xml:space="preserve">, for example as in </w:t>
      </w:r>
      <w:r>
        <w:fldChar w:fldCharType="begin"/>
      </w:r>
      <w:r>
        <w:instrText xml:space="preserve"> REF _Ref225935843 \h </w:instrText>
      </w:r>
      <w:r>
        <w:fldChar w:fldCharType="separate"/>
      </w:r>
      <w:r>
        <w:t xml:space="preserve">Exhibit </w:t>
      </w:r>
      <w:r>
        <w:rPr>
          <w:noProof/>
        </w:rPr>
        <w:t>5.1</w:t>
      </w:r>
      <w:r>
        <w:t>.</w:t>
      </w:r>
      <w:r>
        <w:rPr>
          <w:noProof/>
        </w:rPr>
        <w:t>A</w:t>
      </w:r>
      <w:r>
        <w:fldChar w:fldCharType="end"/>
      </w:r>
    </w:p>
    <w:p>
      <w:pPr>
        <w:pStyle w:val="Lista4"/>
      </w:pPr>
      <w:r>
        <w:t xml:space="preserve">1: an </w:t>
      </w:r>
      <w:r>
        <w:rPr>
          <w:rStyle w:val="Foreign"/>
        </w:rPr>
        <w:t>akṣara</w:t>
      </w:r>
      <w:r>
        <w:t xml:space="preserve"> with two vowel markers, </w:t>
      </w:r>
      <w:r>
        <w:rPr>
          <w:rStyle w:val="Foreign"/>
        </w:rPr>
        <w:t>du=ā</w:t>
      </w:r>
    </w:p>
    <w:p>
      <w:pPr>
        <w:pStyle w:val="Lista4"/>
      </w:pPr>
      <w:r>
        <w:t>2: a ligature in Tamil (</w:t>
      </w:r>
      <w:r>
        <w:rPr>
          <w:rStyle w:val="Foreign"/>
        </w:rPr>
        <w:t>k=ka</w:t>
      </w:r>
      <w:r>
        <w:t xml:space="preserve">), as distinct from both </w:t>
      </w:r>
      <w:r>
        <w:rPr>
          <w:rStyle w:val="Foreign"/>
        </w:rPr>
        <w:t>kka</w:t>
      </w:r>
      <w:r>
        <w:t xml:space="preserve"> </w:t>
      </w:r>
      <w:r>
        <w:rPr>
          <w:noProof/>
        </w:rPr>
        <w:t>(</w:t>
      </w:r>
      <w:r>
        <w:t xml:space="preserve">with an implicit vowel killer) and </w:t>
      </w:r>
      <w:r>
        <w:rPr>
          <w:rStyle w:val="Foreign"/>
        </w:rPr>
        <w:t>k·ka</w:t>
      </w:r>
      <w:r>
        <w:t xml:space="preserve"> </w:t>
      </w:r>
      <w:r>
        <w:rPr>
          <w:noProof/>
        </w:rPr>
        <w:t>(</w:t>
      </w:r>
      <w:r>
        <w:t>with an explicit vowel killer)</w:t>
      </w:r>
    </w:p>
    <w:p>
      <w:pPr>
        <w:pStyle w:val="Lista4"/>
      </w:pPr>
      <w:r>
        <w:t xml:space="preserve">3: a combining </w:t>
      </w:r>
      <w:r>
        <w:rPr>
          <w:rStyle w:val="Foreign"/>
        </w:rPr>
        <w:t>upadhmānīya</w:t>
      </w:r>
      <w:r>
        <w:t xml:space="preserve"> (in </w:t>
      </w:r>
      <w:r>
        <w:rPr>
          <w:rStyle w:val="Foreign"/>
        </w:rPr>
        <w:t>ḫ=pu</w:t>
      </w:r>
      <w:r>
        <w:t xml:space="preserve">), to distinguish it from an inline </w:t>
      </w:r>
      <w:r>
        <w:rPr>
          <w:rStyle w:val="Foreign"/>
        </w:rPr>
        <w:t>upadhmānīya</w:t>
      </w:r>
    </w:p>
    <w:p>
      <w:pPr>
        <w:pStyle w:val="Lista"/>
      </w:pPr>
      <w:r>
        <w:t>editorial spaces and hyphens may freely appear within this element wherever necessary</w:t>
      </w:r>
    </w:p>
    <w:p>
      <w:pPr>
        <w:pStyle w:val="Lista2"/>
      </w:pPr>
      <w:r>
        <w:t xml:space="preserve">thus, if a word or compound boundary occurs within such an </w:t>
      </w:r>
      <w:r>
        <w:rPr>
          <w:rStyle w:val="Foreign"/>
        </w:rPr>
        <w:t>akṣara</w:t>
      </w:r>
      <w:r>
        <w:t>, encode respectively e.g.</w:t>
      </w:r>
    </w:p>
    <w:p>
      <w:pPr>
        <w:pStyle w:val="Lista3"/>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k ka</w:t>
      </w:r>
      <w:r>
        <w:rPr>
          <w:rStyle w:val="Code"/>
        </w:rPr>
        <w:t>&lt;/seg&gt;</w:t>
      </w:r>
      <w:r>
        <w:t xml:space="preserve"> or </w:t>
      </w:r>
      <w:r>
        <w:rPr>
          <w:rStyle w:val="Code"/>
        </w:rPr>
        <w:t xml:space="preserve">&lt;seg </w:t>
      </w:r>
      <w:r>
        <w:rPr>
          <w:rStyle w:val="Codeattribute"/>
        </w:rPr>
        <w:t>type</w:t>
      </w:r>
      <w:r>
        <w:rPr>
          <w:rStyle w:val="Code"/>
        </w:rPr>
        <w:t>=</w:t>
      </w:r>
      <w:r>
        <w:rPr>
          <w:rStyle w:val="Codevalue"/>
        </w:rPr>
        <w:t>"aksara"</w:t>
      </w:r>
      <w:r>
        <w:rPr>
          <w:rStyle w:val="Code"/>
        </w:rPr>
        <w:t>&gt;</w:t>
      </w:r>
      <w:r>
        <w:rPr>
          <w:rStyle w:val="Codetext"/>
        </w:rPr>
        <w:t>k= ka</w:t>
      </w:r>
      <w:r>
        <w:rPr>
          <w:rStyle w:val="Code"/>
        </w:rPr>
        <w:t>&lt;/seg&gt;</w:t>
      </w:r>
    </w:p>
    <w:p>
      <w:pPr>
        <w:pStyle w:val="Lista3"/>
        <w:rPr>
          <w:rStyle w:val="Foreign"/>
          <w:i w:val="0"/>
          <w:iCs w:val="0"/>
          <w:noProof w:val="0"/>
        </w:rPr>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k-ka</w:t>
      </w:r>
      <w:r>
        <w:rPr>
          <w:rStyle w:val="Code"/>
        </w:rPr>
        <w:t>&lt;/seg&gt;</w:t>
      </w:r>
      <w:r>
        <w:t xml:space="preserve"> instead of </w:t>
      </w:r>
      <w:r>
        <w:rPr>
          <w:rStyle w:val="Code"/>
        </w:rPr>
        <w:t xml:space="preserve">&lt;seg </w:t>
      </w:r>
      <w:r>
        <w:rPr>
          <w:rStyle w:val="Codeattribute"/>
        </w:rPr>
        <w:t>type</w:t>
      </w:r>
      <w:r>
        <w:rPr>
          <w:rStyle w:val="Code"/>
        </w:rPr>
        <w:t>=</w:t>
      </w:r>
      <w:r>
        <w:rPr>
          <w:rStyle w:val="Codevalue"/>
        </w:rPr>
        <w:t>"aksara"</w:t>
      </w:r>
      <w:r>
        <w:rPr>
          <w:rStyle w:val="Code"/>
        </w:rPr>
        <w:t>&gt;</w:t>
      </w:r>
      <w:r>
        <w:rPr>
          <w:rStyle w:val="Codetext"/>
        </w:rPr>
        <w:t>k=-ka</w:t>
      </w:r>
      <w:r>
        <w:rPr>
          <w:rStyle w:val="Code"/>
        </w:rPr>
        <w:t>&lt;/seg&gt;</w:t>
      </w:r>
    </w:p>
    <w:p/>
    <w:tbl>
      <w:tblPr>
        <w:tblStyle w:val="CodeSampleTable"/>
        <w:tblW w:w="5006" w:type="pct"/>
        <w:tblLook w:val="04A0" w:firstRow="1" w:lastRow="0" w:firstColumn="1" w:lastColumn="0" w:noHBand="0" w:noVBand="1"/>
      </w:tblPr>
      <w:tblGrid>
        <w:gridCol w:w="556"/>
        <w:gridCol w:w="1194"/>
        <w:gridCol w:w="1124"/>
        <w:gridCol w:w="3384"/>
        <w:gridCol w:w="3370"/>
        <w:gridCol w:w="12"/>
      </w:tblGrid>
      <w:tr>
        <w:trPr>
          <w:gridAfter w:val="1"/>
          <w:cnfStyle w:val="100000000000" w:firstRow="1" w:lastRow="0" w:firstColumn="0" w:lastColumn="0" w:oddVBand="0" w:evenVBand="0" w:oddHBand="0" w:evenHBand="0" w:firstRowFirstColumn="0" w:firstRowLastColumn="0" w:lastRowFirstColumn="0" w:lastRowLastColumn="0"/>
          <w:wAfter w:w="6" w:type="pct"/>
        </w:trPr>
        <w:tc>
          <w:tcPr>
            <w:tcW w:w="4994" w:type="pct"/>
            <w:gridSpan w:val="5"/>
            <w:tcBorders>
              <w:bottom w:val="single" w:sz="4" w:space="0" w:color="auto"/>
            </w:tcBorders>
          </w:tcPr>
          <w:p>
            <w:pPr>
              <w:pStyle w:val="Kpalrs"/>
            </w:pPr>
            <w:bookmarkStart w:id="353" w:name="_Ref225935843"/>
            <w:r>
              <w:t xml:space="preserve">Exhibit </w:t>
            </w:r>
            <w:fldSimple w:instr=" STYLEREF 2 \s ">
              <w:r>
                <w:rPr>
                  <w:noProof/>
                </w:rPr>
                <w:t>5.1</w:t>
              </w:r>
            </w:fldSimple>
            <w:r>
              <w:t>.</w:t>
            </w:r>
            <w:fldSimple w:instr=" SEQ Exhibit \* ALPHABETIC \s 2 ">
              <w:r>
                <w:rPr>
                  <w:noProof/>
                </w:rPr>
                <w:t>A</w:t>
              </w:r>
            </w:fldSimple>
            <w:bookmarkEnd w:id="353"/>
            <w:r>
              <w:t>: character with two vowel marks tagged as a single</w:t>
            </w:r>
            <w:r>
              <w:rPr>
                <w:rStyle w:val="Foreign"/>
              </w:rPr>
              <w:t xml:space="preserve"> akṣara</w:t>
            </w:r>
          </w:p>
        </w:tc>
      </w:tr>
      <w:tr>
        <w:tc>
          <w:tcPr>
            <w:tcW w:w="289" w:type="pct"/>
            <w:tcBorders>
              <w:right w:val="single" w:sz="4" w:space="0" w:color="auto"/>
            </w:tcBorders>
            <w:shd w:val="clear" w:color="auto" w:fill="F0F7D7"/>
          </w:tcPr>
          <w:p>
            <w:pPr>
              <w:pStyle w:val="Tabletext"/>
            </w:pPr>
          </w:p>
        </w:tc>
        <w:tc>
          <w:tcPr>
            <w:tcW w:w="619" w:type="pct"/>
            <w:tcBorders>
              <w:right w:val="single" w:sz="4" w:space="0" w:color="auto"/>
            </w:tcBorders>
          </w:tcPr>
          <w:p>
            <w:pPr>
              <w:pStyle w:val="Tabletext"/>
              <w:jc w:val="center"/>
            </w:pPr>
            <w:r>
              <w:t>glyph</w:t>
            </w:r>
          </w:p>
        </w:tc>
        <w:tc>
          <w:tcPr>
            <w:tcW w:w="583" w:type="pct"/>
            <w:tcBorders>
              <w:left w:val="single" w:sz="4" w:space="0" w:color="auto"/>
              <w:right w:val="single" w:sz="4" w:space="0" w:color="auto"/>
            </w:tcBorders>
          </w:tcPr>
          <w:p>
            <w:pPr>
              <w:pStyle w:val="Tabletext"/>
              <w:jc w:val="center"/>
            </w:pPr>
            <w:r>
              <w:t>shorthand</w:t>
            </w:r>
          </w:p>
        </w:tc>
        <w:tc>
          <w:tcPr>
            <w:tcW w:w="1755" w:type="pct"/>
            <w:tcBorders>
              <w:left w:val="single" w:sz="4" w:space="0" w:color="auto"/>
              <w:right w:val="single" w:sz="4" w:space="0" w:color="auto"/>
            </w:tcBorders>
          </w:tcPr>
          <w:p>
            <w:pPr>
              <w:pStyle w:val="Tabletext"/>
              <w:jc w:val="center"/>
            </w:pPr>
            <w:r>
              <w:t>encoding + shorthand</w:t>
            </w:r>
          </w:p>
        </w:tc>
        <w:tc>
          <w:tcPr>
            <w:tcW w:w="1754" w:type="pct"/>
            <w:gridSpan w:val="2"/>
            <w:tcBorders>
              <w:left w:val="single" w:sz="4" w:space="0" w:color="auto"/>
            </w:tcBorders>
          </w:tcPr>
          <w:p>
            <w:pPr>
              <w:pStyle w:val="Tabletext"/>
              <w:jc w:val="center"/>
            </w:pPr>
            <w:r>
              <w:t>encoding only</w:t>
            </w:r>
          </w:p>
        </w:tc>
      </w:tr>
      <w:tr>
        <w:tc>
          <w:tcPr>
            <w:tcW w:w="289" w:type="pct"/>
            <w:tcBorders>
              <w:right w:val="single" w:sz="4" w:space="0" w:color="auto"/>
            </w:tcBorders>
            <w:shd w:val="clear" w:color="auto" w:fill="F0F7D7"/>
            <w:vAlign w:val="center"/>
          </w:tcPr>
          <w:p>
            <w:pPr>
              <w:pStyle w:val="Tabletext"/>
              <w:jc w:val="center"/>
              <w:rPr>
                <w:noProof/>
              </w:rPr>
            </w:pPr>
            <w:r>
              <w:rPr>
                <w:noProof/>
              </w:rPr>
              <w:t>1</w:t>
            </w:r>
          </w:p>
        </w:tc>
        <w:tc>
          <w:tcPr>
            <w:tcW w:w="619" w:type="pct"/>
            <w:tcBorders>
              <w:right w:val="single" w:sz="4" w:space="0" w:color="auto"/>
            </w:tcBorders>
            <w:vAlign w:val="center"/>
          </w:tcPr>
          <w:p>
            <w:pPr>
              <w:pStyle w:val="Tabletext"/>
              <w:jc w:val="center"/>
            </w:pPr>
            <w:r>
              <w:rPr>
                <w:noProof/>
              </w:rPr>
              <w:drawing>
                <wp:inline distT="0" distB="0" distL="0" distR="0">
                  <wp:extent cx="349200" cy="54000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43" cstate="print">
                            <a:extLst>
                              <a:ext uri="{28A0092B-C50C-407E-A947-70E740481C1C}">
                                <a14:useLocalDpi xmlns:a14="http://schemas.microsoft.com/office/drawing/2010/main" val="0"/>
                              </a:ext>
                            </a:extLst>
                          </a:blip>
                          <a:srcRect/>
                          <a:stretch>
                            <a:fillRect/>
                          </a:stretch>
                        </pic:blipFill>
                        <pic:spPr>
                          <a:xfrm>
                            <a:off x="0" y="0"/>
                            <a:ext cx="349200" cy="540000"/>
                          </a:xfrm>
                          <a:prstGeom prst="rect">
                            <a:avLst/>
                          </a:prstGeom>
                          <a:ln/>
                        </pic:spPr>
                      </pic:pic>
                    </a:graphicData>
                  </a:graphic>
                </wp:inline>
              </w:drawing>
            </w:r>
          </w:p>
        </w:tc>
        <w:tc>
          <w:tcPr>
            <w:tcW w:w="583" w:type="pct"/>
            <w:tcBorders>
              <w:left w:val="single" w:sz="4" w:space="0" w:color="auto"/>
              <w:right w:val="single" w:sz="4" w:space="0" w:color="auto"/>
            </w:tcBorders>
            <w:vAlign w:val="center"/>
          </w:tcPr>
          <w:p>
            <w:pPr>
              <w:pStyle w:val="Tabletext"/>
              <w:jc w:val="center"/>
            </w:pPr>
            <w:r>
              <w:t>du=ā</w:t>
            </w:r>
          </w:p>
        </w:tc>
        <w:tc>
          <w:tcPr>
            <w:tcW w:w="1755" w:type="pct"/>
            <w:tcBorders>
              <w:left w:val="single" w:sz="4" w:space="0" w:color="auto"/>
              <w:right w:val="single" w:sz="4" w:space="0" w:color="auto"/>
            </w:tcBorders>
            <w:vAlign w:val="center"/>
          </w:tcPr>
          <w:p>
            <w:pPr>
              <w:pStyle w:val="CodeParagraph"/>
              <w:jc w:val="center"/>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du=ā</w:t>
            </w:r>
            <w:r>
              <w:rPr>
                <w:rStyle w:val="Code"/>
              </w:rPr>
              <w:t>&lt;/seg&gt;</w:t>
            </w:r>
          </w:p>
        </w:tc>
        <w:tc>
          <w:tcPr>
            <w:tcW w:w="1754" w:type="pct"/>
            <w:gridSpan w:val="2"/>
            <w:tcBorders>
              <w:left w:val="single" w:sz="4" w:space="0" w:color="auto"/>
            </w:tcBorders>
            <w:vAlign w:val="center"/>
          </w:tcPr>
          <w:p>
            <w:pPr>
              <w:pStyle w:val="CodeParagraph"/>
              <w:jc w:val="center"/>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duā</w:t>
            </w:r>
            <w:r>
              <w:rPr>
                <w:rStyle w:val="Code"/>
              </w:rPr>
              <w:t>&lt;/seg&gt;</w:t>
            </w:r>
          </w:p>
        </w:tc>
      </w:tr>
      <w:tr>
        <w:tc>
          <w:tcPr>
            <w:tcW w:w="289" w:type="pct"/>
            <w:tcBorders>
              <w:right w:val="single" w:sz="4" w:space="0" w:color="auto"/>
            </w:tcBorders>
            <w:shd w:val="clear" w:color="auto" w:fill="F0F7D7"/>
            <w:vAlign w:val="center"/>
          </w:tcPr>
          <w:p>
            <w:pPr>
              <w:pStyle w:val="Tabletext"/>
              <w:jc w:val="center"/>
              <w:rPr>
                <w:noProof/>
              </w:rPr>
            </w:pPr>
            <w:r>
              <w:rPr>
                <w:noProof/>
              </w:rPr>
              <w:t>2</w:t>
            </w:r>
          </w:p>
        </w:tc>
        <w:tc>
          <w:tcPr>
            <w:tcW w:w="619" w:type="pct"/>
            <w:tcBorders>
              <w:right w:val="single" w:sz="4" w:space="0" w:color="auto"/>
            </w:tcBorders>
            <w:vAlign w:val="center"/>
          </w:tcPr>
          <w:p>
            <w:pPr>
              <w:pStyle w:val="Tabletext"/>
              <w:jc w:val="center"/>
              <w:rPr>
                <w:noProof/>
              </w:rPr>
            </w:pPr>
            <w:r>
              <w:rPr>
                <w:noProof/>
              </w:rPr>
              <w:drawing>
                <wp:inline distT="0" distB="0" distL="0" distR="0">
                  <wp:extent cx="752400" cy="540000"/>
                  <wp:effectExtent l="0" t="0" r="0" b="0"/>
                  <wp:docPr id="1479425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52400" cy="540000"/>
                          </a:xfrm>
                          <a:prstGeom prst="rect">
                            <a:avLst/>
                          </a:prstGeom>
                          <a:noFill/>
                          <a:ln>
                            <a:noFill/>
                          </a:ln>
                        </pic:spPr>
                      </pic:pic>
                    </a:graphicData>
                  </a:graphic>
                </wp:inline>
              </w:drawing>
            </w:r>
          </w:p>
        </w:tc>
        <w:tc>
          <w:tcPr>
            <w:tcW w:w="583" w:type="pct"/>
            <w:tcBorders>
              <w:left w:val="single" w:sz="4" w:space="0" w:color="auto"/>
              <w:right w:val="single" w:sz="4" w:space="0" w:color="auto"/>
            </w:tcBorders>
            <w:vAlign w:val="center"/>
          </w:tcPr>
          <w:p>
            <w:pPr>
              <w:pStyle w:val="Tabletext"/>
              <w:jc w:val="center"/>
            </w:pPr>
            <w:r>
              <w:t>k=ka</w:t>
            </w:r>
          </w:p>
        </w:tc>
        <w:tc>
          <w:tcPr>
            <w:tcW w:w="1755" w:type="pct"/>
            <w:tcBorders>
              <w:left w:val="single" w:sz="4" w:space="0" w:color="auto"/>
              <w:right w:val="single" w:sz="4" w:space="0" w:color="auto"/>
            </w:tcBorders>
            <w:vAlign w:val="center"/>
          </w:tcPr>
          <w:p>
            <w:pPr>
              <w:pStyle w:val="CodeParagraph"/>
              <w:jc w:val="center"/>
            </w:pPr>
            <w:r>
              <w:rPr>
                <w:rStyle w:val="Code"/>
              </w:rPr>
              <w:t xml:space="preserve">&lt;seg </w:t>
            </w:r>
            <w:r>
              <w:rPr>
                <w:rStyle w:val="Codeattribute"/>
              </w:rPr>
              <w:t>type</w:t>
            </w:r>
            <w:r>
              <w:rPr>
                <w:rStyle w:val="Code"/>
              </w:rPr>
              <w:t>=</w:t>
            </w:r>
            <w:r>
              <w:rPr>
                <w:rStyle w:val="Codevalue"/>
              </w:rPr>
              <w:t>"aksara"</w:t>
            </w:r>
            <w:r>
              <w:rPr>
                <w:rStyle w:val="Code"/>
              </w:rPr>
              <w:t>&gt;k</w:t>
            </w:r>
            <w:r>
              <w:rPr>
                <w:rStyle w:val="Codetext"/>
              </w:rPr>
              <w:t>=ka</w:t>
            </w:r>
            <w:r>
              <w:rPr>
                <w:rStyle w:val="Code"/>
              </w:rPr>
              <w:t>&lt;/seg&gt;</w:t>
            </w:r>
          </w:p>
        </w:tc>
        <w:tc>
          <w:tcPr>
            <w:tcW w:w="1754" w:type="pct"/>
            <w:gridSpan w:val="2"/>
            <w:tcBorders>
              <w:left w:val="single" w:sz="4" w:space="0" w:color="auto"/>
            </w:tcBorders>
            <w:vAlign w:val="center"/>
          </w:tcPr>
          <w:p>
            <w:pPr>
              <w:pStyle w:val="CodeParagraph"/>
              <w:jc w:val="center"/>
              <w:rPr>
                <w:rStyle w:val="Code"/>
              </w:rPr>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kka</w:t>
            </w:r>
            <w:r>
              <w:rPr>
                <w:rStyle w:val="Code"/>
              </w:rPr>
              <w:t>&lt;/seg&gt;</w:t>
            </w:r>
          </w:p>
        </w:tc>
      </w:tr>
      <w:tr>
        <w:tc>
          <w:tcPr>
            <w:tcW w:w="289" w:type="pct"/>
            <w:tcBorders>
              <w:right w:val="single" w:sz="4" w:space="0" w:color="auto"/>
            </w:tcBorders>
            <w:shd w:val="clear" w:color="auto" w:fill="F0F7D7"/>
            <w:vAlign w:val="center"/>
          </w:tcPr>
          <w:p>
            <w:pPr>
              <w:pStyle w:val="Tabletext"/>
              <w:jc w:val="center"/>
              <w:rPr>
                <w:noProof/>
              </w:rPr>
            </w:pPr>
            <w:r>
              <w:rPr>
                <w:noProof/>
              </w:rPr>
              <w:t>3</w:t>
            </w:r>
          </w:p>
        </w:tc>
        <w:tc>
          <w:tcPr>
            <w:tcW w:w="619" w:type="pct"/>
            <w:tcBorders>
              <w:right w:val="single" w:sz="4" w:space="0" w:color="auto"/>
            </w:tcBorders>
            <w:vAlign w:val="center"/>
          </w:tcPr>
          <w:p>
            <w:pPr>
              <w:pStyle w:val="Tabletext"/>
              <w:jc w:val="center"/>
              <w:rPr>
                <w:noProof/>
              </w:rPr>
            </w:pPr>
            <w:r>
              <w:rPr>
                <w:noProof/>
              </w:rPr>
              <w:drawing>
                <wp:inline distT="0" distB="0" distL="0" distR="0">
                  <wp:extent cx="468000" cy="540000"/>
                  <wp:effectExtent l="0" t="0" r="8255" b="0"/>
                  <wp:docPr id="126472876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68000" cy="540000"/>
                          </a:xfrm>
                          <a:prstGeom prst="rect">
                            <a:avLst/>
                          </a:prstGeom>
                          <a:noFill/>
                          <a:ln>
                            <a:noFill/>
                          </a:ln>
                        </pic:spPr>
                      </pic:pic>
                    </a:graphicData>
                  </a:graphic>
                </wp:inline>
              </w:drawing>
            </w:r>
          </w:p>
        </w:tc>
        <w:tc>
          <w:tcPr>
            <w:tcW w:w="583" w:type="pct"/>
            <w:tcBorders>
              <w:left w:val="single" w:sz="4" w:space="0" w:color="auto"/>
              <w:right w:val="single" w:sz="4" w:space="0" w:color="auto"/>
            </w:tcBorders>
            <w:vAlign w:val="center"/>
          </w:tcPr>
          <w:p>
            <w:pPr>
              <w:pStyle w:val="Tabletext"/>
              <w:jc w:val="center"/>
            </w:pPr>
            <w:r>
              <w:t>ḫ=</w:t>
            </w:r>
            <w:proofErr w:type="spellStart"/>
            <w:r>
              <w:t>pu</w:t>
            </w:r>
            <w:proofErr w:type="spellEnd"/>
          </w:p>
        </w:tc>
        <w:tc>
          <w:tcPr>
            <w:tcW w:w="1755" w:type="pct"/>
            <w:tcBorders>
              <w:left w:val="single" w:sz="4" w:space="0" w:color="auto"/>
              <w:right w:val="single" w:sz="4" w:space="0" w:color="auto"/>
            </w:tcBorders>
            <w:vAlign w:val="center"/>
          </w:tcPr>
          <w:p>
            <w:pPr>
              <w:pStyle w:val="CodeParagraph"/>
              <w:jc w:val="center"/>
              <w:rPr>
                <w:rStyle w:val="Code"/>
              </w:rPr>
            </w:pPr>
            <w:r>
              <w:rPr>
                <w:rStyle w:val="Code"/>
              </w:rPr>
              <w:t xml:space="preserve">&lt;seg </w:t>
            </w:r>
            <w:r>
              <w:rPr>
                <w:rStyle w:val="Codeattribute"/>
              </w:rPr>
              <w:t>type</w:t>
            </w:r>
            <w:r>
              <w:rPr>
                <w:rStyle w:val="Code"/>
              </w:rPr>
              <w:t>=</w:t>
            </w:r>
            <w:r>
              <w:rPr>
                <w:rStyle w:val="Codevalue"/>
              </w:rPr>
              <w:t>"aksara"</w:t>
            </w:r>
            <w:r>
              <w:rPr>
                <w:rStyle w:val="Code"/>
              </w:rPr>
              <w:t>&gt;ḫ=pu&lt;/seg&gt;</w:t>
            </w:r>
          </w:p>
        </w:tc>
        <w:tc>
          <w:tcPr>
            <w:tcW w:w="1754" w:type="pct"/>
            <w:gridSpan w:val="2"/>
            <w:tcBorders>
              <w:left w:val="single" w:sz="4" w:space="0" w:color="auto"/>
            </w:tcBorders>
            <w:vAlign w:val="center"/>
          </w:tcPr>
          <w:p>
            <w:pPr>
              <w:pStyle w:val="CodeParagraph"/>
              <w:jc w:val="center"/>
              <w:rPr>
                <w:rStyle w:val="Code"/>
              </w:rPr>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ḫpu</w:t>
            </w:r>
            <w:r>
              <w:rPr>
                <w:rStyle w:val="Code"/>
              </w:rPr>
              <w:t>&lt;/seg&gt;</w:t>
            </w:r>
          </w:p>
        </w:tc>
      </w:tr>
    </w:tbl>
    <w:p/>
    <w:p>
      <w:pPr>
        <w:pStyle w:val="Cmsor3"/>
      </w:pPr>
      <w:bookmarkStart w:id="354" w:name="_qasht2vjwj9m" w:colFirst="0" w:colLast="0"/>
      <w:bookmarkStart w:id="355" w:name="_Ref43987131"/>
      <w:bookmarkStart w:id="356" w:name="_Ref228202081"/>
      <w:bookmarkStart w:id="357" w:name="_Toc242976619"/>
      <w:bookmarkEnd w:id="354"/>
      <w:r>
        <w:t xml:space="preserve">Tagging parts of </w:t>
      </w:r>
      <w:bookmarkEnd w:id="355"/>
      <w:r>
        <w:t>phonographic glyphs</w:t>
      </w:r>
      <w:bookmarkEnd w:id="356"/>
      <w:bookmarkEnd w:id="357"/>
    </w:p>
    <w:p>
      <w:r>
        <w:t xml:space="preserve">As discussed in the TG (§3.1.4.2), our transliteration scheme ignores the variation of graphotactic allographs, i.e. different graphs normally employed in different positions for the same grapheme, such as the regular, superscript and subscript forms of &lt;r&gt; in most Indic writing systems. In XML encoding, we suggest a system of </w:t>
      </w:r>
      <w:r>
        <w:rPr>
          <w:noProof/>
        </w:rPr>
        <w:t>“sub-</w:t>
      </w:r>
      <w:r>
        <w:rPr>
          <w:rStyle w:val="Foreign"/>
        </w:rPr>
        <w:t>akṣara</w:t>
      </w:r>
      <w:r>
        <w:t xml:space="preserve"> markup” for tagging individual target graphemes with the purpose of indicating which part of a source glyph manifests that grapheme.</w:t>
      </w:r>
    </w:p>
    <w:p>
      <w:pPr>
        <w:pStyle w:val="Normlbehzs"/>
      </w:pPr>
      <w:r>
        <w:t xml:space="preserve">Keep in mind that DHARMA transliteration does distinguish graphemic allographs, i.e. the independent and dependent forms of vowels and consonants, so in all but a few cases a reader familiar with the source </w:t>
      </w:r>
      <w:r>
        <w:lastRenderedPageBreak/>
        <w:t xml:space="preserve">writing system will be able to reconstruct the graphetic composition of the source on the basis of the transliterated text. </w:t>
      </w:r>
      <w:r>
        <w:rPr>
          <w:noProof/>
        </w:rPr>
        <w:t>Sub-</w:t>
      </w:r>
      <w:r>
        <w:rPr>
          <w:rStyle w:val="Foreign"/>
        </w:rPr>
        <w:t>akṣara</w:t>
      </w:r>
      <w:r>
        <w:t xml:space="preserve"> markup is optional, and is generally counter-recommended on account of the encoding complexity involved. You may, however, need this kind of encoding for representing extraordinary spatial arrangement in the source when this is deemed desirable </w:t>
      </w:r>
      <w:r>
        <w:rPr>
          <w:noProof/>
        </w:rPr>
        <w:t>(</w:t>
      </w:r>
      <w:r>
        <w:t>§</w:t>
      </w:r>
      <w:r>
        <w:fldChar w:fldCharType="begin"/>
      </w:r>
      <w:r>
        <w:instrText xml:space="preserve"> REF _Ref43987090 \w \h  \* MERGEFORMAT </w:instrText>
      </w:r>
      <w:r>
        <w:fldChar w:fldCharType="separate"/>
      </w:r>
      <w:r>
        <w:t>5.1.3</w:t>
      </w:r>
      <w:r>
        <w:fldChar w:fldCharType="end"/>
      </w:r>
      <w:r>
        <w:t xml:space="preserve">), and for the encoding of micro-level lacunae </w:t>
      </w:r>
      <w:r>
        <w:rPr>
          <w:noProof/>
        </w:rPr>
        <w:t>(</w:t>
      </w:r>
      <w:r>
        <w:t>§</w:t>
      </w:r>
      <w:r>
        <w:fldChar w:fldCharType="begin"/>
      </w:r>
      <w:r>
        <w:instrText xml:space="preserve"> REF _Ref43987049 \w \h  \* MERGEFORMAT </w:instrText>
      </w:r>
      <w:r>
        <w:fldChar w:fldCharType="separate"/>
      </w:r>
      <w:r>
        <w:t>6.5.2.4</w:t>
      </w:r>
      <w:r>
        <w:fldChar w:fldCharType="end"/>
      </w:r>
      <w:r>
        <w:t>) for textual loci that are both highly problematic as regards legibility and pivotal as regards interpretation.</w:t>
      </w:r>
    </w:p>
    <w:p>
      <w:pPr>
        <w:pStyle w:val="Lista"/>
      </w:pPr>
      <w:r>
        <w:t>see §</w:t>
      </w:r>
      <w:r>
        <w:fldChar w:fldCharType="begin"/>
      </w:r>
      <w:r>
        <w:instrText xml:space="preserve"> REF _Ref43987165 \w \h  \* MERGEFORMAT </w:instrText>
      </w:r>
      <w:r>
        <w:fldChar w:fldCharType="separate"/>
      </w:r>
      <w:r>
        <w:t>5.1.4</w:t>
      </w:r>
      <w:r>
        <w:fldChar w:fldCharType="end"/>
      </w:r>
      <w:r>
        <w:t xml:space="preserve"> about handling glyph components separated from others by an intervening physical feature, a situation for which </w:t>
      </w:r>
      <w:r>
        <w:rPr>
          <w:noProof/>
        </w:rPr>
        <w:t>sub-</w:t>
      </w:r>
      <w:r>
        <w:rPr>
          <w:rStyle w:val="Foreign"/>
        </w:rPr>
        <w:t>akṣara</w:t>
      </w:r>
      <w:r>
        <w:t xml:space="preserve"> markup is not applicable</w:t>
      </w:r>
    </w:p>
    <w:p>
      <w:pPr>
        <w:pStyle w:val="Lista"/>
      </w:pPr>
      <w:r>
        <w:t>see §</w:t>
      </w:r>
      <w:r>
        <w:fldChar w:fldCharType="begin"/>
      </w:r>
      <w:r>
        <w:instrText xml:space="preserve"> REF _Ref228275185 \r \h </w:instrText>
      </w:r>
      <w:r>
        <w:fldChar w:fldCharType="separate"/>
      </w:r>
      <w:r>
        <w:t>6.3.3</w:t>
      </w:r>
      <w:r>
        <w:fldChar w:fldCharType="end"/>
      </w:r>
      <w:r>
        <w:t xml:space="preserve"> about handling legibility issues concerning glyph components, a situation for which </w:t>
      </w:r>
      <w:r>
        <w:rPr>
          <w:rStyle w:val="Foreign"/>
        </w:rPr>
        <w:t>sub-akṣara</w:t>
      </w:r>
      <w:r>
        <w:t xml:space="preserve"> markup is not normally warranted</w:t>
      </w:r>
    </w:p>
    <w:p>
      <w:pPr>
        <w:pStyle w:val="Lista"/>
      </w:pPr>
      <w:r>
        <w:t xml:space="preserve">if you choose to tag a specific </w:t>
      </w:r>
      <w:r>
        <w:rPr>
          <w:noProof/>
        </w:rPr>
        <w:t>sub-</w:t>
      </w:r>
      <w:r>
        <w:rPr>
          <w:rStyle w:val="Foreign"/>
        </w:rPr>
        <w:t>akṣara</w:t>
      </w:r>
      <w:r>
        <w:t xml:space="preserve"> component, wrap it in </w:t>
      </w:r>
      <w:r>
        <w:rPr>
          <w:rStyle w:val="Code"/>
        </w:rPr>
        <w:t xml:space="preserve">&lt;seg </w:t>
      </w:r>
      <w:r>
        <w:rPr>
          <w:rStyle w:val="Codeattribute"/>
        </w:rPr>
        <w:t>type</w:t>
      </w:r>
      <w:r>
        <w:rPr>
          <w:rStyle w:val="Code"/>
        </w:rPr>
        <w:t>=</w:t>
      </w:r>
      <w:r>
        <w:rPr>
          <w:rStyle w:val="Codevalue"/>
        </w:rPr>
        <w:t>"component"</w:t>
      </w:r>
      <w:r>
        <w:rPr>
          <w:rStyle w:val="Code"/>
        </w:rPr>
        <w:t>&gt;</w:t>
      </w:r>
      <w:r>
        <w:t xml:space="preserve"> and add a </w:t>
      </w:r>
      <w:r>
        <w:rPr>
          <w:rStyle w:val="Codeattribute"/>
        </w:rPr>
        <w:t>@subtype</w:t>
      </w:r>
      <w:r>
        <w:t xml:space="preserve"> attribute with one of the following values:</w:t>
      </w:r>
    </w:p>
    <w:p>
      <w:pPr>
        <w:pStyle w:val="Lista2"/>
      </w:pPr>
      <w:r>
        <w:rPr>
          <w:rStyle w:val="Codevalue"/>
        </w:rPr>
        <w:t>"body"</w:t>
      </w:r>
      <w:r>
        <w:t xml:space="preserve"> for the principal component of a complex glyph, which may be a single consonant or a conjunct</w:t>
      </w:r>
    </w:p>
    <w:p>
      <w:pPr>
        <w:pStyle w:val="Lista2"/>
      </w:pPr>
      <w:r>
        <w:rPr>
          <w:rStyle w:val="Codevalue"/>
        </w:rPr>
        <w:t>"consonant"</w:t>
      </w:r>
      <w:r>
        <w:t xml:space="preserve"> for exactly one consonant component whose graphic location cannot be determined or is irrelevant</w:t>
      </w:r>
    </w:p>
    <w:p>
      <w:pPr>
        <w:pStyle w:val="Lista2"/>
      </w:pPr>
      <w:r>
        <w:rPr>
          <w:rStyle w:val="Codevalue"/>
        </w:rPr>
        <w:t>"conjunct"</w:t>
      </w:r>
      <w:r>
        <w:t xml:space="preserve"> for two or more consonant components belonging to a single </w:t>
      </w:r>
      <w:r>
        <w:rPr>
          <w:rStyle w:val="Foreign"/>
        </w:rPr>
        <w:t>akṣara</w:t>
      </w:r>
      <w:r>
        <w:t xml:space="preserve"> (when you know the consonant was not single because prosody eliminates that possibility, or because vestiges definitely indicate a conjunct even though it is illegible)</w:t>
      </w:r>
    </w:p>
    <w:p>
      <w:pPr>
        <w:pStyle w:val="Lista2"/>
      </w:pPr>
      <w:r>
        <w:rPr>
          <w:rStyle w:val="Codevalue"/>
        </w:rPr>
        <w:t>"vowel"</w:t>
      </w:r>
      <w:r>
        <w:t xml:space="preserve"> for the vocalisation of an </w:t>
      </w:r>
      <w:r>
        <w:rPr>
          <w:rStyle w:val="Foreign"/>
        </w:rPr>
        <w:t>akṣara</w:t>
      </w:r>
      <w:r>
        <w:t>, when the location of the vowel marker cannot be determined or is irrelevant</w:t>
      </w:r>
    </w:p>
    <w:p>
      <w:pPr>
        <w:pStyle w:val="Lista2"/>
      </w:pPr>
      <w:r>
        <w:rPr>
          <w:rStyle w:val="Codevalue"/>
        </w:rPr>
        <w:t>"superscript"</w:t>
      </w:r>
      <w:r>
        <w:t xml:space="preserve"> for any components above the body, such as a superscript </w:t>
      </w:r>
      <w:r>
        <w:rPr>
          <w:rStyle w:val="Foreign"/>
        </w:rPr>
        <w:t>r</w:t>
      </w:r>
      <w:r>
        <w:t xml:space="preserve"> or a superscript vowel marker</w:t>
      </w:r>
    </w:p>
    <w:p>
      <w:pPr>
        <w:pStyle w:val="Lista2"/>
      </w:pPr>
      <w:r>
        <w:rPr>
          <w:rStyle w:val="Codevalue"/>
        </w:rPr>
        <w:t>"subscript"</w:t>
      </w:r>
      <w:r>
        <w:t xml:space="preserve"> for any components below the body, such as the subscript consonant of a conjunct or a subscript vowel marker</w:t>
      </w:r>
    </w:p>
    <w:p>
      <w:pPr>
        <w:pStyle w:val="Lista2"/>
      </w:pPr>
      <w:r>
        <w:rPr>
          <w:rStyle w:val="Codevalue"/>
        </w:rPr>
        <w:t>"prescript"</w:t>
      </w:r>
      <w:r>
        <w:t xml:space="preserve"> for any components to the left of the body, generally a vowel marker but also applicable to part of a horizontally composed ligature</w:t>
      </w:r>
    </w:p>
    <w:p>
      <w:pPr>
        <w:pStyle w:val="Lista2"/>
      </w:pPr>
      <w:r>
        <w:rPr>
          <w:rStyle w:val="Codevalue"/>
        </w:rPr>
        <w:t>"postscript"</w:t>
      </w:r>
      <w:r>
        <w:t xml:space="preserve"> for any components to the right of the body, generally a vowel marker but also applicable to part of a horizontally composed ligature</w:t>
      </w:r>
    </w:p>
    <w:p>
      <w:pPr>
        <w:pStyle w:val="Lista"/>
      </w:pPr>
      <w:r>
        <w:t xml:space="preserve">when dealing with </w:t>
      </w:r>
      <w:r>
        <w:rPr>
          <w:noProof/>
        </w:rPr>
        <w:t>sub-</w:t>
      </w:r>
      <w:r>
        <w:rPr>
          <w:rStyle w:val="Foreign"/>
        </w:rPr>
        <w:t>akṣara</w:t>
      </w:r>
      <w:r>
        <w:t xml:space="preserve"> lacunae in relatively simple cases, your primary concern is to encode what kind of grapheme was lost, without regard to exactly what kind of glyph component represented it; in this case,</w:t>
      </w:r>
    </w:p>
    <w:p>
      <w:pPr>
        <w:pStyle w:val="Lista2"/>
      </w:pPr>
      <w:r>
        <w:t xml:space="preserve">either use </w:t>
      </w:r>
      <w:r>
        <w:rPr>
          <w:rStyle w:val="Codevalue"/>
        </w:rPr>
        <w:t>"vowel"</w:t>
      </w:r>
      <w:r>
        <w:t xml:space="preserve"> for a lost vowel component, and </w:t>
      </w:r>
      <w:r>
        <w:rPr>
          <w:rStyle w:val="Codevalue"/>
        </w:rPr>
        <w:t>"consonant"</w:t>
      </w:r>
      <w:r>
        <w:t xml:space="preserve">, </w:t>
      </w:r>
      <w:r>
        <w:rPr>
          <w:rStyle w:val="Codevalue"/>
        </w:rPr>
        <w:t>"conjunct"</w:t>
      </w:r>
      <w:r>
        <w:t xml:space="preserve"> or </w:t>
      </w:r>
      <w:r>
        <w:rPr>
          <w:rStyle w:val="Codevalue"/>
        </w:rPr>
        <w:t>"body"</w:t>
      </w:r>
      <w:r>
        <w:t xml:space="preserve"> respectively for a lost consonant component that is known to be single, known to be a conjunct, or may be either of these</w:t>
      </w:r>
    </w:p>
    <w:p>
      <w:pPr>
        <w:pStyle w:val="Lista2"/>
      </w:pPr>
      <w:r>
        <w:t xml:space="preserve">or forego </w:t>
      </w:r>
      <w:r>
        <w:rPr>
          <w:noProof/>
        </w:rPr>
        <w:t>sub-</w:t>
      </w:r>
      <w:r>
        <w:rPr>
          <w:rStyle w:val="Foreign"/>
        </w:rPr>
        <w:t>akṣara</w:t>
      </w:r>
      <w:r>
        <w:t xml:space="preserve"> encoding and use the placeholders V for ‘any vowel’ and C for ‘any consonant’ (TG §3.3.2.2) instead of encoding illegible or lost graphemes as component-level lacunae</w:t>
      </w:r>
    </w:p>
    <w:p>
      <w:pPr>
        <w:pStyle w:val="Lista"/>
      </w:pPr>
      <w:r>
        <w:t>when dealing with unusually composed glyphs or with partial lacunae in complex cases that can benefit from a very high level of detail in the encoding (e.g. because the text is unintelligible and you wish to be fully objective in encoding what you see, without projecting any interpretation onto it), your primary concern is to describe the nature of the original glyph as accurately as possible; in this case,</w:t>
      </w:r>
    </w:p>
    <w:p>
      <w:pPr>
        <w:pStyle w:val="Lista2"/>
      </w:pPr>
      <w:r>
        <w:t xml:space="preserve">give preference to the values </w:t>
      </w:r>
      <w:r>
        <w:rPr>
          <w:rStyle w:val="Codevalue"/>
        </w:rPr>
        <w:t>"body"</w:t>
      </w:r>
      <w:r>
        <w:t xml:space="preserve">, </w:t>
      </w:r>
      <w:r>
        <w:rPr>
          <w:rStyle w:val="Codevalue"/>
        </w:rPr>
        <w:t>"superscript"</w:t>
      </w:r>
      <w:r>
        <w:t xml:space="preserve">, </w:t>
      </w:r>
      <w:r>
        <w:rPr>
          <w:rStyle w:val="Codevalue"/>
        </w:rPr>
        <w:t>"subscript"</w:t>
      </w:r>
      <w:r>
        <w:t xml:space="preserve">, </w:t>
      </w:r>
      <w:r>
        <w:rPr>
          <w:rStyle w:val="Codevalue"/>
        </w:rPr>
        <w:t>"prescript"</w:t>
      </w:r>
      <w:r>
        <w:t xml:space="preserve"> and </w:t>
      </w:r>
      <w:r>
        <w:rPr>
          <w:rStyle w:val="Codevalue"/>
        </w:rPr>
        <w:t>"postscript"</w:t>
      </w:r>
      <w:r>
        <w:t xml:space="preserve"> to encode the graphic location of the lacuna within the complex glyph, and use </w:t>
      </w:r>
      <w:r>
        <w:rPr>
          <w:rStyle w:val="Codevalue"/>
        </w:rPr>
        <w:t>"vowel"</w:t>
      </w:r>
      <w:r>
        <w:t xml:space="preserve">, </w:t>
      </w:r>
      <w:r>
        <w:rPr>
          <w:rStyle w:val="Codevalue"/>
        </w:rPr>
        <w:t>"consonant"</w:t>
      </w:r>
      <w:r>
        <w:t xml:space="preserve"> and </w:t>
      </w:r>
      <w:r>
        <w:rPr>
          <w:rStyle w:val="Codevalue"/>
        </w:rPr>
        <w:t>"conjunct"</w:t>
      </w:r>
      <w:r>
        <w:t xml:space="preserve"> only when it is impossible to determine the graphic location of a component that must have been present</w:t>
      </w:r>
    </w:p>
    <w:p>
      <w:pPr>
        <w:pStyle w:val="Cmsor3"/>
      </w:pPr>
      <w:bookmarkStart w:id="358" w:name="_dv2inorm1p09" w:colFirst="0" w:colLast="0"/>
      <w:bookmarkStart w:id="359" w:name="_Ref43987090"/>
      <w:bookmarkStart w:id="360" w:name="_Toc242976620"/>
      <w:bookmarkEnd w:id="358"/>
      <w:r>
        <w:t>Unusual spatial arrangement in conjuncts</w:t>
      </w:r>
      <w:bookmarkEnd w:id="359"/>
      <w:bookmarkEnd w:id="360"/>
    </w:p>
    <w:p>
      <w:r>
        <w:t xml:space="preserve">As our primary objective is to encode texts, the place to record information about unusual glyph composition is your annotation. However, in order to facilitate future palaeographic research, you may optionally use </w:t>
      </w:r>
      <w:r>
        <w:rPr>
          <w:noProof/>
        </w:rPr>
        <w:t>sub-</w:t>
      </w:r>
      <w:r>
        <w:rPr>
          <w:rStyle w:val="Foreign"/>
        </w:rPr>
        <w:t>akṣara</w:t>
      </w:r>
      <w:r>
        <w:t xml:space="preserve"> markup (§</w:t>
      </w:r>
      <w:r>
        <w:fldChar w:fldCharType="begin"/>
      </w:r>
      <w:r>
        <w:instrText xml:space="preserve"> REF _Ref43987131 \r \h </w:instrText>
      </w:r>
      <w:r>
        <w:fldChar w:fldCharType="separate"/>
      </w:r>
      <w:r>
        <w:t>5.1.2</w:t>
      </w:r>
      <w:r>
        <w:fldChar w:fldCharType="end"/>
      </w:r>
      <w:r>
        <w:t xml:space="preserve">) for tagging parts of phonographic glyphs in order to specify what part of a </w:t>
      </w:r>
      <w:r>
        <w:lastRenderedPageBreak/>
        <w:t xml:space="preserve">complex original glyph corresponds to any given target grapheme, as illustrated in </w:t>
      </w:r>
      <w:r>
        <w:fldChar w:fldCharType="begin"/>
      </w:r>
      <w:r>
        <w:instrText xml:space="preserve"> REF _Ref225936805 \h </w:instrText>
      </w:r>
      <w:r>
        <w:fldChar w:fldCharType="separate"/>
      </w:r>
      <w:r>
        <w:t xml:space="preserve">Exhibit </w:t>
      </w:r>
      <w:r>
        <w:rPr>
          <w:noProof/>
        </w:rPr>
        <w:t>5.1</w:t>
      </w:r>
      <w:r>
        <w:t>.</w:t>
      </w:r>
      <w:r>
        <w:rPr>
          <w:noProof/>
        </w:rPr>
        <w:t>B</w:t>
      </w:r>
      <w:r>
        <w:fldChar w:fldCharType="end"/>
      </w:r>
      <w:r>
        <w:t xml:space="preserve">. When doing so, aim to minimise the complexity of your encoding and add tags only to the components that most conspicuously deviate from the expected composition. However, if you deem that there is any ambiguity regarding </w:t>
      </w:r>
      <w:r>
        <w:rPr>
          <w:rStyle w:val="Foreign"/>
        </w:rPr>
        <w:t>akṣara</w:t>
      </w:r>
      <w:r>
        <w:t xml:space="preserve"> boundaries, feel free to wrap target graphemes and lacunae belonging to a single original character in the element </w:t>
      </w:r>
      <w:r>
        <w:rPr>
          <w:rStyle w:val="Code"/>
        </w:rPr>
        <w:t xml:space="preserve">&lt;seg </w:t>
      </w:r>
      <w:r>
        <w:rPr>
          <w:rStyle w:val="Codeattribute"/>
        </w:rPr>
        <w:t>type</w:t>
      </w:r>
      <w:r>
        <w:rPr>
          <w:rStyle w:val="Code"/>
        </w:rPr>
        <w:t>=</w:t>
      </w:r>
      <w:r>
        <w:rPr>
          <w:rStyle w:val="Codevalue"/>
        </w:rPr>
        <w:t>"aksara"</w:t>
      </w:r>
      <w:r>
        <w:rPr>
          <w:rStyle w:val="Code"/>
        </w:rPr>
        <w:t>&gt;</w:t>
      </w:r>
      <w:r>
        <w:t xml:space="preserve"> as per §</w:t>
      </w:r>
      <w:r>
        <w:fldChar w:fldCharType="begin"/>
      </w:r>
      <w:r>
        <w:instrText xml:space="preserve"> REF _Ref43987221 \w \h  \* MERGEFORMAT </w:instrText>
      </w:r>
      <w:r>
        <w:fldChar w:fldCharType="separate"/>
      </w:r>
      <w:r>
        <w:t>5.1.1</w:t>
      </w:r>
      <w:r>
        <w:fldChar w:fldCharType="end"/>
      </w:r>
    </w:p>
    <w:p/>
    <w:tbl>
      <w:tblPr>
        <w:tblStyle w:val="CodeSampleTable"/>
        <w:tblW w:w="5000" w:type="pct"/>
        <w:tblLook w:val="04A0" w:firstRow="1" w:lastRow="0" w:firstColumn="1" w:lastColumn="0" w:noHBand="0" w:noVBand="1"/>
      </w:tblPr>
      <w:tblGrid>
        <w:gridCol w:w="8179"/>
        <w:gridCol w:w="1449"/>
      </w:tblGrid>
      <w:tr>
        <w:trPr>
          <w:cnfStyle w:val="100000000000" w:firstRow="1" w:lastRow="0" w:firstColumn="0" w:lastColumn="0" w:oddVBand="0" w:evenVBand="0" w:oddHBand="0" w:evenHBand="0" w:firstRowFirstColumn="0" w:firstRowLastColumn="0" w:lastRowFirstColumn="0" w:lastRowLastColumn="0"/>
        </w:trPr>
        <w:tc>
          <w:tcPr>
            <w:tcW w:w="0" w:type="auto"/>
            <w:gridSpan w:val="2"/>
          </w:tcPr>
          <w:p>
            <w:pPr>
              <w:pStyle w:val="Kpalrs"/>
              <w:keepLines/>
            </w:pPr>
            <w:bookmarkStart w:id="361" w:name="_Ref225936805"/>
            <w:r>
              <w:t xml:space="preserve">Exhibit </w:t>
            </w:r>
            <w:fldSimple w:instr=" STYLEREF 2 \s ">
              <w:r>
                <w:rPr>
                  <w:noProof/>
                </w:rPr>
                <w:t>5.1</w:t>
              </w:r>
            </w:fldSimple>
            <w:r>
              <w:t>.</w:t>
            </w:r>
            <w:fldSimple w:instr=" SEQ Exhibit \* ALPHABETIC \s 2 ">
              <w:r>
                <w:rPr>
                  <w:noProof/>
                </w:rPr>
                <w:t>B</w:t>
              </w:r>
            </w:fldSimple>
            <w:bookmarkEnd w:id="361"/>
            <w:r>
              <w:t xml:space="preserve">: conjunct with regular </w:t>
            </w:r>
            <w:r>
              <w:rPr>
                <w:rStyle w:val="Foreign"/>
              </w:rPr>
              <w:t>r</w:t>
            </w:r>
            <w:r>
              <w:t xml:space="preserve"> instead of superscript</w:t>
            </w:r>
          </w:p>
        </w:tc>
      </w:tr>
      <w:tr>
        <w:tc>
          <w:tcPr>
            <w:tcW w:w="0" w:type="auto"/>
          </w:tcPr>
          <w:p>
            <w:pPr>
              <w:pStyle w:val="CodeParagraph"/>
              <w:keepNext/>
              <w:keepLines/>
            </w:pP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"body"</w:t>
            </w:r>
            <w:r>
              <w:rPr>
                <w:rStyle w:val="Code"/>
              </w:rPr>
              <w:t>&gt;</w:t>
            </w:r>
            <w:r>
              <w:rPr>
                <w:rStyle w:val="Codetext"/>
              </w:rPr>
              <w:t>r</w:t>
            </w:r>
            <w:r>
              <w:rPr>
                <w:rStyle w:val="Code"/>
              </w:rPr>
              <w:t>&lt;/seg&gt;</w:t>
            </w:r>
            <w:r>
              <w:rPr>
                <w:rStyle w:val="Codetext"/>
              </w:rPr>
              <w:t>ya</w:t>
            </w:r>
          </w:p>
        </w:tc>
        <w:tc>
          <w:tcPr>
            <w:tcW w:w="0" w:type="auto"/>
            <w:vMerge w:val="restart"/>
            <w:vAlign w:val="bottom"/>
          </w:tcPr>
          <w:p>
            <w:pPr>
              <w:pStyle w:val="Image"/>
              <w:keepLines/>
            </w:pPr>
            <w:r>
              <w:drawing>
                <wp:inline distT="0" distB="0" distL="0" distR="0">
                  <wp:extent cx="844550" cy="893907"/>
                  <wp:effectExtent l="0" t="0" r="0" b="1905"/>
                  <wp:docPr id="2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6">
                            <a:extLst>
                              <a:ext uri="{28A0092B-C50C-407E-A947-70E740481C1C}">
                                <a14:useLocalDpi xmlns:a14="http://schemas.microsoft.com/office/drawing/2010/main" val="0"/>
                              </a:ext>
                            </a:extLst>
                          </a:blip>
                          <a:srcRect/>
                          <a:stretch>
                            <a:fillRect/>
                          </a:stretch>
                        </pic:blipFill>
                        <pic:spPr>
                          <a:xfrm>
                            <a:off x="0" y="0"/>
                            <a:ext cx="851421" cy="901180"/>
                          </a:xfrm>
                          <a:prstGeom prst="rect">
                            <a:avLst/>
                          </a:prstGeom>
                          <a:ln/>
                        </pic:spPr>
                      </pic:pic>
                    </a:graphicData>
                  </a:graphic>
                </wp:inline>
              </w:drawing>
            </w:r>
          </w:p>
        </w:tc>
      </w:tr>
      <w:tr>
        <w:tc>
          <w:tcPr>
            <w:tcW w:w="0" w:type="auto"/>
          </w:tcPr>
          <w:p>
            <w:pPr>
              <w:pStyle w:val="TableNote"/>
              <w:keepNext/>
              <w:keepLines/>
            </w:pPr>
            <w:r>
              <w:rPr>
                <w:rStyle w:val="Foreign"/>
              </w:rPr>
              <w:t>rya</w:t>
            </w:r>
            <w:r>
              <w:t xml:space="preserve"> is here written with a regular (body) </w:t>
            </w:r>
            <w:r>
              <w:rPr>
                <w:rStyle w:val="Foreign"/>
              </w:rPr>
              <w:t>r</w:t>
            </w:r>
            <w:r>
              <w:t xml:space="preserve"> and a subscript </w:t>
            </w:r>
            <w:r>
              <w:rPr>
                <w:rStyle w:val="Foreign"/>
              </w:rPr>
              <w:t>y</w:t>
            </w:r>
            <w:r>
              <w:t xml:space="preserve"> instead of a superscript </w:t>
            </w:r>
            <w:r>
              <w:rPr>
                <w:rStyle w:val="Foreign"/>
              </w:rPr>
              <w:t>r</w:t>
            </w:r>
            <w:r>
              <w:t xml:space="preserve"> and a regular </w:t>
            </w:r>
            <w:r>
              <w:rPr>
                <w:rStyle w:val="Foreign"/>
              </w:rPr>
              <w:t>y</w:t>
            </w:r>
          </w:p>
          <w:p>
            <w:pPr>
              <w:pStyle w:val="TableNote"/>
              <w:keepNext/>
              <w:keepLines/>
              <w:rPr>
                <w:rFonts w:ascii="Consolas" w:hAnsi="Consolas" w:cs="Consolas"/>
                <w:noProof/>
                <w:color w:val="002060"/>
                <w:shd w:val="clear" w:color="auto" w:fill="F2F2F2" w:themeFill="background1" w:themeFillShade="F2"/>
              </w:rPr>
            </w:pPr>
            <w:r>
              <w:t xml:space="preserve">the fact that the </w:t>
            </w:r>
            <w:r>
              <w:rPr>
                <w:rStyle w:val="Foreign"/>
              </w:rPr>
              <w:t>r</w:t>
            </w:r>
            <w:r>
              <w:t xml:space="preserve"> is tagged as a body component dispenses with the need to explicitly tag the </w:t>
            </w:r>
            <w:r>
              <w:rPr>
                <w:rStyle w:val="Foreign"/>
              </w:rPr>
              <w:t>y</w:t>
            </w:r>
            <w:r>
              <w:t xml:space="preserve"> as a subscript component</w:t>
            </w:r>
          </w:p>
        </w:tc>
        <w:tc>
          <w:tcPr>
            <w:tcW w:w="0" w:type="auto"/>
            <w:vMerge/>
          </w:tcPr>
          <w:p>
            <w:pPr>
              <w:keepNext/>
              <w:keepLines/>
              <w:rPr>
                <w:rStyle w:val="Code"/>
              </w:rPr>
            </w:pPr>
          </w:p>
        </w:tc>
      </w:tr>
      <w:tr>
        <w:tc>
          <w:tcPr>
            <w:tcW w:w="0" w:type="auto"/>
          </w:tcPr>
          <w:p>
            <w:pPr>
              <w:pStyle w:val="CodeParagraph"/>
              <w:keepNext/>
              <w:keepLines/>
            </w:pPr>
            <w:r>
              <w:rPr>
                <w:rStyle w:val="Codetext"/>
              </w:rPr>
              <w:t>r</w:t>
            </w: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"prescript"</w:t>
            </w:r>
            <w:r>
              <w:rPr>
                <w:rStyle w:val="Code"/>
              </w:rPr>
              <w:t>&gt;</w:t>
            </w:r>
            <w:r>
              <w:rPr>
                <w:rStyle w:val="Codetext"/>
              </w:rPr>
              <w:t>g</w:t>
            </w:r>
            <w:r>
              <w:rPr>
                <w:rStyle w:val="Code"/>
              </w:rPr>
              <w:t xml:space="preserve">&lt;/seg&gt;&lt;seg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"body"</w:t>
            </w:r>
            <w:r>
              <w:rPr>
                <w:rStyle w:val="Code"/>
              </w:rPr>
              <w:t>&gt;</w:t>
            </w:r>
            <w:r>
              <w:rPr>
                <w:rStyle w:val="Codetext"/>
              </w:rPr>
              <w:t>gh</w:t>
            </w:r>
            <w:r>
              <w:rPr>
                <w:rStyle w:val="Code"/>
              </w:rPr>
              <w:t>&lt;/seg&gt;</w:t>
            </w:r>
            <w:r>
              <w:rPr>
                <w:rStyle w:val="Codetext"/>
              </w:rPr>
              <w:t>a</w:t>
            </w:r>
          </w:p>
        </w:tc>
        <w:tc>
          <w:tcPr>
            <w:tcW w:w="0" w:type="auto"/>
            <w:vMerge w:val="restart"/>
            <w:vAlign w:val="bottom"/>
          </w:tcPr>
          <w:p>
            <w:pPr>
              <w:pStyle w:val="Image"/>
              <w:keepLines/>
            </w:pPr>
            <w:r>
              <w:drawing>
                <wp:inline distT="0" distB="0" distL="0" distR="0">
                  <wp:extent cx="917407" cy="763152"/>
                  <wp:effectExtent l="0" t="0" r="0" b="0"/>
                  <wp:docPr id="3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7">
                            <a:extLst>
                              <a:ext uri="{28A0092B-C50C-407E-A947-70E740481C1C}">
                                <a14:useLocalDpi xmlns:a14="http://schemas.microsoft.com/office/drawing/2010/main" val="0"/>
                              </a:ext>
                            </a:extLst>
                          </a:blip>
                          <a:srcRect/>
                          <a:stretch>
                            <a:fillRect/>
                          </a:stretch>
                        </pic:blipFill>
                        <pic:spPr>
                          <a:xfrm>
                            <a:off x="0" y="0"/>
                            <a:ext cx="928213" cy="772141"/>
                          </a:xfrm>
                          <a:prstGeom prst="rect">
                            <a:avLst/>
                          </a:prstGeom>
                          <a:ln/>
                        </pic:spPr>
                      </pic:pic>
                    </a:graphicData>
                  </a:graphic>
                </wp:inline>
              </w:drawing>
            </w:r>
          </w:p>
        </w:tc>
      </w:tr>
      <w:tr>
        <w:tc>
          <w:tcPr>
            <w:tcW w:w="0" w:type="auto"/>
          </w:tcPr>
          <w:p>
            <w:pPr>
              <w:pStyle w:val="TableNote"/>
            </w:pPr>
            <w:r>
              <w:rPr>
                <w:rStyle w:val="Foreign"/>
              </w:rPr>
              <w:t>rggha</w:t>
            </w:r>
            <w:r>
              <w:t xml:space="preserve"> is here written in a horizontal composition, with </w:t>
            </w:r>
            <w:r>
              <w:rPr>
                <w:rStyle w:val="Foreign"/>
              </w:rPr>
              <w:t>g</w:t>
            </w:r>
            <w:r>
              <w:t xml:space="preserve"> to the left of a regularly positioned </w:t>
            </w:r>
            <w:r>
              <w:rPr>
                <w:rStyle w:val="Foreign"/>
              </w:rPr>
              <w:t>gh</w:t>
            </w:r>
            <w:r>
              <w:t xml:space="preserve"> </w:t>
            </w:r>
          </w:p>
          <w:p>
            <w:pPr>
              <w:pStyle w:val="TableNote"/>
              <w:rPr>
                <w:rFonts w:ascii="Consolas" w:hAnsi="Consolas" w:cs="Consolas"/>
                <w:noProof/>
                <w:color w:val="002060"/>
                <w:shd w:val="clear" w:color="auto" w:fill="F2F2F2" w:themeFill="background1" w:themeFillShade="F2"/>
              </w:rPr>
            </w:pPr>
            <w:r>
              <w:t xml:space="preserve">in this example the second and third consonant components have both been tagged explicitly for their position, though it may be sufficient to tag the prescript </w:t>
            </w:r>
            <w:r>
              <w:rPr>
                <w:rStyle w:val="Foreign"/>
              </w:rPr>
              <w:t>g</w:t>
            </w:r>
            <w:r>
              <w:t xml:space="preserve"> in this way</w:t>
            </w:r>
          </w:p>
        </w:tc>
        <w:tc>
          <w:tcPr>
            <w:tcW w:w="0" w:type="auto"/>
            <w:vMerge/>
          </w:tcPr>
          <w:p>
            <w:pPr>
              <w:rPr>
                <w:rStyle w:val="Code"/>
              </w:rPr>
            </w:pPr>
          </w:p>
        </w:tc>
      </w:tr>
    </w:tbl>
    <w:p>
      <w:pPr>
        <w:pStyle w:val="Cmsor3"/>
      </w:pPr>
      <w:bookmarkStart w:id="362" w:name="_qy84vdm4cqcm" w:colFirst="0" w:colLast="0"/>
      <w:bookmarkStart w:id="363" w:name="_Ref43987165"/>
      <w:bookmarkStart w:id="364" w:name="_Toc242976621"/>
      <w:bookmarkEnd w:id="362"/>
      <w:r>
        <w:t>Complex glyphs deliberately split over an intervening feature</w:t>
      </w:r>
      <w:bookmarkEnd w:id="363"/>
      <w:bookmarkEnd w:id="364"/>
    </w:p>
    <w:p>
      <w:r>
        <w:t xml:space="preserve">Parts of </w:t>
      </w:r>
      <w:r>
        <w:rPr>
          <w:rStyle w:val="Foreign"/>
        </w:rPr>
        <w:t>akṣaras</w:t>
      </w:r>
      <w:r>
        <w:t xml:space="preserve"> may be split off from the rest of the glyph by a physical feature, most commonly a line break, sometimes a physical defect in the support or the binding hole in a copper plate. In this section we discuss situations where the scribe deliberately decomposed theoretically atomic glyphs into constituent parts in order to accommodate such an intervening feature. Inadvertent splits, typically caused by fracture, are discussed in §</w:t>
      </w:r>
      <w:r>
        <w:fldChar w:fldCharType="begin"/>
      </w:r>
      <w:r>
        <w:instrText xml:space="preserve"> REF _Ref182813737 \r \h </w:instrText>
      </w:r>
      <w:r>
        <w:fldChar w:fldCharType="separate"/>
      </w:r>
      <w:r>
        <w:t>4.7.6.1</w:t>
      </w:r>
      <w:r>
        <w:fldChar w:fldCharType="end"/>
      </w:r>
      <w:r>
        <w:t>.</w:t>
      </w:r>
    </w:p>
    <w:tbl>
      <w:tblPr>
        <w:tblStyle w:val="CodeSampleTable"/>
        <w:tblpPr w:leftFromText="180" w:rightFromText="180" w:vertAnchor="text" w:tblpXSpec="right" w:tblpY="1"/>
        <w:tblOverlap w:val="never"/>
        <w:tblW w:w="3686" w:type="dxa"/>
        <w:tblLook w:val="04A0" w:firstRow="1" w:lastRow="0" w:firstColumn="1" w:lastColumn="0" w:noHBand="0" w:noVBand="1"/>
      </w:tblPr>
      <w:tblGrid>
        <w:gridCol w:w="3686"/>
      </w:tblGrid>
      <w:tr>
        <w:trPr>
          <w:cnfStyle w:val="100000000000" w:firstRow="1" w:lastRow="0" w:firstColumn="0" w:lastColumn="0" w:oddVBand="0" w:evenVBand="0" w:oddHBand="0" w:evenHBand="0" w:firstRowFirstColumn="0" w:firstRowLastColumn="0" w:lastRowFirstColumn="0" w:lastRowLastColumn="0"/>
        </w:trPr>
        <w:tc>
          <w:tcPr>
            <w:tcW w:w="0" w:type="auto"/>
          </w:tcPr>
          <w:p>
            <w:pPr>
              <w:pStyle w:val="Kpalrs"/>
            </w:pPr>
            <w:bookmarkStart w:id="365" w:name="_Ref225948796"/>
            <w:r>
              <w:t xml:space="preserve">Exhibit </w:t>
            </w:r>
            <w:fldSimple w:instr=" STYLEREF 2 \s ">
              <w:r>
                <w:rPr>
                  <w:noProof/>
                </w:rPr>
                <w:t>5.1</w:t>
              </w:r>
            </w:fldSimple>
            <w:r>
              <w:t>.</w:t>
            </w:r>
            <w:fldSimple w:instr=" SEQ Exhibit \* ALPHABETIC \s 2 ">
              <w:r>
                <w:rPr>
                  <w:noProof/>
                </w:rPr>
                <w:t>C</w:t>
              </w:r>
            </w:fldSimple>
            <w:bookmarkEnd w:id="365"/>
            <w:r>
              <w:t xml:space="preserve">: </w:t>
            </w:r>
            <w:r>
              <w:rPr>
                <w:rStyle w:val="Foreign"/>
              </w:rPr>
              <w:t>anusvāra</w:t>
            </w:r>
            <w:r>
              <w:t xml:space="preserve"> separated from glyph</w:t>
            </w:r>
          </w:p>
        </w:tc>
      </w:tr>
      <w:tr>
        <w:tc>
          <w:tcPr>
            <w:tcW w:w="0" w:type="auto"/>
          </w:tcPr>
          <w:p>
            <w:pPr>
              <w:pStyle w:val="Image"/>
            </w:pPr>
            <w:r>
              <w:drawing>
                <wp:inline distT="0" distB="0" distL="0" distR="0">
                  <wp:extent cx="1713600" cy="720000"/>
                  <wp:effectExtent l="0" t="0" r="1270" b="4445"/>
                  <wp:docPr id="1094072945"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713600" cy="720000"/>
                          </a:xfrm>
                          <a:prstGeom prst="rect">
                            <a:avLst/>
                          </a:prstGeom>
                          <a:noFill/>
                          <a:ln>
                            <a:noFill/>
                          </a:ln>
                        </pic:spPr>
                      </pic:pic>
                    </a:graphicData>
                  </a:graphic>
                </wp:inline>
              </w:drawing>
            </w:r>
          </w:p>
        </w:tc>
      </w:tr>
      <w:tr>
        <w:tc>
          <w:tcPr>
            <w:tcW w:w="0" w:type="auto"/>
          </w:tcPr>
          <w:p>
            <w:pPr>
              <w:pStyle w:val="CodeParagraph"/>
              <w:rPr>
                <w:rStyle w:val="Codetext"/>
                <w:rFonts w:ascii="Gentium" w:hAnsi="Gentium" w:cs="Tiro Devanagari Sanskrit"/>
                <w:noProof w:val="0"/>
                <w:color w:val="auto"/>
                <w:shd w:val="clear" w:color="auto" w:fill="auto"/>
              </w:rPr>
            </w:pPr>
            <w:r>
              <w:rPr>
                <w:rStyle w:val="Codetext"/>
              </w:rPr>
              <w:t>mala</w:t>
            </w:r>
            <w:r>
              <w:rPr>
                <w:rStyle w:val="Code"/>
              </w:rPr>
              <w:t xml:space="preserve">&lt;space </w:t>
            </w:r>
            <w:r>
              <w:rPr>
                <w:rStyle w:val="Codeattribute"/>
              </w:rPr>
              <w:t>type</w:t>
            </w:r>
            <w:r>
              <w:rPr>
                <w:rStyle w:val="Codetext"/>
              </w:rPr>
              <w:t>=</w:t>
            </w:r>
            <w:r>
              <w:rPr>
                <w:rStyle w:val="Codevalue"/>
              </w:rPr>
              <w:t>"binding-hole"</w:t>
            </w:r>
            <w:r>
              <w:rPr>
                <w:rStyle w:val="Code"/>
              </w:rPr>
              <w:t>/&gt;</w:t>
            </w:r>
            <w:r>
              <w:rPr>
                <w:rStyle w:val="Codetext"/>
              </w:rPr>
              <w:t>ṁka</w:t>
            </w:r>
          </w:p>
        </w:tc>
      </w:tr>
    </w:tbl>
    <w:p>
      <w:pPr>
        <w:pStyle w:val="Lista"/>
      </w:pPr>
      <w:r>
        <w:t xml:space="preserve">the intervening features may be line beginnings </w:t>
      </w:r>
      <w:r>
        <w:rPr>
          <w:noProof/>
        </w:rPr>
        <w:t>(</w:t>
      </w:r>
      <w:r>
        <w:t>§</w:t>
      </w:r>
      <w:r>
        <w:fldChar w:fldCharType="begin"/>
      </w:r>
      <w:r>
        <w:instrText xml:space="preserve"> REF _Ref43980100 \r \h </w:instrText>
      </w:r>
      <w:r>
        <w:fldChar w:fldCharType="separate"/>
      </w:r>
      <w:r>
        <w:t>4.5.1</w:t>
      </w:r>
      <w:r>
        <w:fldChar w:fldCharType="end"/>
      </w:r>
      <w:r>
        <w:t xml:space="preserve">) or space imposed by physical features </w:t>
      </w:r>
      <w:r>
        <w:rPr>
          <w:noProof/>
        </w:rPr>
        <w:t>(</w:t>
      </w:r>
      <w:r>
        <w:t>§</w:t>
      </w:r>
      <w:r>
        <w:fldChar w:fldCharType="begin"/>
      </w:r>
      <w:r>
        <w:instrText xml:space="preserve"> REF _Ref43985107 \w \h  \* MERGEFORMAT </w:instrText>
      </w:r>
      <w:r>
        <w:fldChar w:fldCharType="separate"/>
      </w:r>
      <w:r>
        <w:t>5.4.2.2</w:t>
      </w:r>
      <w:r>
        <w:fldChar w:fldCharType="end"/>
      </w:r>
      <w:r>
        <w:t>) and must be encoded as applicable</w:t>
      </w:r>
    </w:p>
    <w:p>
      <w:pPr>
        <w:pStyle w:val="Lista"/>
      </w:pPr>
      <w:r>
        <w:t xml:space="preserve">if the split can be represented accurately in transliteration because the physical order of the graphs corresponds to the logical sequence of the graphemes (typically involving </w:t>
      </w:r>
      <w:r>
        <w:rPr>
          <w:rStyle w:val="Foreign"/>
        </w:rPr>
        <w:t>anusvāra</w:t>
      </w:r>
      <w:r>
        <w:t xml:space="preserve">, </w:t>
      </w:r>
      <w:r>
        <w:rPr>
          <w:rStyle w:val="Foreign"/>
        </w:rPr>
        <w:t>visarga</w:t>
      </w:r>
      <w:r>
        <w:t xml:space="preserve"> or a postscript vowel marker) as in </w:t>
      </w:r>
      <w:r>
        <w:fldChar w:fldCharType="begin"/>
      </w:r>
      <w:r>
        <w:instrText xml:space="preserve"> REF _Ref225948796 \h </w:instrText>
      </w:r>
      <w:r>
        <w:fldChar w:fldCharType="separate"/>
      </w:r>
      <w:r>
        <w:t xml:space="preserve">Exhibit </w:t>
      </w:r>
      <w:r>
        <w:rPr>
          <w:noProof/>
        </w:rPr>
        <w:t>5.1</w:t>
      </w:r>
      <w:r>
        <w:t>.</w:t>
      </w:r>
      <w:r>
        <w:rPr>
          <w:noProof/>
        </w:rPr>
        <w:t>C</w:t>
      </w:r>
      <w:r>
        <w:fldChar w:fldCharType="end"/>
      </w:r>
      <w:r>
        <w:t>:</w:t>
      </w:r>
    </w:p>
    <w:p>
      <w:pPr>
        <w:pStyle w:val="Lista2"/>
      </w:pPr>
      <w:r>
        <w:t>apply no special markup</w:t>
      </w:r>
    </w:p>
    <w:p>
      <w:pPr>
        <w:pStyle w:val="Lista2"/>
      </w:pPr>
      <w:r>
        <w:t>encode the intervening feature in its physical and logical place</w:t>
      </w:r>
    </w:p>
    <w:tbl>
      <w:tblPr>
        <w:tblStyle w:val="CodeSampleTable"/>
        <w:tblpPr w:leftFromText="180" w:rightFromText="180" w:vertAnchor="text" w:tblpXSpec="right" w:tblpY="1"/>
        <w:tblOverlap w:val="never"/>
        <w:tblW w:w="3686" w:type="dxa"/>
        <w:tblLook w:val="04A0" w:firstRow="1" w:lastRow="0" w:firstColumn="1" w:lastColumn="0" w:noHBand="0" w:noVBand="1"/>
      </w:tblPr>
      <w:tblGrid>
        <w:gridCol w:w="3686"/>
      </w:tblGrid>
      <w:tr>
        <w:trPr>
          <w:cnfStyle w:val="100000000000" w:firstRow="1" w:lastRow="0" w:firstColumn="0" w:lastColumn="0" w:oddVBand="0" w:evenVBand="0" w:oddHBand="0" w:evenHBand="0" w:firstRowFirstColumn="0" w:firstRowLastColumn="0" w:lastRowFirstColumn="0" w:lastRowLastColumn="0"/>
        </w:trPr>
        <w:tc>
          <w:tcPr>
            <w:tcW w:w="0" w:type="auto"/>
          </w:tcPr>
          <w:p>
            <w:pPr>
              <w:pStyle w:val="Kpalrs"/>
            </w:pPr>
            <w:bookmarkStart w:id="366" w:name="_Ref225948797"/>
            <w:r>
              <w:t xml:space="preserve">Exhibit </w:t>
            </w:r>
            <w:fldSimple w:instr=" STYLEREF 2 \s ">
              <w:r>
                <w:rPr>
                  <w:noProof/>
                </w:rPr>
                <w:t>5.1</w:t>
              </w:r>
            </w:fldSimple>
            <w:r>
              <w:t>.</w:t>
            </w:r>
            <w:fldSimple w:instr=" SEQ Exhibit \* ALPHABETIC \s 2 ">
              <w:r>
                <w:rPr>
                  <w:noProof/>
                </w:rPr>
                <w:t>D</w:t>
              </w:r>
            </w:fldSimple>
            <w:bookmarkEnd w:id="366"/>
            <w:r>
              <w:t>: vowel marker separated from glyph</w:t>
            </w:r>
          </w:p>
        </w:tc>
      </w:tr>
      <w:tr>
        <w:tc>
          <w:tcPr>
            <w:tcW w:w="0" w:type="auto"/>
          </w:tcPr>
          <w:p>
            <w:pPr>
              <w:pStyle w:val="Image"/>
            </w:pPr>
            <w:r>
              <w:drawing>
                <wp:inline distT="0" distB="0" distL="0" distR="0">
                  <wp:extent cx="1818000" cy="720000"/>
                  <wp:effectExtent l="0" t="0" r="0" b="4445"/>
                  <wp:docPr id="1965550830" name="Kép 1965550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818000" cy="720000"/>
                          </a:xfrm>
                          <a:prstGeom prst="rect">
                            <a:avLst/>
                          </a:prstGeom>
                          <a:noFill/>
                          <a:ln>
                            <a:noFill/>
                          </a:ln>
                        </pic:spPr>
                      </pic:pic>
                    </a:graphicData>
                  </a:graphic>
                </wp:inline>
              </w:drawing>
            </w:r>
          </w:p>
        </w:tc>
      </w:tr>
      <w:tr>
        <w:tc>
          <w:tcPr>
            <w:tcW w:w="0" w:type="auto"/>
          </w:tcPr>
          <w:p>
            <w:pPr>
              <w:pStyle w:val="CodeParagraph"/>
              <w:rPr>
                <w:rStyle w:val="Codetext"/>
                <w:rFonts w:ascii="Gentium" w:hAnsi="Gentium" w:cs="Tiro Devanagari Sanskrit"/>
                <w:noProof w:val="0"/>
                <w:color w:val="auto"/>
                <w:shd w:val="clear" w:color="auto" w:fill="auto"/>
              </w:rPr>
            </w:pPr>
            <w:r>
              <w:rPr>
                <w:rStyle w:val="Codetext"/>
              </w:rPr>
              <w:t>A</w:t>
            </w:r>
            <w:r>
              <w:rPr>
                <w:rStyle w:val="Codetext"/>
                <w:rFonts w:ascii="Cambria Math" w:hAnsi="Cambria Math" w:cs="Cambria Math"/>
              </w:rPr>
              <w:t>⌈</w:t>
            </w:r>
            <w:r>
              <w:rPr>
                <w:rStyle w:val="Code"/>
              </w:rPr>
              <w:t xml:space="preserve">&lt;space </w:t>
            </w:r>
            <w:r>
              <w:rPr>
                <w:rStyle w:val="Codeattribute"/>
              </w:rPr>
              <w:t>type</w:t>
            </w:r>
            <w:r>
              <w:rPr>
                <w:rStyle w:val="Codetext"/>
              </w:rPr>
              <w:t>=</w:t>
            </w:r>
            <w:r>
              <w:rPr>
                <w:rStyle w:val="Codevalue"/>
              </w:rPr>
              <w:t>"descender"</w:t>
            </w:r>
            <w:r>
              <w:rPr>
                <w:rStyle w:val="Code"/>
              </w:rPr>
              <w:t>/&gt;</w:t>
            </w:r>
            <w:r>
              <w:rPr>
                <w:rStyle w:val="Codetext"/>
              </w:rPr>
              <w:t>horātri</w:t>
            </w:r>
          </w:p>
        </w:tc>
      </w:tr>
      <w:tr>
        <w:tc>
          <w:tcPr>
            <w:tcW w:w="0" w:type="auto"/>
          </w:tcPr>
          <w:p>
            <w:pPr>
              <w:pStyle w:val="TableNote"/>
            </w:pPr>
            <w:r>
              <w:t xml:space="preserve">the vowel marker for </w:t>
            </w:r>
            <w:r>
              <w:rPr>
                <w:rStyle w:val="Foreign"/>
              </w:rPr>
              <w:t>o</w:t>
            </w:r>
            <w:r>
              <w:t xml:space="preserve"> consists of a stroke on the left and another stroke on the right</w:t>
            </w:r>
          </w:p>
          <w:p>
            <w:pPr>
              <w:pStyle w:val="TableNote"/>
              <w:rPr>
                <w:rStyle w:val="Codetext"/>
                <w:color w:val="002060"/>
              </w:rPr>
            </w:pPr>
            <w:r>
              <w:t>the stroke on the left has been split off from the consonant by a descender from the line above</w:t>
            </w:r>
          </w:p>
        </w:tc>
      </w:tr>
    </w:tbl>
    <w:p>
      <w:pPr>
        <w:pStyle w:val="Lista"/>
      </w:pPr>
      <w:r>
        <w:t xml:space="preserve">if the split cannot be represented accurately in transliteration because the physical order of the graphs differs from the logical sequence of the graphemes (typically involving prescript vowel markers or a split consonant body) as in </w:t>
      </w:r>
      <w:r>
        <w:fldChar w:fldCharType="begin"/>
      </w:r>
      <w:r>
        <w:instrText xml:space="preserve"> REF _Ref225948797 \h </w:instrText>
      </w:r>
      <w:r>
        <w:fldChar w:fldCharType="separate"/>
      </w:r>
      <w:r>
        <w:t xml:space="preserve">Exhibit </w:t>
      </w:r>
      <w:r>
        <w:rPr>
          <w:noProof/>
        </w:rPr>
        <w:t>5.1</w:t>
      </w:r>
      <w:r>
        <w:t>.</w:t>
      </w:r>
      <w:r>
        <w:rPr>
          <w:noProof/>
        </w:rPr>
        <w:t>D</w:t>
      </w:r>
      <w:r>
        <w:fldChar w:fldCharType="end"/>
      </w:r>
      <w:r>
        <w:t>:</w:t>
      </w:r>
    </w:p>
    <w:p>
      <w:pPr>
        <w:pStyle w:val="Lista2"/>
      </w:pPr>
      <w:r>
        <w:t xml:space="preserve">this is handled in transliteration by means of the placeholder characters ⌈ </w:t>
      </w:r>
      <w:r>
        <w:rPr>
          <w:noProof/>
        </w:rPr>
        <w:t>(</w:t>
      </w:r>
      <w:r>
        <w:t xml:space="preserve">left ceiling, U+2308) and ⌉ </w:t>
      </w:r>
      <w:r>
        <w:rPr>
          <w:noProof/>
        </w:rPr>
        <w:t>(</w:t>
      </w:r>
      <w:r>
        <w:t>right ceiling, U+2309), as per TG §4.4.7</w:t>
      </w:r>
    </w:p>
    <w:p>
      <w:pPr>
        <w:pStyle w:val="Lista3"/>
      </w:pPr>
      <w:r>
        <w:t>the placeholder characters are essential shorthand (TG §3.3.1), meaning that they do not have an encoding alternative in DHARMA practice and will be used in XML editions in the same way as in non-XML contexts</w:t>
      </w:r>
    </w:p>
    <w:p>
      <w:pPr>
        <w:pStyle w:val="Lista2"/>
      </w:pPr>
      <w:r>
        <w:t>follow the TG’s instructions as regards the placement of the ceiling and the transliterated graphemes vis-à-vis the encoded interruption</w:t>
      </w:r>
    </w:p>
    <w:p>
      <w:pPr>
        <w:pStyle w:val="Lista2"/>
      </w:pPr>
      <w:r>
        <w:t xml:space="preserve">all the target graphemes pertaining to an original </w:t>
      </w:r>
      <w:r>
        <w:rPr>
          <w:rStyle w:val="Foreign"/>
        </w:rPr>
        <w:t>akṣara</w:t>
      </w:r>
      <w:r>
        <w:t xml:space="preserve"> must be placed on that side of the interruption where the consonant body is located, while the applicable placeholder character must be placed on the other side of the interruption</w:t>
      </w:r>
    </w:p>
    <w:p>
      <w:pPr>
        <w:pStyle w:val="Cmsor4"/>
      </w:pPr>
      <w:r>
        <w:lastRenderedPageBreak/>
        <w:t>Split glyphs combined with legibility issues</w:t>
      </w:r>
    </w:p>
    <w:p>
      <w:pPr>
        <w:pStyle w:val="Lista"/>
      </w:pPr>
      <w:r>
        <w:t>in all examples in this subsection</w:t>
      </w:r>
    </w:p>
    <w:p>
      <w:pPr>
        <w:pStyle w:val="Lista2"/>
      </w:pPr>
      <w:r>
        <w:t>&lt;&gt; represents an interrupting element of any nature</w:t>
      </w:r>
    </w:p>
    <w:p>
      <w:pPr>
        <w:pStyle w:val="Lista2"/>
      </w:pPr>
      <w:r>
        <w:t>grey text represents unclear graphs or elements</w:t>
      </w:r>
    </w:p>
    <w:p>
      <w:pPr>
        <w:pStyle w:val="Lista2"/>
      </w:pPr>
      <w:r>
        <w:t>the dotted circle ◌ is to be ignored</w:t>
      </w:r>
    </w:p>
    <w:p>
      <w:pPr>
        <w:pStyle w:val="Lista"/>
      </w:pPr>
      <w:r>
        <w:t xml:space="preserve">if some of the components involved are </w:t>
      </w:r>
      <w:r>
        <w:rPr>
          <w:b/>
          <w:bCs/>
        </w:rPr>
        <w:t>unclear</w:t>
      </w:r>
      <w:r>
        <w:t xml:space="preserve"> </w:t>
      </w:r>
      <w:r>
        <w:rPr>
          <w:noProof/>
        </w:rPr>
        <w:t>(</w:t>
      </w:r>
      <w:r>
        <w:t>§</w:t>
      </w:r>
      <w:r>
        <w:fldChar w:fldCharType="begin"/>
      </w:r>
      <w:r>
        <w:instrText xml:space="preserve"> REF _Ref43981505 \r \h </w:instrText>
      </w:r>
      <w:r>
        <w:fldChar w:fldCharType="separate"/>
      </w:r>
      <w:r>
        <w:t>6.3</w:t>
      </w:r>
      <w:r>
        <w:fldChar w:fldCharType="end"/>
      </w:r>
      <w:r>
        <w:t>)</w:t>
      </w:r>
    </w:p>
    <w:p>
      <w:pPr>
        <w:pStyle w:val="Lista2"/>
      </w:pPr>
      <w:r>
        <w:t>apply this tag to whichever target graphemes are affected, but not to unaffected ones</w:t>
      </w:r>
    </w:p>
    <w:p>
      <w:pPr>
        <w:pStyle w:val="Lista2"/>
      </w:pPr>
      <w:r>
        <w:t>if and only if the split-off component is itself affected, apply the tag to the placeholder and to the corresponding target grapheme separately, without including the encoded interruption</w:t>
      </w:r>
    </w:p>
    <w:p>
      <w:pPr>
        <w:pStyle w:val="Lista2"/>
      </w:pPr>
      <w:r>
        <w:t>for example:</w:t>
      </w:r>
    </w:p>
    <w:p>
      <w:pPr>
        <w:pStyle w:val="Lista3"/>
      </w:pPr>
      <w:r>
        <w:rPr>
          <w:rStyle w:val="ForeignTamilScript"/>
          <w:cs/>
        </w:rPr>
        <w:t>கெ</w:t>
      </w:r>
      <w:r>
        <w:t>&lt;&gt;</w:t>
      </w:r>
      <w:r>
        <w:rPr>
          <w:rStyle w:val="ForeignTamilScript"/>
          <w:color w:val="808080" w:themeColor="background1" w:themeShade="80"/>
          <w:cs/>
        </w:rPr>
        <w:t xml:space="preserve"> ா</w:t>
      </w:r>
      <w:r>
        <w:rPr>
          <w:cs/>
        </w:rPr>
        <w:t xml:space="preserve"> </w:t>
      </w:r>
      <w:r>
        <w:rPr>
          <w:rFonts w:cs="Gentium"/>
        </w:rPr>
        <w:t>→</w:t>
      </w:r>
      <w:r>
        <w:rPr>
          <w:rStyle w:val="ForeignTamilScript"/>
        </w:rPr>
        <w:t xml:space="preserve"> </w:t>
      </w:r>
      <w:r>
        <w:rPr>
          <w:rStyle w:val="Codetext"/>
        </w:rPr>
        <w:t>k</w:t>
      </w:r>
      <w:r>
        <w:rPr>
          <w:rStyle w:val="Code"/>
        </w:rPr>
        <w:t>&lt;unclear&gt;</w:t>
      </w:r>
      <w:r>
        <w:rPr>
          <w:rStyle w:val="Codetext"/>
        </w:rPr>
        <w:t>o</w:t>
      </w:r>
      <w:r>
        <w:rPr>
          <w:rStyle w:val="Code"/>
        </w:rPr>
        <w:t>&lt;/unclear&gt;&lt;&gt;&lt;unclear&gt;</w:t>
      </w:r>
      <w:r>
        <w:rPr>
          <w:rStyle w:val="Codetext"/>
          <w:rFonts w:ascii="Cambria Math" w:hAnsi="Cambria Math" w:cs="Cambria Math"/>
        </w:rPr>
        <w:t>⌉</w:t>
      </w:r>
      <w:r>
        <w:rPr>
          <w:rStyle w:val="Code"/>
        </w:rPr>
        <w:t>&lt;/unclear&gt;</w:t>
      </w:r>
    </w:p>
    <w:p>
      <w:pPr>
        <w:pStyle w:val="Lista3"/>
      </w:pPr>
      <w:r>
        <w:rPr>
          <w:rStyle w:val="ForeignTamilScript"/>
          <w:color w:val="808080" w:themeColor="background1" w:themeShade="80"/>
          <w:cs/>
        </w:rPr>
        <w:t>கெ</w:t>
      </w:r>
      <w:r>
        <w:t>&lt;&gt;</w:t>
      </w:r>
      <w:r>
        <w:rPr>
          <w:rStyle w:val="ForeignTamilScript"/>
          <w:cs/>
        </w:rPr>
        <w:t xml:space="preserve"> ா </w:t>
      </w:r>
      <w:r>
        <w:rPr>
          <w:rFonts w:cs="Gentium"/>
        </w:rPr>
        <w:t>→</w:t>
      </w:r>
      <w:r>
        <w:t xml:space="preserve"> </w:t>
      </w:r>
      <w:r>
        <w:rPr>
          <w:rStyle w:val="Code"/>
        </w:rPr>
        <w:t>&lt;unclear&gt;</w:t>
      </w:r>
      <w:r>
        <w:rPr>
          <w:rStyle w:val="Codetext"/>
        </w:rPr>
        <w:t>ko</w:t>
      </w:r>
      <w:r>
        <w:rPr>
          <w:rStyle w:val="Code"/>
        </w:rPr>
        <w:t>&lt;/unclear&gt;&lt;&gt;</w:t>
      </w:r>
      <w:r>
        <w:rPr>
          <w:rStyle w:val="Codetext"/>
          <w:rFonts w:ascii="Cambria Math" w:hAnsi="Cambria Math" w:cs="Cambria Math"/>
        </w:rPr>
        <w:t>⌉</w:t>
      </w:r>
    </w:p>
    <w:p>
      <w:pPr>
        <w:pStyle w:val="Lista3"/>
      </w:pPr>
      <w:r>
        <w:rPr>
          <w:rStyle w:val="ForeignTamilScript"/>
          <w:color w:val="808080" w:themeColor="background1" w:themeShade="80"/>
          <w:cs/>
        </w:rPr>
        <w:t>ெ</w:t>
      </w:r>
      <w:r>
        <w:t>&lt;&gt;</w:t>
      </w:r>
      <w:r>
        <w:rPr>
          <w:rStyle w:val="ForeignTamilScript"/>
          <w:cs/>
        </w:rPr>
        <w:t>கா</w:t>
      </w:r>
      <w:r>
        <w:rPr>
          <w:cs/>
        </w:rPr>
        <w:t xml:space="preserve"> </w:t>
      </w:r>
      <w:r>
        <w:rPr>
          <w:rFonts w:cs="Gentium"/>
        </w:rPr>
        <w:t>→</w:t>
      </w:r>
      <w:r>
        <w:t xml:space="preserve"> </w:t>
      </w:r>
      <w:r>
        <w:rPr>
          <w:rStyle w:val="Code"/>
        </w:rPr>
        <w:t>&lt;unclear&gt;</w:t>
      </w:r>
      <w:r>
        <w:rPr>
          <w:rStyle w:val="Codetext"/>
          <w:rFonts w:ascii="Cambria Math" w:hAnsi="Cambria Math" w:cs="Cambria Math"/>
        </w:rPr>
        <w:t>⌈</w:t>
      </w:r>
      <w:r>
        <w:rPr>
          <w:rStyle w:val="Code"/>
        </w:rPr>
        <w:t>&lt;/unclear&gt;&lt;&gt;</w:t>
      </w:r>
      <w:r>
        <w:rPr>
          <w:rStyle w:val="Codetext"/>
        </w:rPr>
        <w:t>k</w:t>
      </w:r>
      <w:r>
        <w:rPr>
          <w:rStyle w:val="Code"/>
        </w:rPr>
        <w:t>&lt;unclear&gt;</w:t>
      </w:r>
      <w:r>
        <w:rPr>
          <w:rStyle w:val="Codetext"/>
        </w:rPr>
        <w:t>o</w:t>
      </w:r>
      <w:r>
        <w:rPr>
          <w:rStyle w:val="Code"/>
        </w:rPr>
        <w:t>&lt;/unclear&gt;</w:t>
      </w:r>
    </w:p>
    <w:p>
      <w:pPr>
        <w:pStyle w:val="Lista2"/>
      </w:pPr>
      <w:r>
        <w:t xml:space="preserve">if the reading of some components is </w:t>
      </w:r>
      <w:r>
        <w:rPr>
          <w:b/>
          <w:bCs/>
        </w:rPr>
        <w:t>ambivalent</w:t>
      </w:r>
      <w:r>
        <w:t xml:space="preserve"> </w:t>
      </w:r>
      <w:r>
        <w:rPr>
          <w:noProof/>
        </w:rPr>
        <w:t>(</w:t>
      </w:r>
      <w:r>
        <w:t>§</w:t>
      </w:r>
      <w:r>
        <w:fldChar w:fldCharType="begin"/>
      </w:r>
      <w:r>
        <w:instrText xml:space="preserve"> REF _Ref43987339 \w \h  \* MERGEFORMAT </w:instrText>
      </w:r>
      <w:r>
        <w:fldChar w:fldCharType="separate"/>
      </w:r>
      <w:r>
        <w:t>6.3.2</w:t>
      </w:r>
      <w:r>
        <w:fldChar w:fldCharType="end"/>
      </w:r>
      <w:r>
        <w:t>)</w:t>
      </w:r>
    </w:p>
    <w:p>
      <w:pPr>
        <w:pStyle w:val="Lista3"/>
      </w:pPr>
      <w:r>
        <w:t>consider alternatives in the interest of minimising complexity</w:t>
      </w:r>
    </w:p>
    <w:p>
      <w:pPr>
        <w:pStyle w:val="Lista4"/>
      </w:pPr>
      <w:r>
        <w:t xml:space="preserve">encoding the </w:t>
      </w:r>
      <w:r>
        <w:rPr>
          <w:rStyle w:val="Foreign"/>
        </w:rPr>
        <w:t>akṣara</w:t>
      </w:r>
      <w:r>
        <w:t xml:space="preserve"> as unclear may be sufficient for a reader familiar with the script to deduce the possible alternatives</w:t>
      </w:r>
    </w:p>
    <w:p>
      <w:pPr>
        <w:pStyle w:val="Lista4"/>
      </w:pPr>
      <w:r>
        <w:t>annotation may be added to explain the nature of the problem to the human end user</w:t>
      </w:r>
    </w:p>
    <w:p>
      <w:pPr>
        <w:pStyle w:val="Lista3"/>
      </w:pPr>
      <w:r>
        <w:t>if you deem that encoding ambivalence is essential</w:t>
      </w:r>
    </w:p>
    <w:p>
      <w:pPr>
        <w:pStyle w:val="Lista4"/>
      </w:pPr>
      <w:r>
        <w:t>do so for the target graphemes concerned</w:t>
      </w:r>
    </w:p>
    <w:p>
      <w:pPr>
        <w:pStyle w:val="Lista4"/>
      </w:pPr>
      <w:r>
        <w:t>add an unclear tag to the placeholder if the split-off component is affected</w:t>
      </w:r>
    </w:p>
    <w:p>
      <w:pPr>
        <w:pStyle w:val="Lista4"/>
      </w:pPr>
      <w:r>
        <w:t>do not include the placeholder in the markup for ambivalence, and do not include the interruption itself in any markup</w:t>
      </w:r>
    </w:p>
    <w:p>
      <w:pPr>
        <w:pStyle w:val="Lista3"/>
      </w:pPr>
      <w:r>
        <w:t>for example:</w:t>
      </w:r>
    </w:p>
    <w:p>
      <w:pPr>
        <w:pStyle w:val="Lista4"/>
      </w:pPr>
      <w:r>
        <w:rPr>
          <w:rStyle w:val="ForeignTamilScript"/>
          <w:cs/>
        </w:rPr>
        <w:t>கெ</w:t>
      </w:r>
      <w:r>
        <w:t>&lt;&gt;</w:t>
      </w:r>
      <w:r>
        <w:rPr>
          <w:rStyle w:val="ForeignTamilScript"/>
          <w:color w:val="808080" w:themeColor="background1" w:themeShade="80"/>
          <w:cs/>
        </w:rPr>
        <w:t xml:space="preserve"> ா</w:t>
      </w:r>
      <w:r>
        <w:rPr>
          <w:rStyle w:val="ForeignTamilScript"/>
          <w:cs/>
        </w:rPr>
        <w:t xml:space="preserve"> </w:t>
      </w:r>
      <w:r>
        <w:rPr>
          <w:rStyle w:val="ForeignTamilScript"/>
        </w:rPr>
        <w:t>(</w:t>
      </w:r>
      <w:r>
        <w:t xml:space="preserve">where the unclear element after the interruption may be the glyph </w:t>
      </w:r>
      <w:r>
        <w:rPr>
          <w:rStyle w:val="ForeignTamilScript"/>
          <w:cs/>
        </w:rPr>
        <w:t xml:space="preserve">ர </w:t>
      </w:r>
      <w:r>
        <w:rPr>
          <w:rStyle w:val="Foreign"/>
        </w:rPr>
        <w:t>ra</w:t>
      </w:r>
      <w:r>
        <w:t xml:space="preserve"> instead of the vowel marker </w:t>
      </w:r>
      <w:r>
        <w:rPr>
          <w:rStyle w:val="ForeignTamilScript"/>
          <w:cs/>
        </w:rPr>
        <w:t>ா</w:t>
      </w:r>
      <w:r>
        <w:t xml:space="preserve">) </w:t>
      </w:r>
      <w:r>
        <w:rPr>
          <w:rFonts w:cs="Gentium"/>
        </w:rPr>
        <w:t>→</w:t>
      </w:r>
    </w:p>
    <w:p>
      <w:pPr>
        <w:pStyle w:val="Lista5"/>
      </w:pPr>
      <w:r>
        <w:rPr>
          <w:rStyle w:val="Codetext"/>
        </w:rPr>
        <w:t>k</w:t>
      </w:r>
      <w:r>
        <w:rPr>
          <w:rStyle w:val="Code"/>
        </w:rPr>
        <w:t>&lt;choice&gt;&lt;unclear&gt;</w:t>
      </w:r>
      <w:r>
        <w:rPr>
          <w:rStyle w:val="Codetext"/>
        </w:rPr>
        <w:t>o</w:t>
      </w:r>
      <w:r>
        <w:rPr>
          <w:rStyle w:val="Code"/>
        </w:rPr>
        <w:t>&lt;/unclear&gt;&lt;unclear&gt;</w:t>
      </w:r>
      <w:r>
        <w:rPr>
          <w:rStyle w:val="Codetext"/>
        </w:rPr>
        <w:t>era</w:t>
      </w:r>
      <w:r>
        <w:rPr>
          <w:rStyle w:val="Code"/>
        </w:rPr>
        <w:t>&lt;/unclear&gt;&lt;/choice&gt;</w:t>
      </w:r>
      <w:r>
        <w:rPr>
          <w:rStyle w:val="Code"/>
        </w:rPr>
        <w:br/>
        <w:t>&lt;&gt;&lt;unclear&gt;</w:t>
      </w:r>
      <w:r>
        <w:rPr>
          <w:rStyle w:val="Codetext"/>
          <w:rFonts w:ascii="Cambria Math" w:hAnsi="Cambria Math" w:cs="Cambria Math"/>
        </w:rPr>
        <w:t>⌉</w:t>
      </w:r>
      <w:r>
        <w:rPr>
          <w:rStyle w:val="Code"/>
        </w:rPr>
        <w:t>&lt;/unclear&gt;</w:t>
      </w:r>
    </w:p>
    <w:p>
      <w:pPr>
        <w:pStyle w:val="Lista5"/>
      </w:pPr>
      <w:r>
        <w:t xml:space="preserve">note that in this case the second option of the </w:t>
      </w:r>
      <w:r>
        <w:rPr>
          <w:rStyle w:val="Code"/>
        </w:rPr>
        <w:t>&lt;choice&gt;</w:t>
      </w:r>
      <w:r>
        <w:t xml:space="preserve"> element produces the text </w:t>
      </w:r>
      <w:r>
        <w:rPr>
          <w:noProof/>
        </w:rPr>
        <w:t>“</w:t>
      </w:r>
      <w:r>
        <w:rPr>
          <w:rStyle w:val="Foreign"/>
        </w:rPr>
        <w:t>kera</w:t>
      </w:r>
      <w:r>
        <w:t xml:space="preserve">&lt;&gt;⌉”, where the placeholder sign must be understood to mean that the entire preceding </w:t>
      </w:r>
      <w:r>
        <w:rPr>
          <w:rStyle w:val="Foreign"/>
        </w:rPr>
        <w:t>akṣara</w:t>
      </w:r>
      <w:r>
        <w:t xml:space="preserve"> </w:t>
      </w:r>
      <w:r>
        <w:rPr>
          <w:noProof/>
        </w:rPr>
        <w:t>(</w:t>
      </w:r>
      <w:r>
        <w:t xml:space="preserve">i.e. </w:t>
      </w:r>
      <w:r>
        <w:rPr>
          <w:rStyle w:val="Foreign"/>
        </w:rPr>
        <w:t>ra</w:t>
      </w:r>
      <w:r>
        <w:t>), rather than just one component of it, is located after the interruption</w:t>
      </w:r>
      <w:r>
        <w:rPr>
          <w:rStyle w:val="Lbjegyzet-hivatkozs"/>
        </w:rPr>
        <w:footnoteReference w:id="19"/>
      </w:r>
    </w:p>
    <w:p>
      <w:pPr>
        <w:pStyle w:val="Lista2"/>
      </w:pPr>
      <w:r>
        <w:t xml:space="preserve">if an adjacent </w:t>
      </w:r>
      <w:r>
        <w:rPr>
          <w:b/>
          <w:bCs/>
        </w:rPr>
        <w:t>lacuna</w:t>
      </w:r>
      <w:r>
        <w:t xml:space="preserve"> has obliterated a split-off component which you </w:t>
      </w:r>
      <w:r>
        <w:rPr>
          <w:b/>
          <w:bCs/>
        </w:rPr>
        <w:t>supply</w:t>
      </w:r>
      <w:r>
        <w:t xml:space="preserve"> </w:t>
      </w:r>
      <w:r>
        <w:rPr>
          <w:noProof/>
        </w:rPr>
        <w:t>(</w:t>
      </w:r>
      <w:r>
        <w:t>§</w:t>
      </w:r>
      <w:r>
        <w:fldChar w:fldCharType="begin"/>
      </w:r>
      <w:r>
        <w:instrText xml:space="preserve"> REF _Ref228459751 \r \h </w:instrText>
      </w:r>
      <w:r>
        <w:fldChar w:fldCharType="separate"/>
      </w:r>
      <w:r>
        <w:t>6.4</w:t>
      </w:r>
      <w:r>
        <w:fldChar w:fldCharType="end"/>
      </w:r>
      <w:r>
        <w:t>)</w:t>
      </w:r>
    </w:p>
    <w:p>
      <w:pPr>
        <w:pStyle w:val="Lista3"/>
      </w:pPr>
      <w:r>
        <w:t>mark up the affected vowel</w:t>
      </w:r>
    </w:p>
    <w:p>
      <w:pPr>
        <w:pStyle w:val="Lista4"/>
      </w:pPr>
      <w:r>
        <w:t>as supplied if it consists only of the supplied split-off component</w:t>
      </w:r>
    </w:p>
    <w:p>
      <w:pPr>
        <w:pStyle w:val="Lista4"/>
      </w:pPr>
      <w:r>
        <w:t xml:space="preserve">as unclear if it consists of an extant component </w:t>
      </w:r>
      <w:r>
        <w:rPr>
          <w:rStyle w:val="Foreign"/>
        </w:rPr>
        <w:t>and</w:t>
      </w:r>
      <w:r>
        <w:t xml:space="preserve"> a supplied split-off component</w:t>
      </w:r>
    </w:p>
    <w:p>
      <w:pPr>
        <w:pStyle w:val="Lista3"/>
      </w:pPr>
      <w:r>
        <w:t>mark up the placeholder as supplied</w:t>
      </w:r>
    </w:p>
    <w:p>
      <w:pPr>
        <w:pStyle w:val="Lista3"/>
      </w:pPr>
      <w:r>
        <w:t>do not include the interruption itself in any markup</w:t>
      </w:r>
    </w:p>
    <w:p>
      <w:pPr>
        <w:pStyle w:val="Lista3"/>
      </w:pPr>
      <w:r>
        <w:t>for example</w:t>
      </w:r>
    </w:p>
    <w:p>
      <w:pPr>
        <w:pStyle w:val="Lista4"/>
      </w:pPr>
      <w:r>
        <w:rPr>
          <w:rStyle w:val="ForeignTamilScript"/>
          <w:cs/>
        </w:rPr>
        <w:t>கெ</w:t>
      </w:r>
      <w:r>
        <w:t>&lt;&gt;</w:t>
      </w:r>
      <w:r>
        <w:rPr>
          <w:rStyle w:val="ForeignTamilScript"/>
          <w:color w:val="808080" w:themeColor="background1" w:themeShade="80"/>
          <w:cs/>
        </w:rPr>
        <w:t xml:space="preserve"> ா</w:t>
      </w:r>
      <w:r>
        <w:rPr>
          <w:cs/>
        </w:rPr>
        <w:t xml:space="preserve"> </w:t>
      </w:r>
      <w:r>
        <w:t xml:space="preserve">(with grey text for the restored lacuna) </w:t>
      </w:r>
      <w:r>
        <w:rPr>
          <w:rFonts w:cs="Gentium"/>
        </w:rPr>
        <w:t>→</w:t>
      </w:r>
    </w:p>
    <w:p>
      <w:pPr>
        <w:pStyle w:val="Lista5"/>
      </w:pPr>
      <w:r>
        <w:rPr>
          <w:rStyle w:val="Codetext"/>
        </w:rPr>
        <w:t>k</w:t>
      </w:r>
      <w:r>
        <w:rPr>
          <w:rStyle w:val="Code"/>
        </w:rPr>
        <w:t>&lt;unclear&gt;</w:t>
      </w:r>
      <w:r>
        <w:rPr>
          <w:rStyle w:val="Codetext"/>
        </w:rPr>
        <w:t>o</w:t>
      </w:r>
      <w:r>
        <w:rPr>
          <w:rStyle w:val="Code"/>
        </w:rPr>
        <w:t>&lt;/unclear&gt;</w:t>
      </w:r>
      <w:r>
        <w:rPr>
          <w:rStyle w:val="Code"/>
        </w:rPr>
        <w:br/>
        <w:t xml:space="preserve">&lt;&gt;&lt;supplied </w:t>
      </w:r>
      <w:r>
        <w:rPr>
          <w:rStyle w:val="Codeattribute"/>
        </w:rPr>
        <w:t>reason</w:t>
      </w:r>
      <w:r>
        <w:rPr>
          <w:rStyle w:val="Code"/>
        </w:rPr>
        <w:t>=</w:t>
      </w:r>
      <w:r>
        <w:rPr>
          <w:rStyle w:val="Codevalue"/>
        </w:rPr>
        <w:t>"lost"</w:t>
      </w:r>
      <w:r>
        <w:rPr>
          <w:rStyle w:val="Code"/>
        </w:rPr>
        <w:t>&gt;</w:t>
      </w:r>
      <w:r>
        <w:rPr>
          <w:rStyle w:val="Codetext"/>
          <w:rFonts w:ascii="Cambria Math" w:hAnsi="Cambria Math" w:cs="Cambria Math"/>
        </w:rPr>
        <w:t>⌉</w:t>
      </w:r>
      <w:r>
        <w:rPr>
          <w:rStyle w:val="Code"/>
        </w:rPr>
        <w:t>&lt;/supplied&gt;</w:t>
      </w:r>
    </w:p>
    <w:p>
      <w:pPr>
        <w:pStyle w:val="Lista4"/>
      </w:pPr>
      <w:r>
        <w:rPr>
          <w:rStyle w:val="ForeignTamilScript"/>
          <w:color w:val="808080" w:themeColor="background1" w:themeShade="80"/>
          <w:cs/>
        </w:rPr>
        <w:t>ெ</w:t>
      </w:r>
      <w:r>
        <w:t>&lt;&gt;</w:t>
      </w:r>
      <w:r>
        <w:rPr>
          <w:rStyle w:val="ForeignTamilScript"/>
          <w:cs/>
        </w:rPr>
        <w:t>க</w:t>
      </w:r>
      <w:r>
        <w:rPr>
          <w:cs/>
        </w:rPr>
        <w:t xml:space="preserve"> </w:t>
      </w:r>
      <w:r>
        <w:rPr>
          <w:rFonts w:cs="Gentium"/>
        </w:rPr>
        <w:t>→</w:t>
      </w:r>
    </w:p>
    <w:p>
      <w:pPr>
        <w:pStyle w:val="Lista5"/>
      </w:pPr>
      <w:r>
        <w:rPr>
          <w:rStyle w:val="Code"/>
        </w:rPr>
        <w:t xml:space="preserve">&lt;supplied </w:t>
      </w:r>
      <w:r>
        <w:rPr>
          <w:rStyle w:val="Codeattribute"/>
        </w:rPr>
        <w:t>reason</w:t>
      </w:r>
      <w:r>
        <w:rPr>
          <w:rStyle w:val="Code"/>
        </w:rPr>
        <w:t>=</w:t>
      </w:r>
      <w:r>
        <w:rPr>
          <w:rStyle w:val="Codevalue"/>
        </w:rPr>
        <w:t>"lost"</w:t>
      </w:r>
      <w:r>
        <w:rPr>
          <w:rStyle w:val="Code"/>
        </w:rPr>
        <w:t>&gt;</w:t>
      </w:r>
      <w:r>
        <w:rPr>
          <w:rStyle w:val="Codetext"/>
          <w:rFonts w:ascii="Cambria Math" w:hAnsi="Cambria Math" w:cs="Cambria Math"/>
        </w:rPr>
        <w:t>⌈</w:t>
      </w:r>
      <w:r>
        <w:rPr>
          <w:rStyle w:val="Code"/>
        </w:rPr>
        <w:t>&lt;/supplied&gt;</w:t>
      </w:r>
      <w:r>
        <w:rPr>
          <w:rStyle w:val="Code"/>
        </w:rPr>
        <w:br/>
        <w:t>&lt;&gt;</w:t>
      </w:r>
      <w:r>
        <w:rPr>
          <w:rStyle w:val="Codetext"/>
        </w:rPr>
        <w:t>k</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e</w:t>
      </w:r>
      <w:r>
        <w:rPr>
          <w:rStyle w:val="Code"/>
        </w:rPr>
        <w:t>&lt;/supplied&gt;</w:t>
      </w:r>
    </w:p>
    <w:p>
      <w:pPr>
        <w:pStyle w:val="Lista2"/>
      </w:pPr>
      <w:r>
        <w:t xml:space="preserve">if an adjacent </w:t>
      </w:r>
      <w:r>
        <w:rPr>
          <w:b/>
          <w:bCs/>
        </w:rPr>
        <w:t>lacuna</w:t>
      </w:r>
      <w:r>
        <w:t xml:space="preserve"> may have obliterated a split-off component but you </w:t>
      </w:r>
      <w:r>
        <w:rPr>
          <w:b/>
          <w:bCs/>
        </w:rPr>
        <w:t xml:space="preserve">do not supply </w:t>
      </w:r>
      <w:r>
        <w:t>this even tentatively</w:t>
      </w:r>
    </w:p>
    <w:p>
      <w:pPr>
        <w:pStyle w:val="Lista3"/>
      </w:pPr>
      <w:r>
        <w:t xml:space="preserve">simply mark up the </w:t>
      </w:r>
      <w:r>
        <w:rPr>
          <w:rStyle w:val="Foreign"/>
        </w:rPr>
        <w:t>extant</w:t>
      </w:r>
      <w:r>
        <w:t xml:space="preserve"> vowel component as unclear and leave it to the proficient reader to deduce the fact that an additional component may have been destroyed in the lacuna</w:t>
      </w:r>
    </w:p>
    <w:p>
      <w:pPr>
        <w:pStyle w:val="Cmsor3"/>
      </w:pPr>
      <w:bookmarkStart w:id="367" w:name="_Ref226033790"/>
      <w:bookmarkStart w:id="368" w:name="_Toc242976622"/>
      <w:r>
        <w:lastRenderedPageBreak/>
        <w:t>Phonographic glyphs in a different function</w:t>
      </w:r>
      <w:bookmarkEnd w:id="367"/>
      <w:bookmarkEnd w:id="368"/>
    </w:p>
    <w:p>
      <w:pPr>
        <w:rPr>
          <w:lang w:eastAsia="en-US" w:bidi="ar-SA"/>
        </w:rPr>
      </w:pPr>
      <w:r>
        <w:rPr>
          <w:lang w:eastAsia="en-US" w:bidi="ar-SA"/>
        </w:rPr>
        <w:t xml:space="preserve">The glyphs that normally manifest phonographic graphemes or </w:t>
      </w:r>
      <w:r>
        <w:rPr>
          <w:rStyle w:val="Foreign"/>
        </w:rPr>
        <w:t>akṣara</w:t>
      </w:r>
      <w:r>
        <w:rPr>
          <w:noProof/>
          <w:lang w:eastAsia="en-US" w:bidi="ar-SA"/>
        </w:rPr>
        <w:t>s</w:t>
      </w:r>
      <w:r>
        <w:rPr>
          <w:lang w:eastAsia="en-US" w:bidi="ar-SA"/>
        </w:rPr>
        <w:t xml:space="preserve"> may occasionally be used in other graphemic functions. </w:t>
      </w:r>
      <w:r>
        <w:t xml:space="preserve">For example, the glyphs for |ka|, |kha| etc. may be used for numeration, while those for </w:t>
      </w:r>
      <w:r>
        <w:rPr>
          <w:rStyle w:val="ForeignIndic"/>
        </w:rPr>
        <w:t>|tha|</w:t>
      </w:r>
      <w:r>
        <w:t xml:space="preserve">, </w:t>
      </w:r>
      <w:r>
        <w:rPr>
          <w:rStyle w:val="ForeignIndic"/>
        </w:rPr>
        <w:t>|cha|</w:t>
      </w:r>
      <w:r>
        <w:t xml:space="preserve"> or </w:t>
      </w:r>
      <w:r>
        <w:rPr>
          <w:rStyle w:val="ForeignIndic"/>
        </w:rPr>
        <w:t>|chaḥ|</w:t>
      </w:r>
      <w:r>
        <w:t xml:space="preserve"> may be employed as closing symbols at the end of texts. In such cases, transliterate the glyph with the appropriate phonographic target graphemes</w:t>
      </w:r>
      <w:r>
        <w:rPr>
          <w:lang w:eastAsia="en-US" w:bidi="ar-SA"/>
        </w:rPr>
        <w:t>. However, as per TG §6.2, symbol glyphs whose shape is similar to a phonographic glyph but not identical to that glyph as attested or expected in the given writing system shall be treated as peripheral graphemes and encoded accordingly (§</w:t>
      </w:r>
      <w:r>
        <w:rPr>
          <w:lang w:eastAsia="en-US" w:bidi="ar-SA"/>
        </w:rPr>
        <w:fldChar w:fldCharType="begin"/>
      </w:r>
      <w:r>
        <w:rPr>
          <w:lang w:eastAsia="en-US" w:bidi="ar-SA"/>
        </w:rPr>
        <w:instrText xml:space="preserve"> REF _Ref226033363 \r \h </w:instrText>
      </w:r>
      <w:r>
        <w:rPr>
          <w:lang w:eastAsia="en-US" w:bidi="ar-SA"/>
        </w:rPr>
      </w:r>
      <w:r>
        <w:rPr>
          <w:lang w:eastAsia="en-US" w:bidi="ar-SA"/>
        </w:rPr>
        <w:fldChar w:fldCharType="separate"/>
      </w:r>
      <w:r>
        <w:rPr>
          <w:lang w:eastAsia="en-US" w:bidi="ar-SA"/>
        </w:rPr>
        <w:t>5.3</w:t>
      </w:r>
      <w:r>
        <w:rPr>
          <w:lang w:eastAsia="en-US" w:bidi="ar-SA"/>
        </w:rPr>
        <w:fldChar w:fldCharType="end"/>
      </w:r>
      <w:r>
        <w:rPr>
          <w:lang w:eastAsia="en-US" w:bidi="ar-SA"/>
        </w:rPr>
        <w:t>).</w:t>
      </w:r>
    </w:p>
    <w:p>
      <w:pPr>
        <w:pStyle w:val="Cmsor2"/>
      </w:pPr>
      <w:bookmarkStart w:id="369" w:name="_f8rlfquf7u2o" w:colFirst="0" w:colLast="0"/>
      <w:bookmarkStart w:id="370" w:name="_Ref226015920"/>
      <w:bookmarkEnd w:id="369"/>
      <w:r>
        <w:t>Numeral signs</w:t>
      </w:r>
      <w:bookmarkEnd w:id="370"/>
    </w:p>
    <w:p>
      <w:pPr>
        <w:rPr>
          <w:lang w:eastAsia="en-US" w:bidi="ar-SA"/>
        </w:rPr>
      </w:pPr>
      <w:r>
        <w:rPr>
          <w:lang w:eastAsia="en-US" w:bidi="ar-SA"/>
        </w:rPr>
        <w:t>As core graphemes of our transliteration system, numerals are rendered with Arabic numerals in transliteration, and this transliteration identifies the applicable source grapheme with sufficient accuracy. However, source numeral graphemes which are represented by something other than a single Arabic numeral require encoding as per §</w:t>
      </w:r>
      <w:r>
        <w:rPr>
          <w:lang w:eastAsia="en-US" w:bidi="ar-SA"/>
        </w:rPr>
        <w:fldChar w:fldCharType="begin"/>
      </w:r>
      <w:r>
        <w:rPr>
          <w:lang w:eastAsia="en-US" w:bidi="ar-SA"/>
        </w:rPr>
        <w:instrText xml:space="preserve"> REF _Ref225950738 \r \h </w:instrText>
      </w:r>
      <w:r>
        <w:rPr>
          <w:lang w:eastAsia="en-US" w:bidi="ar-SA"/>
        </w:rPr>
      </w:r>
      <w:r>
        <w:rPr>
          <w:lang w:eastAsia="en-US" w:bidi="ar-SA"/>
        </w:rPr>
        <w:fldChar w:fldCharType="separate"/>
      </w:r>
      <w:r>
        <w:rPr>
          <w:lang w:eastAsia="en-US" w:bidi="ar-SA"/>
        </w:rPr>
        <w:t>5.2.1</w:t>
      </w:r>
      <w:r>
        <w:rPr>
          <w:lang w:eastAsia="en-US" w:bidi="ar-SA"/>
        </w:rPr>
        <w:fldChar w:fldCharType="end"/>
      </w:r>
      <w:r>
        <w:rPr>
          <w:lang w:eastAsia="en-US" w:bidi="ar-SA"/>
        </w:rPr>
        <w:t xml:space="preserve"> when used in an XML context, in order to make it clear that a cluster of target graphemes represents a single numeral in the source. </w:t>
      </w:r>
    </w:p>
    <w:p>
      <w:pPr>
        <w:pStyle w:val="Lista"/>
      </w:pPr>
      <w:r>
        <w:t>in addition to the glyph encoding presented in this section, in DHARMA practice all numbers are also encoded for their semantic value</w:t>
      </w:r>
    </w:p>
    <w:p>
      <w:pPr>
        <w:pStyle w:val="Lista2"/>
      </w:pPr>
      <w:r>
        <w:t>because value encoding can also apply to numbers represented in words, it is described in §</w:t>
      </w:r>
      <w:r>
        <w:fldChar w:fldCharType="begin"/>
      </w:r>
      <w:r>
        <w:instrText xml:space="preserve"> REF _Ref43980607 \r \h  \* MERGEFORMAT </w:instrText>
      </w:r>
      <w:r>
        <w:fldChar w:fldCharType="separate"/>
      </w:r>
      <w:r>
        <w:t>9.1</w:t>
      </w:r>
      <w:r>
        <w:fldChar w:fldCharType="end"/>
      </w:r>
      <w:r>
        <w:t xml:space="preserve"> under the generic section on encoding semantic information</w:t>
      </w:r>
    </w:p>
    <w:p>
      <w:pPr>
        <w:pStyle w:val="Lista"/>
      </w:pPr>
      <w:r>
        <w:t>occasionally, a glyph that normally represents a numeral is employed in a different function, which is to be handled according to §</w:t>
      </w:r>
      <w:r>
        <w:fldChar w:fldCharType="begin"/>
      </w:r>
      <w:r>
        <w:instrText xml:space="preserve"> REF _Ref226033797 \r \h </w:instrText>
      </w:r>
      <w:r>
        <w:fldChar w:fldCharType="separate"/>
      </w:r>
      <w:r>
        <w:t>5.2.3</w:t>
      </w:r>
      <w:r>
        <w:fldChar w:fldCharType="end"/>
      </w:r>
      <w:r>
        <w:t xml:space="preserve"> </w:t>
      </w:r>
    </w:p>
    <w:p>
      <w:pPr>
        <w:pStyle w:val="Cmsor3"/>
      </w:pPr>
      <w:bookmarkStart w:id="371" w:name="_Ref225950738"/>
      <w:bookmarkStart w:id="372" w:name="_Toc242976623"/>
      <w:r>
        <w:t>Glyph encoding for numerals</w:t>
      </w:r>
      <w:bookmarkEnd w:id="371"/>
      <w:bookmarkEnd w:id="372"/>
    </w:p>
    <w:p>
      <w:pPr>
        <w:rPr>
          <w:lang w:eastAsia="en-US" w:bidi="ar-SA"/>
        </w:rPr>
      </w:pPr>
      <w:r>
        <w:t xml:space="preserve">We use the TEI element </w:t>
      </w:r>
      <w:r>
        <w:rPr>
          <w:rStyle w:val="Code"/>
        </w:rPr>
        <w:t>&lt;g&gt;</w:t>
      </w:r>
      <w:r>
        <w:t xml:space="preserve"> </w:t>
      </w:r>
      <w:r>
        <w:rPr>
          <w:noProof/>
        </w:rPr>
        <w:t>(</w:t>
      </w:r>
      <w:r>
        <w:t>for “glyph” or “gaiji”</w:t>
      </w:r>
      <w:r>
        <w:rPr>
          <w:rStyle w:val="Lbjegyzet-hivatkozs"/>
        </w:rPr>
        <w:footnoteReference w:id="20"/>
      </w:r>
      <w:r>
        <w:t>) in the encoding of all glyphs other than phonographic ones and decimal digits. The use of this element indicates that our set of target graphemes provides no direct equivalent to the original glyph, and that the contents of this element represent a single source grapheme.</w:t>
      </w:r>
    </w:p>
    <w:p>
      <w:pPr>
        <w:pStyle w:val="Lista"/>
      </w:pPr>
      <w:r>
        <w:t xml:space="preserve">when a single source numeral glyph is represented in transliteration with anything other than a single Arabic numeral, wrap the transliterated grapheme(s) in </w:t>
      </w:r>
      <w:r>
        <w:rPr>
          <w:rStyle w:val="Code"/>
        </w:rPr>
        <w:t xml:space="preserve">&lt;g </w:t>
      </w:r>
      <w:r>
        <w:rPr>
          <w:rStyle w:val="Codeattribute"/>
        </w:rPr>
        <w:t>type</w:t>
      </w:r>
      <w:r>
        <w:rPr>
          <w:rStyle w:val="Code"/>
        </w:rPr>
        <w:t>=</w:t>
      </w:r>
      <w:r>
        <w:rPr>
          <w:rStyle w:val="Codevalue"/>
        </w:rPr>
        <w:t>"numeral"</w:t>
      </w:r>
      <w:r>
        <w:rPr>
          <w:rStyle w:val="Code"/>
        </w:rPr>
        <w:t>&gt;</w:t>
      </w:r>
    </w:p>
    <w:p>
      <w:pPr>
        <w:pStyle w:val="Cmsor4"/>
      </w:pPr>
      <w:r>
        <w:t>No glyph encoding for digital numerals</w:t>
      </w:r>
    </w:p>
    <w:tbl>
      <w:tblPr>
        <w:tblStyle w:val="CodeSampleTable"/>
        <w:tblpPr w:leftFromText="180" w:rightFromText="180" w:vertAnchor="text" w:tblpXSpec="right" w:tblpY="1"/>
        <w:tblOverlap w:val="never"/>
        <w:tblW w:w="3686" w:type="dxa"/>
        <w:tblLook w:val="04A0" w:firstRow="1" w:lastRow="0" w:firstColumn="1" w:lastColumn="0" w:noHBand="0" w:noVBand="1"/>
      </w:tblPr>
      <w:tblGrid>
        <w:gridCol w:w="3686"/>
      </w:tblGrid>
      <w:tr>
        <w:trPr>
          <w:cnfStyle w:val="100000000000" w:firstRow="1" w:lastRow="0" w:firstColumn="0" w:lastColumn="0" w:oddVBand="0" w:evenVBand="0" w:oddHBand="0" w:evenHBand="0" w:firstRowFirstColumn="0" w:firstRowLastColumn="0" w:lastRowFirstColumn="0" w:lastRowLastColumn="0"/>
        </w:trPr>
        <w:tc>
          <w:tcPr>
            <w:tcW w:w="0" w:type="auto"/>
          </w:tcPr>
          <w:p>
            <w:pPr>
              <w:pStyle w:val="Kpalrs"/>
            </w:pPr>
            <w:bookmarkStart w:id="373" w:name="_Ref225951763"/>
            <w:r>
              <w:t xml:space="preserve">Exhibit </w:t>
            </w:r>
            <w:fldSimple w:instr=" STYLEREF 2 \s ">
              <w:r>
                <w:rPr>
                  <w:noProof/>
                </w:rPr>
                <w:t>5.2</w:t>
              </w:r>
            </w:fldSimple>
            <w:r>
              <w:t>.</w:t>
            </w:r>
            <w:fldSimple w:instr=" SEQ Exhibit \* ALPHABETIC \s 2 ">
              <w:r>
                <w:rPr>
                  <w:noProof/>
                </w:rPr>
                <w:t>A</w:t>
              </w:r>
            </w:fldSimple>
            <w:bookmarkEnd w:id="373"/>
            <w:r>
              <w:t>: a digital numeral</w:t>
            </w:r>
          </w:p>
        </w:tc>
      </w:tr>
      <w:tr>
        <w:tc>
          <w:tcPr>
            <w:tcW w:w="0" w:type="auto"/>
          </w:tcPr>
          <w:p>
            <w:pPr>
              <w:pStyle w:val="Image"/>
            </w:pPr>
            <w:r>
              <w:drawing>
                <wp:inline distT="0" distB="0" distL="0" distR="0">
                  <wp:extent cx="1796400" cy="720000"/>
                  <wp:effectExtent l="0" t="0" r="0" b="4445"/>
                  <wp:docPr id="92449898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796400" cy="720000"/>
                          </a:xfrm>
                          <a:prstGeom prst="rect">
                            <a:avLst/>
                          </a:prstGeom>
                          <a:noFill/>
                          <a:ln>
                            <a:noFill/>
                          </a:ln>
                        </pic:spPr>
                      </pic:pic>
                    </a:graphicData>
                  </a:graphic>
                </wp:inline>
              </w:drawing>
            </w:r>
          </w:p>
        </w:tc>
      </w:tr>
      <w:tr>
        <w:tc>
          <w:tcPr>
            <w:tcW w:w="0" w:type="auto"/>
          </w:tcPr>
          <w:p>
            <w:pPr>
              <w:pStyle w:val="CodeParagraph"/>
              <w:rPr>
                <w:rStyle w:val="Codetext"/>
                <w:rFonts w:ascii="Gentium" w:hAnsi="Gentium" w:cs="Tiro Devanagari Sanskrit"/>
                <w:noProof w:val="0"/>
                <w:color w:val="auto"/>
                <w:shd w:val="clear" w:color="auto" w:fill="auto"/>
              </w:rPr>
            </w:pPr>
            <w:r>
              <w:rPr>
                <w:rStyle w:val="Code"/>
              </w:rPr>
              <w:t xml:space="preserve">&lt;num </w:t>
            </w:r>
            <w:r>
              <w:rPr>
                <w:rStyle w:val="Codeattribute"/>
              </w:rPr>
              <w:t>value</w:t>
            </w:r>
            <w:r>
              <w:rPr>
                <w:rStyle w:val="Codetext"/>
              </w:rPr>
              <w:t>=</w:t>
            </w:r>
            <w:r>
              <w:rPr>
                <w:rStyle w:val="Codevalue"/>
              </w:rPr>
              <w:t>"1218"</w:t>
            </w:r>
            <w:r>
              <w:rPr>
                <w:rStyle w:val="Code"/>
              </w:rPr>
              <w:t>&gt;</w:t>
            </w:r>
            <w:r>
              <w:rPr>
                <w:rStyle w:val="Codetext"/>
              </w:rPr>
              <w:t>1218</w:t>
            </w:r>
            <w:r>
              <w:rPr>
                <w:rStyle w:val="Code"/>
              </w:rPr>
              <w:t>&lt;/num&gt;</w:t>
            </w:r>
          </w:p>
        </w:tc>
      </w:tr>
      <w:tr>
        <w:tc>
          <w:tcPr>
            <w:tcW w:w="0" w:type="auto"/>
          </w:tcPr>
          <w:p>
            <w:pPr>
              <w:pStyle w:val="TableNote"/>
            </w:pPr>
            <w:r>
              <w:t>decimal digits need no glyph markup</w:t>
            </w:r>
          </w:p>
          <w:p>
            <w:pPr>
              <w:pStyle w:val="TableNote"/>
              <w:rPr>
                <w:rStyle w:val="Codetext"/>
                <w:color w:val="002060"/>
              </w:rPr>
            </w:pPr>
            <w:r>
              <w:t>semantic markup added as per §</w:t>
            </w:r>
            <w:r>
              <w:fldChar w:fldCharType="begin"/>
            </w:r>
            <w:r>
              <w:instrText xml:space="preserve"> REF _Ref43980607 \r \h  \* MERGEFORMAT </w:instrText>
            </w:r>
            <w:r>
              <w:fldChar w:fldCharType="separate"/>
            </w:r>
            <w:r>
              <w:t>9.1</w:t>
            </w:r>
            <w:r>
              <w:fldChar w:fldCharType="end"/>
            </w:r>
          </w:p>
        </w:tc>
      </w:tr>
    </w:tbl>
    <w:p>
      <w:r>
        <w:t xml:space="preserve">Encoding with </w:t>
      </w:r>
      <w:r>
        <w:rPr>
          <w:rStyle w:val="Code"/>
        </w:rPr>
        <w:t>&lt;g&gt;</w:t>
      </w:r>
      <w:r>
        <w:t xml:space="preserve"> is not needed (and must not be added) to decimal digits, i.e. the integers 0 to 9 represented in the source by an individual grapheme.</w:t>
      </w:r>
    </w:p>
    <w:p>
      <w:pPr>
        <w:pStyle w:val="Lista"/>
      </w:pPr>
      <w:r>
        <w:t>do not use glyph markup for</w:t>
      </w:r>
    </w:p>
    <w:p>
      <w:pPr>
        <w:pStyle w:val="Lista2"/>
      </w:pPr>
      <w:r>
        <w:t xml:space="preserve">standalone digits, as the second 8 in </w:t>
      </w:r>
      <w:r>
        <w:fldChar w:fldCharType="begin"/>
      </w:r>
      <w:r>
        <w:instrText xml:space="preserve"> REF _Ref182560821 \h </w:instrText>
      </w:r>
      <w:r>
        <w:fldChar w:fldCharType="separate"/>
      </w:r>
      <w:r>
        <w:t xml:space="preserve">Exhibit </w:t>
      </w:r>
      <w:r>
        <w:rPr>
          <w:noProof/>
        </w:rPr>
        <w:t>9.1</w:t>
      </w:r>
      <w:r>
        <w:t>.</w:t>
      </w:r>
      <w:r>
        <w:rPr>
          <w:noProof/>
        </w:rPr>
        <w:t>A</w:t>
      </w:r>
      <w:r>
        <w:fldChar w:fldCharType="end"/>
      </w:r>
    </w:p>
    <w:p>
      <w:pPr>
        <w:pStyle w:val="Lista2"/>
      </w:pPr>
      <w:r>
        <w:t xml:space="preserve">digits conjoined additively to non-digital numeral signs, as the first 8 and the 5 in </w:t>
      </w:r>
      <w:r>
        <w:fldChar w:fldCharType="begin"/>
      </w:r>
      <w:r>
        <w:instrText xml:space="preserve"> REF _Ref182560821 \h </w:instrText>
      </w:r>
      <w:r>
        <w:fldChar w:fldCharType="separate"/>
      </w:r>
      <w:r>
        <w:t xml:space="preserve">Exhibit </w:t>
      </w:r>
      <w:r>
        <w:rPr>
          <w:noProof/>
        </w:rPr>
        <w:t>9.1</w:t>
      </w:r>
      <w:r>
        <w:t>.</w:t>
      </w:r>
      <w:r>
        <w:rPr>
          <w:noProof/>
        </w:rPr>
        <w:t>A</w:t>
      </w:r>
      <w:r>
        <w:fldChar w:fldCharType="end"/>
      </w:r>
    </w:p>
    <w:p>
      <w:pPr>
        <w:pStyle w:val="Lista2"/>
      </w:pPr>
      <w:r>
        <w:t xml:space="preserve">multiple digits used in place-value notation for a larger number, as in </w:t>
      </w:r>
      <w:r>
        <w:fldChar w:fldCharType="begin"/>
      </w:r>
      <w:r>
        <w:instrText xml:space="preserve"> REF _Ref225951763 \h </w:instrText>
      </w:r>
      <w:r>
        <w:fldChar w:fldCharType="separate"/>
      </w:r>
      <w:r>
        <w:t xml:space="preserve">Exhibit </w:t>
      </w:r>
      <w:r>
        <w:rPr>
          <w:noProof/>
        </w:rPr>
        <w:t>5.2</w:t>
      </w:r>
      <w:r>
        <w:t>.</w:t>
      </w:r>
      <w:r>
        <w:rPr>
          <w:noProof/>
        </w:rPr>
        <w:t>A</w:t>
      </w:r>
      <w:r>
        <w:fldChar w:fldCharType="end"/>
      </w:r>
    </w:p>
    <w:p>
      <w:pPr>
        <w:pStyle w:val="Cmsor4"/>
      </w:pPr>
      <w:r>
        <w:t>Encoding non-digital numerals</w:t>
      </w:r>
    </w:p>
    <w:p>
      <w:r>
        <w:t xml:space="preserve">All non-digital numerals must be individually wrapped in </w:t>
      </w:r>
      <w:r>
        <w:rPr>
          <w:rStyle w:val="Code"/>
        </w:rPr>
        <w:t xml:space="preserve">&lt;g </w:t>
      </w:r>
      <w:r>
        <w:rPr>
          <w:rStyle w:val="Codeattribute"/>
        </w:rPr>
        <w:t>type</w:t>
      </w:r>
      <w:r>
        <w:rPr>
          <w:rStyle w:val="Code"/>
        </w:rPr>
        <w:t>=</w:t>
      </w:r>
      <w:r>
        <w:rPr>
          <w:rStyle w:val="Codevalue"/>
        </w:rPr>
        <w:t>"numeral"</w:t>
      </w:r>
      <w:r>
        <w:rPr>
          <w:rStyle w:val="Code"/>
        </w:rPr>
        <w:t>&gt;</w:t>
      </w:r>
      <w:r>
        <w:t>. This glyph markup disambiguates the transliteration from other meanings in which the same target graphemes might be used and, for clusters of target graphemes, clarifies the demarcation of the source grapheme. The semantic markup for number values (§</w:t>
      </w:r>
      <w:r>
        <w:fldChar w:fldCharType="begin"/>
      </w:r>
      <w:r>
        <w:instrText xml:space="preserve"> REF _Ref43980607 \r \h  \* MERGEFORMAT </w:instrText>
      </w:r>
      <w:r>
        <w:fldChar w:fldCharType="separate"/>
      </w:r>
      <w:r>
        <w:t>9.1</w:t>
      </w:r>
      <w:r>
        <w:fldChar w:fldCharType="end"/>
      </w:r>
      <w:r>
        <w:t>) clarifies the denoted number even when this is not self-evident from a series of glyphs. Non-digital numerals encountered in our practice are of the following kinds.</w:t>
      </w:r>
    </w:p>
    <w:p>
      <w:pPr>
        <w:pStyle w:val="Lista"/>
      </w:pPr>
      <w:r>
        <w:t xml:space="preserve">numeral </w:t>
      </w:r>
      <w:r>
        <w:rPr>
          <w:b/>
          <w:bCs/>
        </w:rPr>
        <w:t>glyphs denoting</w:t>
      </w:r>
      <w:r>
        <w:t xml:space="preserve"> </w:t>
      </w:r>
      <w:r>
        <w:rPr>
          <w:b/>
          <w:bCs/>
        </w:rPr>
        <w:t>powers of 10</w:t>
      </w:r>
      <w:r>
        <w:t xml:space="preserve"> and their multiples, transliterated with multi-digit Arabic numerals as per TG §4.2.2</w:t>
      </w:r>
    </w:p>
    <w:p>
      <w:pPr>
        <w:pStyle w:val="Lista2"/>
      </w:pPr>
      <w:r>
        <w:lastRenderedPageBreak/>
        <w:t>standing alone, e.g.</w:t>
      </w:r>
    </w:p>
    <w:p>
      <w:pPr>
        <w:pStyle w:val="Lista3"/>
      </w:pPr>
      <w:r>
        <w:rPr>
          <w:rStyle w:val="ForeignBrahmiScript"/>
        </w:rPr>
        <w:t>𑁤𑁿𑁓</w:t>
      </w:r>
      <w:r>
        <w:t xml:space="preserve"> = |200| </w:t>
      </w:r>
      <w:r>
        <w:rPr>
          <w:rFonts w:cs="Gentium"/>
        </w:rPr>
        <w:t>→</w:t>
      </w:r>
      <w:r>
        <w:t xml:space="preserve">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200</w:t>
      </w:r>
      <w:r>
        <w:rPr>
          <w:rStyle w:val="Code"/>
        </w:rPr>
        <w:t>&lt;/g&gt;</w:t>
      </w:r>
      <w:r>
        <w:t xml:space="preserve"> </w:t>
      </w:r>
    </w:p>
    <w:p>
      <w:pPr>
        <w:pStyle w:val="Lista2"/>
      </w:pPr>
      <w:r>
        <w:t>combined additively with other numeral glyphs, e.g.</w:t>
      </w:r>
    </w:p>
    <w:p>
      <w:pPr>
        <w:pStyle w:val="Lista3"/>
      </w:pPr>
      <w:r>
        <w:rPr>
          <w:rFonts w:ascii="Segoe UI Historic" w:hAnsi="Segoe UI Historic" w:cs="Segoe UI Historic"/>
        </w:rPr>
        <w:t>𑁤𑁜𑁔</w:t>
      </w:r>
      <w:r>
        <w:t xml:space="preserve"> = |100| + |20| + |3| </w:t>
      </w:r>
      <w:r>
        <w:rPr>
          <w:rFonts w:cs="Gentium"/>
        </w:rPr>
        <w:t>→</w:t>
      </w:r>
      <w:r>
        <w:t xml:space="preserve">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100</w:t>
      </w:r>
      <w:r>
        <w:rPr>
          <w:rStyle w:val="Code"/>
        </w:rPr>
        <w:t>&lt;/g&gt;</w:t>
      </w:r>
      <w:r>
        <w:rPr>
          <w:rStyle w:val="Codetext"/>
        </w:rPr>
        <w:t xml:space="preserve">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20</w:t>
      </w:r>
      <w:r>
        <w:rPr>
          <w:rStyle w:val="Code"/>
        </w:rPr>
        <w:t>&lt;/g&gt;</w:t>
      </w:r>
      <w:r>
        <w:rPr>
          <w:rStyle w:val="Codetext"/>
        </w:rPr>
        <w:t xml:space="preserve"> 3</w:t>
      </w:r>
      <w:r>
        <w:t xml:space="preserve"> </w:t>
      </w:r>
    </w:p>
    <w:p>
      <w:pPr>
        <w:pStyle w:val="Lista4"/>
      </w:pPr>
      <w:r>
        <w:t xml:space="preserve">note that the transliterated 3 is not wrapped in </w:t>
      </w:r>
      <w:r>
        <w:rPr>
          <w:rStyle w:val="Code"/>
        </w:rPr>
        <w:t>&lt;g&gt;</w:t>
      </w:r>
      <w:r>
        <w:t>, because it is a single Arabic digit</w:t>
      </w:r>
    </w:p>
    <w:tbl>
      <w:tblPr>
        <w:tblStyle w:val="CodeSampleTable"/>
        <w:tblpPr w:leftFromText="180" w:rightFromText="180" w:vertAnchor="text" w:tblpXSpec="right" w:tblpY="1"/>
        <w:tblOverlap w:val="never"/>
        <w:tblW w:w="4253" w:type="dxa"/>
        <w:tblLook w:val="04A0" w:firstRow="1" w:lastRow="0" w:firstColumn="1" w:lastColumn="0" w:noHBand="0" w:noVBand="1"/>
      </w:tblPr>
      <w:tblGrid>
        <w:gridCol w:w="4253"/>
      </w:tblGrid>
      <w:tr>
        <w:trPr>
          <w:cnfStyle w:val="100000000000" w:firstRow="1" w:lastRow="0" w:firstColumn="0" w:lastColumn="0" w:oddVBand="0" w:evenVBand="0" w:oddHBand="0" w:evenHBand="0" w:firstRowFirstColumn="0" w:firstRowLastColumn="0" w:lastRowFirstColumn="0" w:lastRowLastColumn="0"/>
        </w:trPr>
        <w:tc>
          <w:tcPr>
            <w:tcW w:w="0" w:type="auto"/>
          </w:tcPr>
          <w:p>
            <w:pPr>
              <w:pStyle w:val="Kpalrs"/>
              <w:keepLines/>
            </w:pPr>
            <w:bookmarkStart w:id="374" w:name="_Ref225952270"/>
            <w:r>
              <w:t xml:space="preserve">Exhibit </w:t>
            </w:r>
            <w:fldSimple w:instr=" STYLEREF 2 \s ">
              <w:r>
                <w:rPr>
                  <w:noProof/>
                </w:rPr>
                <w:t>5.2</w:t>
              </w:r>
            </w:fldSimple>
            <w:r>
              <w:t>.</w:t>
            </w:r>
            <w:fldSimple w:instr=" SEQ Exhibit \* ALPHABETIC \s 2 ">
              <w:r>
                <w:rPr>
                  <w:noProof/>
                </w:rPr>
                <w:t>B</w:t>
              </w:r>
            </w:fldSimple>
            <w:bookmarkEnd w:id="374"/>
            <w:r>
              <w:t>: multiplicative combination</w:t>
            </w:r>
          </w:p>
        </w:tc>
      </w:tr>
      <w:tr>
        <w:tc>
          <w:tcPr>
            <w:tcW w:w="0" w:type="auto"/>
          </w:tcPr>
          <w:p>
            <w:pPr>
              <w:pStyle w:val="Image"/>
            </w:pPr>
            <w:r>
              <w:drawing>
                <wp:inline distT="0" distB="0" distL="0" distR="0">
                  <wp:extent cx="2685600" cy="540000"/>
                  <wp:effectExtent l="0" t="0" r="635" b="0"/>
                  <wp:docPr id="1219481461" name="Kép 1219481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685600" cy="540000"/>
                          </a:xfrm>
                          <a:prstGeom prst="rect">
                            <a:avLst/>
                          </a:prstGeom>
                          <a:noFill/>
                          <a:ln>
                            <a:noFill/>
                          </a:ln>
                        </pic:spPr>
                      </pic:pic>
                    </a:graphicData>
                  </a:graphic>
                </wp:inline>
              </w:drawing>
            </w:r>
          </w:p>
        </w:tc>
      </w:tr>
    </w:tbl>
    <w:p>
      <w:pPr>
        <w:pStyle w:val="Lista2"/>
      </w:pPr>
      <w:r>
        <w:t xml:space="preserve">combined multiplicatively (as well as additively) with other numeral glyphs, e.g. </w:t>
      </w:r>
      <w:r>
        <w:fldChar w:fldCharType="begin"/>
      </w:r>
      <w:r>
        <w:instrText xml:space="preserve"> REF _Ref225952270 \h </w:instrText>
      </w:r>
      <w:r>
        <w:fldChar w:fldCharType="separate"/>
      </w:r>
      <w:r>
        <w:t xml:space="preserve">Exhibit </w:t>
      </w:r>
      <w:r>
        <w:rPr>
          <w:noProof/>
        </w:rPr>
        <w:t>5.2</w:t>
      </w:r>
      <w:r>
        <w:t>.</w:t>
      </w:r>
      <w:r>
        <w:rPr>
          <w:noProof/>
        </w:rPr>
        <w:t>B</w:t>
      </w:r>
      <w:r>
        <w:fldChar w:fldCharType="end"/>
      </w:r>
    </w:p>
    <w:p>
      <w:pPr>
        <w:pStyle w:val="Lista3"/>
      </w:pPr>
      <w:r>
        <w:t xml:space="preserve">|1000| × |8| + |100| × |3| + |10| </w:t>
      </w:r>
      <w:r>
        <w:rPr>
          <w:rFonts w:cs="Gentium"/>
        </w:rPr>
        <w:t>→</w:t>
      </w:r>
      <w:r>
        <w:t xml:space="preserve"> </w:t>
      </w:r>
      <w:r>
        <w:rPr>
          <w:rStyle w:val="Code"/>
        </w:rPr>
        <w:t xml:space="preserve">&lt;g </w:t>
      </w:r>
      <w:r>
        <w:rPr>
          <w:rStyle w:val="Codeattribute"/>
        </w:rPr>
        <w:t>type=</w:t>
      </w:r>
      <w:r>
        <w:rPr>
          <w:rStyle w:val="Codevalue"/>
        </w:rPr>
        <w:t>"numeral"</w:t>
      </w:r>
      <w:r>
        <w:rPr>
          <w:rStyle w:val="Code"/>
        </w:rPr>
        <w:t>&gt;</w:t>
      </w:r>
      <w:r>
        <w:rPr>
          <w:rStyle w:val="Codetext"/>
        </w:rPr>
        <w:t>1000</w:t>
      </w:r>
      <w:r>
        <w:rPr>
          <w:rStyle w:val="Code"/>
        </w:rPr>
        <w:t>&lt;/g&gt;</w:t>
      </w:r>
      <w:r>
        <w:rPr>
          <w:rStyle w:val="Codetext"/>
        </w:rPr>
        <w:t xml:space="preserve"> 8 </w:t>
      </w:r>
      <w:r>
        <w:rPr>
          <w:rStyle w:val="Code"/>
        </w:rPr>
        <w:t xml:space="preserve">&lt;g </w:t>
      </w:r>
      <w:r>
        <w:rPr>
          <w:rStyle w:val="Codeattribute"/>
        </w:rPr>
        <w:t>type=</w:t>
      </w:r>
      <w:r>
        <w:rPr>
          <w:rStyle w:val="Codevalue"/>
        </w:rPr>
        <w:t>"numeral"</w:t>
      </w:r>
      <w:r>
        <w:rPr>
          <w:rStyle w:val="Code"/>
        </w:rPr>
        <w:t>&gt;</w:t>
      </w:r>
      <w:r>
        <w:rPr>
          <w:rStyle w:val="Codetext"/>
        </w:rPr>
        <w:t>100</w:t>
      </w:r>
      <w:r>
        <w:rPr>
          <w:rStyle w:val="Code"/>
        </w:rPr>
        <w:t>&lt;/g&gt;</w:t>
      </w:r>
      <w:r>
        <w:rPr>
          <w:rStyle w:val="Codetext"/>
        </w:rPr>
        <w:t xml:space="preserve"> 3 </w:t>
      </w:r>
      <w:r>
        <w:rPr>
          <w:rStyle w:val="Code"/>
        </w:rPr>
        <w:t xml:space="preserve">&lt;g </w:t>
      </w:r>
      <w:r>
        <w:rPr>
          <w:rStyle w:val="Codeattribute"/>
        </w:rPr>
        <w:t>type=</w:t>
      </w:r>
      <w:r>
        <w:rPr>
          <w:rStyle w:val="Codevalue"/>
        </w:rPr>
        <w:t>"numeral"</w:t>
      </w:r>
      <w:r>
        <w:rPr>
          <w:rStyle w:val="Code"/>
        </w:rPr>
        <w:t>&gt;</w:t>
      </w:r>
      <w:r>
        <w:rPr>
          <w:rStyle w:val="Codetext"/>
        </w:rPr>
        <w:t>10</w:t>
      </w:r>
      <w:r>
        <w:rPr>
          <w:rStyle w:val="Code"/>
        </w:rPr>
        <w:t>&lt;/g&gt;</w:t>
      </w:r>
      <w:r>
        <w:t xml:space="preserve"> </w:t>
      </w:r>
    </w:p>
    <w:p>
      <w:pPr>
        <w:pStyle w:val="Lista4"/>
      </w:pPr>
      <w:r>
        <w:t xml:space="preserve">8 and 3 are not wrapped in </w:t>
      </w:r>
      <w:r>
        <w:rPr>
          <w:rStyle w:val="Code"/>
        </w:rPr>
        <w:t>&lt;g&gt;</w:t>
      </w:r>
      <w:r>
        <w:t>, because they are single Arabic digits</w:t>
      </w:r>
    </w:p>
    <w:p>
      <w:pPr>
        <w:pStyle w:val="Lista2"/>
      </w:pPr>
      <w:r>
        <w:rPr>
          <w:b/>
          <w:bCs/>
        </w:rPr>
        <w:t>vertical bars denoting |1|</w:t>
      </w:r>
      <w:r>
        <w:t xml:space="preserve"> in Cambodian inscriptions, transliterated with I (uppercase </w:t>
      </w:r>
      <w:proofErr w:type="spellStart"/>
      <w:r>
        <w:t>i</w:t>
      </w:r>
      <w:proofErr w:type="spellEnd"/>
      <w:r>
        <w:t>) as per TG §4.2.3</w:t>
      </w:r>
    </w:p>
    <w:p>
      <w:pPr>
        <w:pStyle w:val="Lista3"/>
      </w:pPr>
      <w:r>
        <w:t xml:space="preserve">used singly, e.g.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I</w:t>
      </w:r>
      <w:r>
        <w:rPr>
          <w:rStyle w:val="Code"/>
        </w:rPr>
        <w:t>&lt;/g&gt;</w:t>
      </w:r>
      <w:r>
        <w:t xml:space="preserve"> </w:t>
      </w:r>
    </w:p>
    <w:p>
      <w:pPr>
        <w:pStyle w:val="Lista3"/>
      </w:pPr>
      <w:r>
        <w:t xml:space="preserve">or in groups, e.g.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III</w:t>
      </w:r>
      <w:r>
        <w:rPr>
          <w:rStyle w:val="Code"/>
        </w:rPr>
        <w:t>&lt;/g&gt;</w:t>
      </w:r>
    </w:p>
    <w:p>
      <w:pPr>
        <w:pStyle w:val="Lista2"/>
      </w:pPr>
      <w:r>
        <w:rPr>
          <w:b/>
          <w:bCs/>
        </w:rPr>
        <w:t>glyphs</w:t>
      </w:r>
      <w:r>
        <w:t xml:space="preserve"> </w:t>
      </w:r>
      <w:r>
        <w:rPr>
          <w:b/>
          <w:bCs/>
        </w:rPr>
        <w:t>denoting fractions</w:t>
      </w:r>
      <w:r>
        <w:t>, transliterated as per TG §4.2.3 with common fractions (involving a slash)</w:t>
      </w:r>
    </w:p>
    <w:p>
      <w:pPr>
        <w:pStyle w:val="Lista3"/>
      </w:pPr>
      <w:r>
        <w:t xml:space="preserve">e.g. a source glyph meaning “one eighth” </w:t>
      </w:r>
      <w:r>
        <w:rPr>
          <w:rFonts w:cs="Gentium"/>
        </w:rPr>
        <w:t>→</w:t>
      </w:r>
      <w:r>
        <w:t xml:space="preserve">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1/8</w:t>
      </w:r>
      <w:r>
        <w:rPr>
          <w:rStyle w:val="Code"/>
        </w:rPr>
        <w:t>&lt;/g&gt;</w:t>
      </w:r>
      <w:r>
        <w:t xml:space="preserve"> </w:t>
      </w:r>
    </w:p>
    <w:p>
      <w:pPr>
        <w:pStyle w:val="Cmsor3"/>
      </w:pPr>
      <w:bookmarkStart w:id="375" w:name="_Toc242976624"/>
      <w:r>
        <w:t>Numeral signs and their context</w:t>
      </w:r>
      <w:bookmarkEnd w:id="375"/>
    </w:p>
    <w:p>
      <w:pPr>
        <w:pStyle w:val="Lista"/>
      </w:pPr>
      <w:r>
        <w:t xml:space="preserve">use spaces around transliterated numerals as instructed in TG §7.3.4.2, i.e. essentially: </w:t>
      </w:r>
    </w:p>
    <w:p>
      <w:pPr>
        <w:pStyle w:val="Lista2"/>
      </w:pPr>
      <w:r>
        <w:t xml:space="preserve">add spaces to separate the transliterated (and, if applicable, encoded) representation of any and all numerals from any and all adjacent graphemes except: </w:t>
      </w:r>
    </w:p>
    <w:p>
      <w:pPr>
        <w:pStyle w:val="Lista3"/>
      </w:pPr>
      <w:r>
        <w:t>use no spaces between numerals used together in place-value notation</w:t>
      </w:r>
    </w:p>
    <w:p>
      <w:pPr>
        <w:pStyle w:val="Lista3"/>
      </w:pPr>
      <w:r>
        <w:t>use no spaces around a numeral sign that interrupts a word</w:t>
      </w:r>
    </w:p>
    <w:p>
      <w:pPr>
        <w:pStyle w:val="Cmsor3"/>
      </w:pPr>
      <w:bookmarkStart w:id="376" w:name="_Ref226033797"/>
      <w:bookmarkStart w:id="377" w:name="_Toc242976625"/>
      <w:r>
        <w:t>Numeral glyphs in a non-numeral function</w:t>
      </w:r>
      <w:bookmarkEnd w:id="376"/>
      <w:bookmarkEnd w:id="377"/>
    </w:p>
    <w:p>
      <w:pPr>
        <w:rPr>
          <w:lang w:eastAsia="en-US" w:bidi="ar-SA"/>
        </w:rPr>
      </w:pPr>
      <w:r>
        <w:rPr>
          <w:lang w:eastAsia="en-US" w:bidi="ar-SA"/>
        </w:rPr>
        <w:t>The glyphs that normally manifest numeral graphemes may occasionally be used in other graphemic functions, which shall be treated as follows. The semantic tags for numbers introduced in §</w:t>
      </w:r>
      <w:r>
        <w:rPr>
          <w:lang w:eastAsia="en-US" w:bidi="ar-SA"/>
        </w:rPr>
        <w:fldChar w:fldCharType="begin"/>
      </w:r>
      <w:r>
        <w:rPr>
          <w:lang w:eastAsia="en-US" w:bidi="ar-SA"/>
        </w:rPr>
        <w:instrText xml:space="preserve"> REF _Ref231894384 \r \h </w:instrText>
      </w:r>
      <w:r>
        <w:rPr>
          <w:lang w:eastAsia="en-US" w:bidi="ar-SA"/>
        </w:rPr>
      </w:r>
      <w:r>
        <w:rPr>
          <w:lang w:eastAsia="en-US" w:bidi="ar-SA"/>
        </w:rPr>
        <w:fldChar w:fldCharType="separate"/>
      </w:r>
      <w:r>
        <w:rPr>
          <w:lang w:eastAsia="en-US" w:bidi="ar-SA"/>
        </w:rPr>
        <w:t>9.1</w:t>
      </w:r>
      <w:r>
        <w:rPr>
          <w:lang w:eastAsia="en-US" w:bidi="ar-SA"/>
        </w:rPr>
        <w:fldChar w:fldCharType="end"/>
      </w:r>
      <w:r>
        <w:rPr>
          <w:lang w:eastAsia="en-US" w:bidi="ar-SA"/>
        </w:rPr>
        <w:t xml:space="preserve"> are not applicable in any of these cases.</w:t>
      </w:r>
    </w:p>
    <w:p>
      <w:pPr>
        <w:pStyle w:val="Lista"/>
        <w:rPr>
          <w:lang w:eastAsia="en-US" w:bidi="ar-SA"/>
        </w:rPr>
      </w:pPr>
      <w:r>
        <w:rPr>
          <w:lang w:eastAsia="en-US" w:bidi="ar-SA"/>
        </w:rPr>
        <w:t>as per TG §6.2, symbol glyphs whose shape is similar to (and/or derived from) a numeral glyph but not identical to the regular numeral attested or expected in the given writing system shall be treated as peripheral graphemes and encoded accordingly (§</w:t>
      </w:r>
      <w:r>
        <w:rPr>
          <w:lang w:eastAsia="en-US" w:bidi="ar-SA"/>
        </w:rPr>
        <w:fldChar w:fldCharType="begin"/>
      </w:r>
      <w:r>
        <w:rPr>
          <w:lang w:eastAsia="en-US" w:bidi="ar-SA"/>
        </w:rPr>
        <w:instrText xml:space="preserve"> REF _Ref226033363 \r \h </w:instrText>
      </w:r>
      <w:r>
        <w:rPr>
          <w:lang w:eastAsia="en-US" w:bidi="ar-SA"/>
        </w:rPr>
      </w:r>
      <w:r>
        <w:rPr>
          <w:lang w:eastAsia="en-US" w:bidi="ar-SA"/>
        </w:rPr>
        <w:fldChar w:fldCharType="separate"/>
      </w:r>
      <w:r>
        <w:rPr>
          <w:lang w:eastAsia="en-US" w:bidi="ar-SA"/>
        </w:rPr>
        <w:t>5.3</w:t>
      </w:r>
      <w:r>
        <w:rPr>
          <w:lang w:eastAsia="en-US" w:bidi="ar-SA"/>
        </w:rPr>
        <w:fldChar w:fldCharType="end"/>
      </w:r>
      <w:r>
        <w:rPr>
          <w:lang w:eastAsia="en-US" w:bidi="ar-SA"/>
        </w:rPr>
        <w:t>)</w:t>
      </w:r>
    </w:p>
    <w:p>
      <w:pPr>
        <w:pStyle w:val="Lista"/>
        <w:rPr>
          <w:lang w:eastAsia="en-US" w:bidi="ar-SA"/>
        </w:rPr>
      </w:pPr>
      <w:r>
        <w:rPr>
          <w:lang w:eastAsia="en-US" w:bidi="ar-SA"/>
        </w:rPr>
        <w:t>regular numeral glyphs used for functions other than to represent numbers shall be transliterated as numbers, including the following</w:t>
      </w:r>
    </w:p>
    <w:p>
      <w:pPr>
        <w:pStyle w:val="Lista2"/>
        <w:rPr>
          <w:lang w:eastAsia="en-US" w:bidi="ar-SA"/>
        </w:rPr>
      </w:pPr>
      <w:r>
        <w:rPr>
          <w:lang w:eastAsia="en-US" w:bidi="ar-SA"/>
        </w:rPr>
        <w:t>symbolic use: if a regular numeral sign (rather than a shape derived from one) is used as a symbol</w:t>
      </w:r>
    </w:p>
    <w:p>
      <w:pPr>
        <w:pStyle w:val="Lista3"/>
        <w:rPr>
          <w:lang w:eastAsia="en-US" w:bidi="ar-SA"/>
        </w:rPr>
      </w:pPr>
      <w:r>
        <w:rPr>
          <w:lang w:eastAsia="en-US" w:bidi="ar-SA"/>
        </w:rPr>
        <w:t>such as the glyph |1| used as an auspicious opening symbol</w:t>
      </w:r>
    </w:p>
    <w:p>
      <w:pPr>
        <w:pStyle w:val="Lista2"/>
        <w:rPr>
          <w:lang w:eastAsia="en-US" w:bidi="ar-SA"/>
        </w:rPr>
      </w:pPr>
      <w:r>
        <w:rPr>
          <w:lang w:eastAsia="en-US" w:bidi="ar-SA"/>
        </w:rPr>
        <w:t>phonographic use: if a numeral sign represents a phonographic value</w:t>
      </w:r>
    </w:p>
    <w:p>
      <w:pPr>
        <w:pStyle w:val="Lista3"/>
        <w:rPr>
          <w:lang w:eastAsia="en-US" w:bidi="ar-SA"/>
        </w:rPr>
      </w:pPr>
      <w:r>
        <w:rPr>
          <w:lang w:eastAsia="en-US" w:bidi="ar-SA"/>
        </w:rPr>
        <w:t xml:space="preserve">such as the </w:t>
      </w:r>
      <w:r>
        <w:t xml:space="preserve">glyph |2| used in Old Sundanese to represent the phonemes </w:t>
      </w:r>
      <w:r>
        <w:rPr>
          <w:rStyle w:val="Foreign"/>
        </w:rPr>
        <w:t>/ro/</w:t>
      </w:r>
      <w:r>
        <w:t>)</w:t>
      </w:r>
    </w:p>
    <w:p>
      <w:pPr>
        <w:pStyle w:val="Lista2"/>
        <w:rPr>
          <w:lang w:eastAsia="en-US" w:bidi="ar-SA"/>
        </w:rPr>
      </w:pPr>
      <w:r>
        <w:t>“metalinguistic” use: numeral signs signifying vowel length, accent type or word repetition</w:t>
      </w:r>
    </w:p>
    <w:p>
      <w:pPr>
        <w:pStyle w:val="Lista"/>
        <w:rPr>
          <w:lang w:eastAsia="en-US" w:bidi="ar-SA"/>
        </w:rPr>
      </w:pPr>
      <w:r>
        <w:rPr>
          <w:lang w:eastAsia="en-US" w:bidi="ar-SA"/>
        </w:rPr>
        <w:t>when in doubt, rely on the following rules of thumb</w:t>
      </w:r>
    </w:p>
    <w:p>
      <w:pPr>
        <w:pStyle w:val="Lista2"/>
        <w:rPr>
          <w:lang w:eastAsia="en-US" w:bidi="ar-SA"/>
        </w:rPr>
      </w:pPr>
      <w:r>
        <w:rPr>
          <w:lang w:eastAsia="en-US" w:bidi="ar-SA"/>
        </w:rPr>
        <w:t>transliterate numeral signs as numbers unless both of the following conditions are met:</w:t>
      </w:r>
    </w:p>
    <w:p>
      <w:pPr>
        <w:pStyle w:val="Lista3"/>
        <w:rPr>
          <w:lang w:eastAsia="en-US" w:bidi="ar-SA"/>
        </w:rPr>
      </w:pPr>
      <w:r>
        <w:rPr>
          <w:lang w:eastAsia="en-US" w:bidi="ar-SA"/>
        </w:rPr>
        <w:t>their graphetic shape is clearly different from the regular sign for the same number found or expected in the document</w:t>
      </w:r>
    </w:p>
    <w:p>
      <w:pPr>
        <w:pStyle w:val="Lista3"/>
        <w:rPr>
          <w:lang w:eastAsia="en-US" w:bidi="ar-SA"/>
        </w:rPr>
      </w:pPr>
      <w:r>
        <w:rPr>
          <w:lang w:eastAsia="en-US" w:bidi="ar-SA"/>
        </w:rPr>
        <w:t>and you are confident that they do not represent a number in their semantic context</w:t>
      </w:r>
    </w:p>
    <w:p>
      <w:pPr>
        <w:pStyle w:val="Lista2"/>
        <w:rPr>
          <w:lang w:eastAsia="en-US" w:bidi="ar-SA"/>
        </w:rPr>
      </w:pPr>
      <w:r>
        <w:rPr>
          <w:lang w:eastAsia="en-US" w:bidi="ar-SA"/>
        </w:rPr>
        <w:t>add the semantic encoding for numbers (§</w:t>
      </w:r>
      <w:r>
        <w:rPr>
          <w:lang w:eastAsia="en-US" w:bidi="ar-SA"/>
        </w:rPr>
        <w:fldChar w:fldCharType="begin"/>
      </w:r>
      <w:r>
        <w:rPr>
          <w:lang w:eastAsia="en-US" w:bidi="ar-SA"/>
        </w:rPr>
        <w:instrText xml:space="preserve"> REF _Ref43980607 \r \h </w:instrText>
      </w:r>
      <w:r>
        <w:rPr>
          <w:lang w:eastAsia="en-US" w:bidi="ar-SA"/>
        </w:rPr>
      </w:r>
      <w:r>
        <w:rPr>
          <w:lang w:eastAsia="en-US" w:bidi="ar-SA"/>
        </w:rPr>
        <w:fldChar w:fldCharType="separate"/>
      </w:r>
      <w:r>
        <w:rPr>
          <w:lang w:eastAsia="en-US" w:bidi="ar-SA"/>
        </w:rPr>
        <w:t>9.1</w:t>
      </w:r>
      <w:r>
        <w:rPr>
          <w:lang w:eastAsia="en-US" w:bidi="ar-SA"/>
        </w:rPr>
        <w:fldChar w:fldCharType="end"/>
      </w:r>
      <w:r>
        <w:rPr>
          <w:lang w:eastAsia="en-US" w:bidi="ar-SA"/>
        </w:rPr>
        <w:t>) only for signs that represent a number which is part of the document’s content</w:t>
      </w:r>
    </w:p>
    <w:p>
      <w:pPr>
        <w:pStyle w:val="Lista3"/>
        <w:rPr>
          <w:lang w:eastAsia="en-US" w:bidi="ar-SA"/>
        </w:rPr>
      </w:pPr>
      <w:r>
        <w:rPr>
          <w:lang w:eastAsia="en-US" w:bidi="ar-SA"/>
        </w:rPr>
        <w:t>imagine the document being read out loud by a contemporary reader: if they would read a number, then number encoding is applicable</w:t>
      </w:r>
    </w:p>
    <w:p>
      <w:pPr>
        <w:pStyle w:val="Cmsor2"/>
      </w:pPr>
      <w:bookmarkStart w:id="378" w:name="_Ref226033363"/>
      <w:r>
        <w:lastRenderedPageBreak/>
        <w:t>Peripheral graphemes</w:t>
      </w:r>
      <w:bookmarkEnd w:id="378"/>
    </w:p>
    <w:p>
      <w:pPr>
        <w:pStyle w:val="Cmsor3"/>
      </w:pPr>
      <w:bookmarkStart w:id="379" w:name="_4mw6s39lu6fq" w:colFirst="0" w:colLast="0"/>
      <w:bookmarkStart w:id="380" w:name="_Toc242976626"/>
      <w:bookmarkEnd w:id="379"/>
      <w:r>
        <w:t>Representing peripheral graphemes in a digital edition</w:t>
      </w:r>
      <w:bookmarkEnd w:id="380"/>
    </w:p>
    <w:p>
      <w:r>
        <w:rPr>
          <w:lang w:eastAsia="en-US" w:bidi="ar-SA"/>
        </w:rPr>
        <w:t xml:space="preserve">Peripheral graphemes, informally also called </w:t>
      </w:r>
      <w:r>
        <w:rPr>
          <w:i/>
          <w:iCs/>
          <w:lang w:eastAsia="en-US" w:bidi="ar-SA"/>
        </w:rPr>
        <w:t>symbols</w:t>
      </w:r>
      <w:r>
        <w:rPr>
          <w:lang w:eastAsia="en-US" w:bidi="ar-SA"/>
        </w:rPr>
        <w:t>, are graphemes which we represent in transliteration by means of a placeholder grapheme dedicated to one of the basic functional classes, namely ideograms, punctuation marks, connectors and abstract symbols as defined in TG §5 and §</w:t>
      </w:r>
      <w:r>
        <w:rPr>
          <w:lang w:eastAsia="en-US" w:bidi="ar-SA"/>
        </w:rPr>
        <w:fldChar w:fldCharType="begin"/>
      </w:r>
      <w:r>
        <w:rPr>
          <w:lang w:eastAsia="en-US" w:bidi="ar-SA"/>
        </w:rPr>
        <w:instrText xml:space="preserve"> REF _Ref226023506 \r \h </w:instrText>
      </w:r>
      <w:r>
        <w:rPr>
          <w:lang w:eastAsia="en-US" w:bidi="ar-SA"/>
        </w:rPr>
      </w:r>
      <w:r>
        <w:rPr>
          <w:lang w:eastAsia="en-US" w:bidi="ar-SA"/>
        </w:rPr>
        <w:fldChar w:fldCharType="separate"/>
      </w:r>
      <w:r>
        <w:rPr>
          <w:lang w:eastAsia="en-US" w:bidi="ar-SA"/>
        </w:rPr>
        <w:t>5.3.2</w:t>
      </w:r>
      <w:r>
        <w:rPr>
          <w:lang w:eastAsia="en-US" w:bidi="ar-SA"/>
        </w:rPr>
        <w:fldChar w:fldCharType="end"/>
      </w:r>
      <w:r>
        <w:rPr>
          <w:lang w:eastAsia="en-US" w:bidi="ar-SA"/>
        </w:rPr>
        <w:t xml:space="preserve"> below.</w:t>
      </w:r>
      <w:r>
        <w:rPr>
          <w:rStyle w:val="Lbjegyzet-hivatkozs"/>
          <w:lang w:eastAsia="en-US" w:bidi="ar-SA"/>
        </w:rPr>
        <w:footnoteReference w:id="21"/>
      </w:r>
    </w:p>
    <w:p>
      <w:pPr>
        <w:pStyle w:val="Normlbehzs"/>
        <w:rPr>
          <w:lang w:eastAsia="en-US" w:bidi="ar-SA"/>
        </w:rPr>
      </w:pPr>
      <w:r>
        <w:t xml:space="preserve">Since the glyph shapes of peripheral graphemes only rarely show a consistent correlation with their graphemic functions across the corpora of texts we deal with, our encoding conveys information separately about the physical appearance of the glyph where applicable, and about the editor’s interpretation of its function where applicable. Specifically, at the level of transliteration we use </w:t>
      </w:r>
      <w:r>
        <w:rPr>
          <w:lang w:eastAsia="en-US" w:bidi="ar-SA"/>
        </w:rPr>
        <w:t>a narrow range of default placeholders (§</w:t>
      </w:r>
      <w:r>
        <w:rPr>
          <w:lang w:eastAsia="en-US" w:bidi="ar-SA"/>
        </w:rPr>
        <w:fldChar w:fldCharType="begin"/>
      </w:r>
      <w:r>
        <w:rPr>
          <w:lang w:eastAsia="en-US" w:bidi="ar-SA"/>
        </w:rPr>
        <w:instrText xml:space="preserve"> REF _Ref226036268 \r \h </w:instrText>
      </w:r>
      <w:r>
        <w:rPr>
          <w:lang w:eastAsia="en-US" w:bidi="ar-SA"/>
        </w:rPr>
      </w:r>
      <w:r>
        <w:rPr>
          <w:lang w:eastAsia="en-US" w:bidi="ar-SA"/>
        </w:rPr>
        <w:fldChar w:fldCharType="separate"/>
      </w:r>
      <w:r>
        <w:rPr>
          <w:lang w:eastAsia="en-US" w:bidi="ar-SA"/>
        </w:rPr>
        <w:t>5.3.3.1</w:t>
      </w:r>
      <w:r>
        <w:rPr>
          <w:lang w:eastAsia="en-US" w:bidi="ar-SA"/>
        </w:rPr>
        <w:fldChar w:fldCharType="end"/>
      </w:r>
      <w:r>
        <w:rPr>
          <w:lang w:eastAsia="en-US" w:bidi="ar-SA"/>
        </w:rPr>
        <w:t>), with one placeholder dedicated to each functional class of peripheral grapheme; in addition, we optionally allow arbitrary placeholders (§</w:t>
      </w:r>
      <w:r>
        <w:rPr>
          <w:lang w:eastAsia="en-US" w:bidi="ar-SA"/>
        </w:rPr>
        <w:fldChar w:fldCharType="begin"/>
      </w:r>
      <w:r>
        <w:rPr>
          <w:lang w:eastAsia="en-US" w:bidi="ar-SA"/>
        </w:rPr>
        <w:instrText xml:space="preserve"> REF _Ref225955892 \r \h </w:instrText>
      </w:r>
      <w:r>
        <w:rPr>
          <w:lang w:eastAsia="en-US" w:bidi="ar-SA"/>
        </w:rPr>
      </w:r>
      <w:r>
        <w:rPr>
          <w:lang w:eastAsia="en-US" w:bidi="ar-SA"/>
        </w:rPr>
        <w:fldChar w:fldCharType="separate"/>
      </w:r>
      <w:r>
        <w:rPr>
          <w:lang w:eastAsia="en-US" w:bidi="ar-SA"/>
        </w:rPr>
        <w:t>5.3.3.2</w:t>
      </w:r>
      <w:r>
        <w:rPr>
          <w:lang w:eastAsia="en-US" w:bidi="ar-SA"/>
        </w:rPr>
        <w:fldChar w:fldCharType="end"/>
      </w:r>
      <w:r>
        <w:rPr>
          <w:lang w:eastAsia="en-US" w:bidi="ar-SA"/>
        </w:rPr>
        <w:t>) for greater variety and more accurate human-friendly representation. The placeholders may be combined with glyph encoding (§</w:t>
      </w:r>
      <w:r>
        <w:rPr>
          <w:lang w:eastAsia="en-US" w:bidi="ar-SA"/>
        </w:rPr>
        <w:fldChar w:fldCharType="begin"/>
      </w:r>
      <w:r>
        <w:rPr>
          <w:lang w:eastAsia="en-US" w:bidi="ar-SA"/>
        </w:rPr>
        <w:instrText xml:space="preserve"> REF _Ref225955927 \r \h </w:instrText>
      </w:r>
      <w:r>
        <w:rPr>
          <w:lang w:eastAsia="en-US" w:bidi="ar-SA"/>
        </w:rPr>
      </w:r>
      <w:r>
        <w:rPr>
          <w:lang w:eastAsia="en-US" w:bidi="ar-SA"/>
        </w:rPr>
        <w:fldChar w:fldCharType="separate"/>
      </w:r>
      <w:r>
        <w:rPr>
          <w:lang w:eastAsia="en-US" w:bidi="ar-SA"/>
        </w:rPr>
        <w:t>5.3.4</w:t>
      </w:r>
      <w:r>
        <w:rPr>
          <w:lang w:eastAsia="en-US" w:bidi="ar-SA"/>
        </w:rPr>
        <w:fldChar w:fldCharType="end"/>
      </w:r>
      <w:r>
        <w:rPr>
          <w:lang w:eastAsia="en-US" w:bidi="ar-SA"/>
        </w:rPr>
        <w:t xml:space="preserve">), which can represent the same basic functional classification as the default placeholders and, in addition, allow a fairly precise differentiation based either on the glyph’s visual appearance or on its name in a source writing tradition. The synergy of transliteration and encoding is illustrated in </w:t>
      </w:r>
      <w:r>
        <w:rPr>
          <w:lang w:eastAsia="en-US" w:bidi="ar-SA"/>
        </w:rPr>
        <w:fldChar w:fldCharType="begin"/>
      </w:r>
      <w:r>
        <w:rPr>
          <w:lang w:eastAsia="en-US" w:bidi="ar-SA"/>
        </w:rPr>
        <w:instrText xml:space="preserve"> REF _Ref225956032 \h </w:instrText>
      </w:r>
      <w:r>
        <w:rPr>
          <w:lang w:eastAsia="en-US" w:bidi="ar-SA"/>
        </w:rPr>
      </w:r>
      <w:r>
        <w:rPr>
          <w:lang w:eastAsia="en-US" w:bidi="ar-SA"/>
        </w:rPr>
        <w:fldChar w:fldCharType="separate"/>
      </w:r>
      <w:r>
        <w:t xml:space="preserve">Exhibit </w:t>
      </w:r>
      <w:r>
        <w:rPr>
          <w:noProof/>
        </w:rPr>
        <w:t>5.3</w:t>
      </w:r>
      <w:r>
        <w:t>.</w:t>
      </w:r>
      <w:r>
        <w:rPr>
          <w:noProof/>
        </w:rPr>
        <w:t>A</w:t>
      </w:r>
      <w:r>
        <w:rPr>
          <w:lang w:eastAsia="en-US" w:bidi="ar-SA"/>
        </w:rPr>
        <w:fldChar w:fldCharType="end"/>
      </w:r>
      <w:r>
        <w:rPr>
          <w:lang w:eastAsia="en-US" w:bidi="ar-SA"/>
        </w:rPr>
        <w:t xml:space="preserve"> (identical to the figure in TG §5.1). Strategies for combining the available transliteration and encoding options are outlined in TG §5.1.3.</w:t>
      </w:r>
    </w:p>
    <w:p/>
    <w:tbl>
      <w:tblPr>
        <w:tblStyle w:val="FigureTable"/>
        <w:tblW w:w="5000" w:type="pct"/>
        <w:tblBorders>
          <w:insideV w:val="single" w:sz="4" w:space="0" w:color="auto"/>
        </w:tblBorders>
        <w:tblLook w:val="04A0" w:firstRow="1" w:lastRow="0" w:firstColumn="1" w:lastColumn="0" w:noHBand="0" w:noVBand="1"/>
      </w:tblPr>
      <w:tblGrid>
        <w:gridCol w:w="1537"/>
        <w:gridCol w:w="2132"/>
        <w:gridCol w:w="2811"/>
        <w:gridCol w:w="901"/>
        <w:gridCol w:w="2247"/>
      </w:tblGrid>
      <w:tr>
        <w:trPr>
          <w:cnfStyle w:val="100000000000" w:firstRow="1" w:lastRow="0" w:firstColumn="0" w:lastColumn="0" w:oddVBand="0" w:evenVBand="0" w:oddHBand="0" w:evenHBand="0" w:firstRowFirstColumn="0" w:firstRowLastColumn="0" w:lastRowFirstColumn="0" w:lastRowLastColumn="0"/>
        </w:trPr>
        <w:tc>
          <w:tcPr>
            <w:tcW w:w="5000" w:type="pct"/>
            <w:gridSpan w:val="5"/>
          </w:tcPr>
          <w:p>
            <w:pPr>
              <w:pStyle w:val="Kpalrs"/>
              <w:keepLines/>
              <w:rPr>
                <w:szCs w:val="20"/>
                <w:lang w:eastAsia="en-US" w:bidi="ar-SA"/>
              </w:rPr>
            </w:pPr>
            <w:bookmarkStart w:id="381" w:name="_Ref225956032"/>
            <w:r>
              <w:t xml:space="preserve">Exhibit </w:t>
            </w:r>
            <w:fldSimple w:instr=" STYLEREF 2 \s ">
              <w:r>
                <w:rPr>
                  <w:noProof/>
                </w:rPr>
                <w:t>5.3</w:t>
              </w:r>
            </w:fldSimple>
            <w:r>
              <w:t>.</w:t>
            </w:r>
            <w:fldSimple w:instr=" SEQ Exhibit \* ALPHABETIC \s 2 ">
              <w:r>
                <w:rPr>
                  <w:noProof/>
                </w:rPr>
                <w:t>A</w:t>
              </w:r>
            </w:fldSimple>
            <w:bookmarkEnd w:id="381"/>
            <w:r>
              <w:t>: representation of peripheral graphemes through transliteration and encoding</w:t>
            </w:r>
          </w:p>
        </w:tc>
      </w:tr>
      <w:tr>
        <w:tc>
          <w:tcPr>
            <w:tcW w:w="798" w:type="pct"/>
            <w:vMerge w:val="restart"/>
            <w:shd w:val="clear" w:color="auto" w:fill="F0F7D7"/>
            <w:vAlign w:val="bottom"/>
          </w:tcPr>
          <w:p>
            <w:pPr>
              <w:keepNext/>
              <w:keepLines/>
              <w:jc w:val="right"/>
              <w:rPr>
                <w:b/>
                <w:bCs/>
                <w:sz w:val="20"/>
                <w:szCs w:val="20"/>
                <w:lang w:eastAsia="en-US" w:bidi="ar-SA"/>
              </w:rPr>
            </w:pPr>
            <w:r>
              <w:rPr>
                <w:b/>
                <w:bCs/>
                <w:sz w:val="20"/>
                <w:szCs w:val="20"/>
                <w:lang w:eastAsia="en-US" w:bidi="ar-SA"/>
              </w:rPr>
              <w:t>method</w:t>
            </w:r>
          </w:p>
        </w:tc>
        <w:tc>
          <w:tcPr>
            <w:tcW w:w="1107" w:type="pct"/>
            <w:vMerge w:val="restart"/>
            <w:shd w:val="clear" w:color="auto" w:fill="F0F7D7"/>
            <w:vAlign w:val="bottom"/>
          </w:tcPr>
          <w:p>
            <w:pPr>
              <w:keepNext/>
              <w:keepLines/>
              <w:rPr>
                <w:b/>
                <w:bCs/>
                <w:sz w:val="20"/>
                <w:szCs w:val="20"/>
                <w:lang w:eastAsia="en-US" w:bidi="ar-SA"/>
              </w:rPr>
            </w:pPr>
            <w:r>
              <w:rPr>
                <w:b/>
                <w:bCs/>
                <w:sz w:val="20"/>
                <w:szCs w:val="20"/>
                <w:lang w:eastAsia="en-US" w:bidi="ar-SA"/>
              </w:rPr>
              <w:t>solution</w:t>
            </w:r>
          </w:p>
        </w:tc>
        <w:tc>
          <w:tcPr>
            <w:tcW w:w="1460" w:type="pct"/>
            <w:vMerge w:val="restart"/>
            <w:shd w:val="clear" w:color="auto" w:fill="F0F7D7"/>
            <w:vAlign w:val="bottom"/>
          </w:tcPr>
          <w:p>
            <w:pPr>
              <w:keepNext/>
              <w:keepLines/>
              <w:rPr>
                <w:b/>
                <w:bCs/>
                <w:sz w:val="20"/>
                <w:szCs w:val="20"/>
                <w:lang w:eastAsia="en-US" w:bidi="ar-SA"/>
              </w:rPr>
            </w:pPr>
            <w:r>
              <w:rPr>
                <w:b/>
                <w:bCs/>
                <w:sz w:val="20"/>
                <w:szCs w:val="20"/>
                <w:lang w:eastAsia="en-US" w:bidi="ar-SA"/>
              </w:rPr>
              <w:t>demarcation</w:t>
            </w:r>
          </w:p>
        </w:tc>
        <w:tc>
          <w:tcPr>
            <w:tcW w:w="1635" w:type="pct"/>
            <w:gridSpan w:val="2"/>
            <w:shd w:val="clear" w:color="auto" w:fill="F0F7D7"/>
            <w:vAlign w:val="bottom"/>
          </w:tcPr>
          <w:p>
            <w:pPr>
              <w:keepNext/>
              <w:keepLines/>
              <w:rPr>
                <w:b/>
                <w:bCs/>
                <w:sz w:val="20"/>
                <w:szCs w:val="20"/>
                <w:lang w:eastAsia="en-US" w:bidi="ar-SA"/>
              </w:rPr>
            </w:pPr>
            <w:r>
              <w:rPr>
                <w:b/>
                <w:bCs/>
                <w:sz w:val="20"/>
                <w:szCs w:val="20"/>
                <w:lang w:eastAsia="en-US" w:bidi="ar-SA"/>
              </w:rPr>
              <w:t>individuation</w:t>
            </w:r>
          </w:p>
        </w:tc>
      </w:tr>
      <w:tr>
        <w:tc>
          <w:tcPr>
            <w:tcW w:w="798" w:type="pct"/>
            <w:vMerge/>
            <w:shd w:val="clear" w:color="auto" w:fill="F0F7D7"/>
            <w:vAlign w:val="bottom"/>
            <w:hideMark/>
          </w:tcPr>
          <w:p>
            <w:pPr>
              <w:keepNext/>
              <w:keepLines/>
              <w:jc w:val="right"/>
              <w:rPr>
                <w:b/>
                <w:bCs/>
                <w:sz w:val="20"/>
                <w:szCs w:val="20"/>
                <w:lang w:eastAsia="en-US" w:bidi="ar-SA"/>
              </w:rPr>
            </w:pPr>
          </w:p>
        </w:tc>
        <w:tc>
          <w:tcPr>
            <w:tcW w:w="1107" w:type="pct"/>
            <w:vMerge/>
            <w:shd w:val="clear" w:color="auto" w:fill="F0F7D7"/>
            <w:vAlign w:val="bottom"/>
            <w:hideMark/>
          </w:tcPr>
          <w:p>
            <w:pPr>
              <w:keepNext/>
              <w:keepLines/>
              <w:rPr>
                <w:b/>
                <w:bCs/>
                <w:sz w:val="20"/>
                <w:szCs w:val="20"/>
                <w:lang w:eastAsia="en-US" w:bidi="ar-SA"/>
              </w:rPr>
            </w:pPr>
          </w:p>
        </w:tc>
        <w:tc>
          <w:tcPr>
            <w:tcW w:w="1460" w:type="pct"/>
            <w:vMerge/>
            <w:shd w:val="clear" w:color="auto" w:fill="F0F7D7"/>
            <w:vAlign w:val="bottom"/>
            <w:hideMark/>
          </w:tcPr>
          <w:p>
            <w:pPr>
              <w:keepNext/>
              <w:keepLines/>
              <w:rPr>
                <w:b/>
                <w:bCs/>
                <w:sz w:val="20"/>
                <w:szCs w:val="20"/>
                <w:lang w:eastAsia="en-US" w:bidi="ar-SA"/>
              </w:rPr>
            </w:pPr>
          </w:p>
        </w:tc>
        <w:tc>
          <w:tcPr>
            <w:tcW w:w="468" w:type="pct"/>
            <w:shd w:val="clear" w:color="auto" w:fill="F0F7D7"/>
            <w:vAlign w:val="bottom"/>
            <w:hideMark/>
          </w:tcPr>
          <w:p>
            <w:pPr>
              <w:keepNext/>
              <w:keepLines/>
              <w:rPr>
                <w:b/>
                <w:bCs/>
                <w:sz w:val="20"/>
                <w:szCs w:val="20"/>
                <w:lang w:eastAsia="en-US" w:bidi="ar-SA"/>
              </w:rPr>
            </w:pPr>
            <w:r>
              <w:rPr>
                <w:b/>
                <w:bCs/>
                <w:sz w:val="20"/>
                <w:szCs w:val="20"/>
                <w:lang w:eastAsia="en-US" w:bidi="ar-SA"/>
              </w:rPr>
              <w:t>by form</w:t>
            </w:r>
          </w:p>
        </w:tc>
        <w:tc>
          <w:tcPr>
            <w:tcW w:w="1167" w:type="pct"/>
            <w:shd w:val="clear" w:color="auto" w:fill="F0F7D7"/>
            <w:vAlign w:val="bottom"/>
            <w:hideMark/>
          </w:tcPr>
          <w:p>
            <w:pPr>
              <w:keepNext/>
              <w:keepLines/>
              <w:rPr>
                <w:b/>
                <w:bCs/>
                <w:sz w:val="20"/>
                <w:szCs w:val="20"/>
                <w:lang w:eastAsia="en-US" w:bidi="ar-SA"/>
              </w:rPr>
            </w:pPr>
            <w:r>
              <w:rPr>
                <w:b/>
                <w:bCs/>
                <w:sz w:val="20"/>
                <w:szCs w:val="20"/>
                <w:lang w:eastAsia="en-US" w:bidi="ar-SA"/>
              </w:rPr>
              <w:t>by function</w:t>
            </w:r>
          </w:p>
        </w:tc>
      </w:tr>
      <w:tr>
        <w:trPr>
          <w:trHeight w:val="440"/>
        </w:trPr>
        <w:tc>
          <w:tcPr>
            <w:tcW w:w="798" w:type="pct"/>
            <w:vMerge w:val="restart"/>
            <w:shd w:val="clear" w:color="auto" w:fill="F0F7D7"/>
            <w:vAlign w:val="center"/>
            <w:hideMark/>
          </w:tcPr>
          <w:p>
            <w:pPr>
              <w:keepNext/>
              <w:keepLines/>
              <w:jc w:val="right"/>
              <w:rPr>
                <w:b/>
                <w:bCs/>
                <w:sz w:val="20"/>
                <w:szCs w:val="20"/>
                <w:lang w:eastAsia="en-US" w:bidi="ar-SA"/>
              </w:rPr>
            </w:pPr>
            <w:r>
              <w:rPr>
                <w:b/>
                <w:bCs/>
                <w:sz w:val="20"/>
                <w:szCs w:val="20"/>
                <w:lang w:eastAsia="en-US" w:bidi="ar-SA"/>
              </w:rPr>
              <w:t>transliteration</w:t>
            </w:r>
          </w:p>
        </w:tc>
        <w:tc>
          <w:tcPr>
            <w:tcW w:w="1107" w:type="pct"/>
            <w:shd w:val="clear" w:color="auto" w:fill="F0F7D7"/>
            <w:vAlign w:val="center"/>
            <w:hideMark/>
          </w:tcPr>
          <w:p>
            <w:pPr>
              <w:keepNext/>
              <w:keepLines/>
              <w:rPr>
                <w:sz w:val="20"/>
                <w:szCs w:val="20"/>
                <w:lang w:eastAsia="en-US" w:bidi="ar-SA"/>
              </w:rPr>
            </w:pPr>
            <w:r>
              <w:rPr>
                <w:sz w:val="20"/>
                <w:szCs w:val="20"/>
                <w:lang w:eastAsia="en-US" w:bidi="ar-SA"/>
              </w:rPr>
              <w:t>default placeholders</w:t>
            </w:r>
          </w:p>
        </w:tc>
        <w:tc>
          <w:tcPr>
            <w:tcW w:w="1460" w:type="pct"/>
            <w:vAlign w:val="center"/>
            <w:hideMark/>
          </w:tcPr>
          <w:p>
            <w:pPr>
              <w:keepNext/>
              <w:keepLines/>
              <w:rPr>
                <w:sz w:val="20"/>
                <w:szCs w:val="20"/>
                <w:lang w:eastAsia="en-US" w:bidi="ar-SA"/>
              </w:rPr>
            </w:pPr>
            <w:r>
              <w:rPr>
                <w:sz w:val="20"/>
                <w:szCs w:val="20"/>
                <w:lang w:eastAsia="en-US" w:bidi="ar-SA"/>
              </w:rPr>
              <w:t>clear</w:t>
            </w:r>
          </w:p>
        </w:tc>
        <w:tc>
          <w:tcPr>
            <w:tcW w:w="468" w:type="pct"/>
            <w:vAlign w:val="center"/>
            <w:hideMark/>
          </w:tcPr>
          <w:p>
            <w:pPr>
              <w:keepNext/>
              <w:keepLines/>
              <w:rPr>
                <w:sz w:val="20"/>
                <w:szCs w:val="20"/>
                <w:lang w:eastAsia="en-US" w:bidi="ar-SA"/>
              </w:rPr>
            </w:pPr>
            <w:r>
              <w:rPr>
                <w:sz w:val="20"/>
                <w:szCs w:val="20"/>
                <w:lang w:eastAsia="en-US" w:bidi="ar-SA"/>
              </w:rPr>
              <w:t>—</w:t>
            </w:r>
          </w:p>
        </w:tc>
        <w:tc>
          <w:tcPr>
            <w:tcW w:w="1167" w:type="pct"/>
            <w:vAlign w:val="center"/>
            <w:hideMark/>
          </w:tcPr>
          <w:p>
            <w:pPr>
              <w:keepNext/>
              <w:keepLines/>
              <w:rPr>
                <w:sz w:val="20"/>
                <w:szCs w:val="20"/>
                <w:lang w:eastAsia="en-US" w:bidi="ar-SA"/>
              </w:rPr>
            </w:pPr>
            <w:r>
              <w:rPr>
                <w:sz w:val="20"/>
                <w:szCs w:val="20"/>
                <w:lang w:eastAsia="en-US" w:bidi="ar-SA"/>
              </w:rPr>
              <w:t>basic</w:t>
            </w:r>
          </w:p>
        </w:tc>
      </w:tr>
      <w:tr>
        <w:trPr>
          <w:trHeight w:val="440"/>
        </w:trPr>
        <w:tc>
          <w:tcPr>
            <w:tcW w:w="798" w:type="pct"/>
            <w:vMerge/>
            <w:shd w:val="clear" w:color="auto" w:fill="F0F7D7"/>
            <w:vAlign w:val="center"/>
            <w:hideMark/>
          </w:tcPr>
          <w:p>
            <w:pPr>
              <w:keepNext/>
              <w:keepLines/>
              <w:jc w:val="right"/>
              <w:rPr>
                <w:b/>
                <w:bCs/>
                <w:sz w:val="20"/>
                <w:szCs w:val="20"/>
                <w:lang w:eastAsia="en-US" w:bidi="ar-SA"/>
              </w:rPr>
            </w:pPr>
          </w:p>
        </w:tc>
        <w:tc>
          <w:tcPr>
            <w:tcW w:w="1107" w:type="pct"/>
            <w:shd w:val="clear" w:color="auto" w:fill="F0F7D7"/>
            <w:vAlign w:val="center"/>
            <w:hideMark/>
          </w:tcPr>
          <w:p>
            <w:pPr>
              <w:keepNext/>
              <w:keepLines/>
              <w:rPr>
                <w:sz w:val="20"/>
                <w:szCs w:val="20"/>
                <w:lang w:eastAsia="en-US" w:bidi="ar-SA"/>
              </w:rPr>
            </w:pPr>
            <w:r>
              <w:rPr>
                <w:sz w:val="20"/>
                <w:szCs w:val="20"/>
                <w:lang w:eastAsia="en-US" w:bidi="ar-SA"/>
              </w:rPr>
              <w:t>arbitrary placeholders</w:t>
            </w:r>
          </w:p>
        </w:tc>
        <w:tc>
          <w:tcPr>
            <w:tcW w:w="1460" w:type="pct"/>
            <w:vAlign w:val="center"/>
            <w:hideMark/>
          </w:tcPr>
          <w:p>
            <w:pPr>
              <w:keepNext/>
              <w:keepLines/>
              <w:rPr>
                <w:sz w:val="20"/>
                <w:szCs w:val="20"/>
                <w:lang w:eastAsia="en-US" w:bidi="ar-SA"/>
              </w:rPr>
            </w:pPr>
            <w:r>
              <w:rPr>
                <w:sz w:val="20"/>
                <w:szCs w:val="20"/>
                <w:lang w:eastAsia="en-US" w:bidi="ar-SA"/>
              </w:rPr>
              <w:t>unclear when multi-character</w:t>
            </w:r>
          </w:p>
        </w:tc>
        <w:tc>
          <w:tcPr>
            <w:tcW w:w="468" w:type="pct"/>
            <w:vAlign w:val="center"/>
            <w:hideMark/>
          </w:tcPr>
          <w:p>
            <w:pPr>
              <w:keepNext/>
              <w:keepLines/>
              <w:rPr>
                <w:sz w:val="20"/>
                <w:szCs w:val="20"/>
                <w:lang w:eastAsia="en-US" w:bidi="ar-SA"/>
              </w:rPr>
            </w:pPr>
            <w:r>
              <w:rPr>
                <w:sz w:val="20"/>
                <w:szCs w:val="20"/>
                <w:lang w:eastAsia="en-US" w:bidi="ar-SA"/>
              </w:rPr>
              <w:t>vague</w:t>
            </w:r>
          </w:p>
        </w:tc>
        <w:tc>
          <w:tcPr>
            <w:tcW w:w="1167" w:type="pct"/>
            <w:vAlign w:val="center"/>
            <w:hideMark/>
          </w:tcPr>
          <w:p>
            <w:pPr>
              <w:keepNext/>
              <w:keepLines/>
              <w:rPr>
                <w:sz w:val="20"/>
                <w:szCs w:val="20"/>
                <w:lang w:eastAsia="en-US" w:bidi="ar-SA"/>
              </w:rPr>
            </w:pPr>
            <w:r>
              <w:rPr>
                <w:sz w:val="20"/>
                <w:szCs w:val="20"/>
                <w:lang w:eastAsia="en-US" w:bidi="ar-SA"/>
              </w:rPr>
              <w:t>vague, implied</w:t>
            </w:r>
          </w:p>
        </w:tc>
      </w:tr>
      <w:tr>
        <w:trPr>
          <w:trHeight w:val="440"/>
        </w:trPr>
        <w:tc>
          <w:tcPr>
            <w:tcW w:w="798" w:type="pct"/>
            <w:vMerge w:val="restart"/>
            <w:shd w:val="clear" w:color="auto" w:fill="F0F7D7"/>
            <w:vAlign w:val="center"/>
            <w:hideMark/>
          </w:tcPr>
          <w:p>
            <w:pPr>
              <w:keepNext/>
              <w:keepLines/>
              <w:jc w:val="right"/>
              <w:rPr>
                <w:b/>
                <w:bCs/>
                <w:sz w:val="20"/>
                <w:szCs w:val="20"/>
                <w:lang w:eastAsia="en-US" w:bidi="ar-SA"/>
              </w:rPr>
            </w:pPr>
            <w:r>
              <w:rPr>
                <w:b/>
                <w:bCs/>
                <w:sz w:val="20"/>
                <w:szCs w:val="20"/>
                <w:lang w:eastAsia="en-US" w:bidi="ar-SA"/>
              </w:rPr>
              <w:t>encoding</w:t>
            </w:r>
          </w:p>
        </w:tc>
        <w:tc>
          <w:tcPr>
            <w:tcW w:w="1107" w:type="pct"/>
            <w:shd w:val="clear" w:color="auto" w:fill="F0F7D7"/>
            <w:vAlign w:val="center"/>
            <w:hideMark/>
          </w:tcPr>
          <w:p>
            <w:pPr>
              <w:keepNext/>
              <w:keepLines/>
              <w:rPr>
                <w:noProof/>
                <w:sz w:val="20"/>
                <w:szCs w:val="20"/>
                <w:lang w:eastAsia="en-US" w:bidi="ar-SA"/>
              </w:rPr>
            </w:pPr>
            <w:r>
              <w:rPr>
                <w:noProof/>
                <w:sz w:val="20"/>
                <w:szCs w:val="20"/>
                <w:lang w:eastAsia="en-US" w:bidi="ar-SA"/>
              </w:rPr>
              <w:t>&lt;g&gt;</w:t>
            </w:r>
          </w:p>
        </w:tc>
        <w:tc>
          <w:tcPr>
            <w:tcW w:w="1460" w:type="pct"/>
            <w:vAlign w:val="center"/>
            <w:hideMark/>
          </w:tcPr>
          <w:p>
            <w:pPr>
              <w:keepNext/>
              <w:keepLines/>
              <w:rPr>
                <w:sz w:val="20"/>
                <w:szCs w:val="20"/>
                <w:lang w:eastAsia="en-US" w:bidi="ar-SA"/>
              </w:rPr>
            </w:pPr>
            <w:r>
              <w:rPr>
                <w:sz w:val="20"/>
                <w:szCs w:val="20"/>
                <w:lang w:eastAsia="en-US" w:bidi="ar-SA"/>
              </w:rPr>
              <w:t>clear</w:t>
            </w:r>
          </w:p>
        </w:tc>
        <w:tc>
          <w:tcPr>
            <w:tcW w:w="468" w:type="pct"/>
            <w:vAlign w:val="center"/>
            <w:hideMark/>
          </w:tcPr>
          <w:p>
            <w:pPr>
              <w:keepNext/>
              <w:keepLines/>
              <w:rPr>
                <w:sz w:val="20"/>
                <w:szCs w:val="20"/>
                <w:lang w:eastAsia="en-US" w:bidi="ar-SA"/>
              </w:rPr>
            </w:pPr>
            <w:r>
              <w:rPr>
                <w:sz w:val="20"/>
                <w:szCs w:val="20"/>
                <w:lang w:eastAsia="en-US" w:bidi="ar-SA"/>
              </w:rPr>
              <w:t>—</w:t>
            </w:r>
          </w:p>
        </w:tc>
        <w:tc>
          <w:tcPr>
            <w:tcW w:w="1167" w:type="pct"/>
            <w:vAlign w:val="center"/>
            <w:hideMark/>
          </w:tcPr>
          <w:p>
            <w:pPr>
              <w:keepNext/>
              <w:keepLines/>
              <w:rPr>
                <w:sz w:val="20"/>
                <w:szCs w:val="20"/>
                <w:lang w:eastAsia="en-US" w:bidi="ar-SA"/>
              </w:rPr>
            </w:pPr>
            <w:r>
              <w:rPr>
                <w:sz w:val="20"/>
                <w:szCs w:val="20"/>
                <w:lang w:eastAsia="en-US" w:bidi="ar-SA"/>
              </w:rPr>
              <w:t>—</w:t>
            </w:r>
          </w:p>
        </w:tc>
      </w:tr>
      <w:tr>
        <w:trPr>
          <w:trHeight w:val="440"/>
        </w:trPr>
        <w:tc>
          <w:tcPr>
            <w:tcW w:w="798" w:type="pct"/>
            <w:vMerge/>
            <w:shd w:val="clear" w:color="auto" w:fill="F0F7D7"/>
            <w:vAlign w:val="center"/>
            <w:hideMark/>
          </w:tcPr>
          <w:p>
            <w:pPr>
              <w:keepNext/>
              <w:keepLines/>
              <w:rPr>
                <w:sz w:val="20"/>
                <w:szCs w:val="20"/>
                <w:lang w:eastAsia="en-US" w:bidi="ar-SA"/>
              </w:rPr>
            </w:pPr>
          </w:p>
        </w:tc>
        <w:tc>
          <w:tcPr>
            <w:tcW w:w="1107" w:type="pct"/>
            <w:shd w:val="clear" w:color="auto" w:fill="F0F7D7"/>
            <w:vAlign w:val="center"/>
            <w:hideMark/>
          </w:tcPr>
          <w:p>
            <w:pPr>
              <w:keepNext/>
              <w:keepLines/>
              <w:rPr>
                <w:noProof/>
                <w:sz w:val="20"/>
                <w:szCs w:val="20"/>
                <w:lang w:eastAsia="en-US" w:bidi="ar-SA"/>
              </w:rPr>
            </w:pPr>
            <w:r>
              <w:rPr>
                <w:noProof/>
                <w:sz w:val="20"/>
                <w:szCs w:val="20"/>
                <w:lang w:eastAsia="en-US" w:bidi="ar-SA"/>
              </w:rPr>
              <w:t>@type</w:t>
            </w:r>
          </w:p>
        </w:tc>
        <w:tc>
          <w:tcPr>
            <w:tcW w:w="1460" w:type="pct"/>
            <w:vAlign w:val="center"/>
            <w:hideMark/>
          </w:tcPr>
          <w:p>
            <w:pPr>
              <w:keepNext/>
              <w:keepLines/>
              <w:rPr>
                <w:sz w:val="20"/>
                <w:szCs w:val="20"/>
                <w:lang w:eastAsia="en-US" w:bidi="ar-SA"/>
              </w:rPr>
            </w:pPr>
            <w:r>
              <w:rPr>
                <w:sz w:val="20"/>
                <w:szCs w:val="20"/>
                <w:lang w:eastAsia="en-US" w:bidi="ar-SA"/>
              </w:rPr>
              <w:t>—</w:t>
            </w:r>
          </w:p>
        </w:tc>
        <w:tc>
          <w:tcPr>
            <w:tcW w:w="468" w:type="pct"/>
            <w:vAlign w:val="center"/>
            <w:hideMark/>
          </w:tcPr>
          <w:p>
            <w:pPr>
              <w:keepNext/>
              <w:keepLines/>
              <w:rPr>
                <w:sz w:val="20"/>
                <w:szCs w:val="20"/>
                <w:lang w:eastAsia="en-US" w:bidi="ar-SA"/>
              </w:rPr>
            </w:pPr>
            <w:r>
              <w:rPr>
                <w:sz w:val="20"/>
                <w:szCs w:val="20"/>
                <w:lang w:eastAsia="en-US" w:bidi="ar-SA"/>
              </w:rPr>
              <w:t>—</w:t>
            </w:r>
          </w:p>
        </w:tc>
        <w:tc>
          <w:tcPr>
            <w:tcW w:w="1167" w:type="pct"/>
            <w:vAlign w:val="center"/>
            <w:hideMark/>
          </w:tcPr>
          <w:p>
            <w:pPr>
              <w:keepNext/>
              <w:keepLines/>
              <w:rPr>
                <w:sz w:val="20"/>
                <w:szCs w:val="20"/>
                <w:lang w:eastAsia="en-US" w:bidi="ar-SA"/>
              </w:rPr>
            </w:pPr>
            <w:r>
              <w:rPr>
                <w:sz w:val="20"/>
                <w:szCs w:val="20"/>
                <w:lang w:eastAsia="en-US" w:bidi="ar-SA"/>
              </w:rPr>
              <w:t>basic</w:t>
            </w:r>
          </w:p>
        </w:tc>
      </w:tr>
      <w:tr>
        <w:trPr>
          <w:trHeight w:val="440"/>
        </w:trPr>
        <w:tc>
          <w:tcPr>
            <w:tcW w:w="798" w:type="pct"/>
            <w:vMerge/>
            <w:shd w:val="clear" w:color="auto" w:fill="F0F7D7"/>
            <w:vAlign w:val="center"/>
            <w:hideMark/>
          </w:tcPr>
          <w:p>
            <w:pPr>
              <w:rPr>
                <w:sz w:val="20"/>
                <w:szCs w:val="20"/>
                <w:lang w:eastAsia="en-US" w:bidi="ar-SA"/>
              </w:rPr>
            </w:pPr>
          </w:p>
        </w:tc>
        <w:tc>
          <w:tcPr>
            <w:tcW w:w="1107" w:type="pct"/>
            <w:shd w:val="clear" w:color="auto" w:fill="F0F7D7"/>
            <w:vAlign w:val="center"/>
            <w:hideMark/>
          </w:tcPr>
          <w:p>
            <w:pPr>
              <w:rPr>
                <w:noProof/>
                <w:sz w:val="20"/>
                <w:szCs w:val="20"/>
                <w:lang w:eastAsia="en-US" w:bidi="ar-SA"/>
              </w:rPr>
            </w:pPr>
            <w:r>
              <w:rPr>
                <w:noProof/>
                <w:sz w:val="20"/>
                <w:szCs w:val="20"/>
                <w:lang w:eastAsia="en-US" w:bidi="ar-SA"/>
              </w:rPr>
              <w:t>@ref</w:t>
            </w:r>
          </w:p>
        </w:tc>
        <w:tc>
          <w:tcPr>
            <w:tcW w:w="1460" w:type="pct"/>
            <w:vAlign w:val="center"/>
            <w:hideMark/>
          </w:tcPr>
          <w:p>
            <w:pPr>
              <w:rPr>
                <w:sz w:val="20"/>
                <w:szCs w:val="20"/>
                <w:lang w:eastAsia="en-US" w:bidi="ar-SA"/>
              </w:rPr>
            </w:pPr>
            <w:r>
              <w:rPr>
                <w:sz w:val="20"/>
                <w:szCs w:val="20"/>
                <w:lang w:eastAsia="en-US" w:bidi="ar-SA"/>
              </w:rPr>
              <w:t>—</w:t>
            </w:r>
          </w:p>
        </w:tc>
        <w:tc>
          <w:tcPr>
            <w:tcW w:w="468" w:type="pct"/>
            <w:vAlign w:val="center"/>
            <w:hideMark/>
          </w:tcPr>
          <w:p>
            <w:pPr>
              <w:rPr>
                <w:sz w:val="20"/>
                <w:szCs w:val="20"/>
                <w:lang w:eastAsia="en-US" w:bidi="ar-SA"/>
              </w:rPr>
            </w:pPr>
            <w:r>
              <w:rPr>
                <w:sz w:val="20"/>
                <w:szCs w:val="20"/>
                <w:lang w:eastAsia="en-US" w:bidi="ar-SA"/>
              </w:rPr>
              <w:t>specific</w:t>
            </w:r>
          </w:p>
        </w:tc>
        <w:tc>
          <w:tcPr>
            <w:tcW w:w="1167" w:type="pct"/>
            <w:vAlign w:val="center"/>
            <w:hideMark/>
          </w:tcPr>
          <w:p>
            <w:pPr>
              <w:rPr>
                <w:sz w:val="20"/>
                <w:szCs w:val="20"/>
                <w:lang w:eastAsia="en-US" w:bidi="ar-SA"/>
              </w:rPr>
            </w:pPr>
            <w:r>
              <w:rPr>
                <w:noProof/>
                <w:sz w:val="20"/>
                <w:szCs w:val="20"/>
                <w:lang w:eastAsia="en-US" w:bidi="ar-SA"/>
              </w:rPr>
              <w:t>(</w:t>
            </w:r>
            <w:r>
              <w:rPr>
                <w:sz w:val="20"/>
                <w:szCs w:val="20"/>
                <w:lang w:eastAsia="en-US" w:bidi="ar-SA"/>
              </w:rPr>
              <w:t>implied for ideograms)</w:t>
            </w:r>
          </w:p>
        </w:tc>
      </w:tr>
    </w:tbl>
    <w:p>
      <w:pPr>
        <w:pStyle w:val="Cmsor4"/>
      </w:pPr>
      <w:r>
        <w:t>What counts as a symbol?</w:t>
      </w:r>
    </w:p>
    <w:p>
      <w:pPr>
        <w:rPr>
          <w:lang w:eastAsia="en-US" w:bidi="ar-SA"/>
        </w:rPr>
      </w:pPr>
      <w:r>
        <w:rPr>
          <w:lang w:eastAsia="en-US" w:bidi="ar-SA"/>
        </w:rPr>
        <w:t>The symbols discussed in this section are graphemes, with the implication that they signify information that pertains, however vaguely, to language. Any other graphic content in an original document may be described in annotation, but shall not be represented in transliteration and through symbol encoding, as discussed in TG §3.1.4.3. In particular, the following features are not symbols:</w:t>
      </w:r>
    </w:p>
    <w:p>
      <w:pPr>
        <w:pStyle w:val="Lista"/>
        <w:rPr>
          <w:lang w:eastAsia="en-US" w:bidi="ar-SA"/>
        </w:rPr>
      </w:pPr>
      <w:r>
        <w:rPr>
          <w:lang w:eastAsia="en-US" w:bidi="ar-SA"/>
        </w:rPr>
        <w:t>decorative or illustrative imagery, which is to be annotated</w:t>
      </w:r>
    </w:p>
    <w:p>
      <w:pPr>
        <w:pStyle w:val="Lista"/>
        <w:rPr>
          <w:lang w:eastAsia="en-US" w:bidi="ar-SA"/>
        </w:rPr>
      </w:pPr>
      <w:r>
        <w:rPr>
          <w:lang w:eastAsia="en-US" w:bidi="ar-SA"/>
        </w:rPr>
        <w:t xml:space="preserve">scribal (premodern editorial) marks, which are represented in the encoding but not in the text </w:t>
      </w:r>
      <w:r>
        <w:t>(see §</w:t>
      </w:r>
      <w:r>
        <w:fldChar w:fldCharType="begin"/>
      </w:r>
      <w:r>
        <w:instrText xml:space="preserve"> REF _Ref156807687 \r \h </w:instrText>
      </w:r>
      <w:r>
        <w:fldChar w:fldCharType="separate"/>
      </w:r>
      <w:r>
        <w:t>5.4.2.1</w:t>
      </w:r>
      <w:r>
        <w:fldChar w:fldCharType="end"/>
      </w:r>
      <w:r>
        <w:t xml:space="preserve"> about marks used in lieu of text not inscribed; §</w:t>
      </w:r>
      <w:r>
        <w:fldChar w:fldCharType="begin"/>
      </w:r>
      <w:r>
        <w:instrText xml:space="preserve"> REF _Ref183012048 \r \h </w:instrText>
      </w:r>
      <w:r>
        <w:fldChar w:fldCharType="separate"/>
      </w:r>
      <w:r>
        <w:t>5.4.4</w:t>
      </w:r>
      <w:r>
        <w:fldChar w:fldCharType="end"/>
      </w:r>
      <w:r>
        <w:t xml:space="preserve"> about marks for scribal correction)</w:t>
      </w:r>
    </w:p>
    <w:p>
      <w:pPr>
        <w:pStyle w:val="Lista"/>
      </w:pPr>
      <w:r>
        <w:t>as per §</w:t>
      </w:r>
      <w:r>
        <w:fldChar w:fldCharType="begin"/>
      </w:r>
      <w:r>
        <w:instrText xml:space="preserve"> REF _Ref226033790 \r \h </w:instrText>
      </w:r>
      <w:r>
        <w:fldChar w:fldCharType="separate"/>
      </w:r>
      <w:r>
        <w:t>5.1.5</w:t>
      </w:r>
      <w:r>
        <w:fldChar w:fldCharType="end"/>
      </w:r>
      <w:r>
        <w:t xml:space="preserve"> and §</w:t>
      </w:r>
      <w:r>
        <w:fldChar w:fldCharType="begin"/>
      </w:r>
      <w:r>
        <w:instrText xml:space="preserve"> REF _Ref226033797 \r \h </w:instrText>
      </w:r>
      <w:r>
        <w:fldChar w:fldCharType="separate"/>
      </w:r>
      <w:r>
        <w:t>5.2.3</w:t>
      </w:r>
      <w:r>
        <w:fldChar w:fldCharType="end"/>
      </w:r>
      <w:r>
        <w:t>, core glyphs (i.e. phonographic and numeral glyphs) are not symbols in this sense even when they are employed in a symbolic function, and shall therefore be transliterated according to their primary signification and not wrapped in glyph encoding for symbols</w:t>
      </w:r>
    </w:p>
    <w:p>
      <w:pPr>
        <w:pStyle w:val="Lista2"/>
      </w:pPr>
      <w:r>
        <w:t xml:space="preserve">however, as per </w:t>
      </w:r>
      <w:r>
        <w:rPr>
          <w:lang w:eastAsia="en-US" w:bidi="ar-SA"/>
        </w:rPr>
        <w:t xml:space="preserve">TG §6.2, symbol glyphs whose shape is similar to a core glyph but not identical to that glyph as attested or expected in the given writing system (e.g. the glyph </w:t>
      </w:r>
      <w:r>
        <w:rPr>
          <w:rStyle w:val="Foreign"/>
        </w:rPr>
        <w:t>oṁ</w:t>
      </w:r>
      <w:r>
        <w:t xml:space="preserve"> written in a conspicuously archaic or </w:t>
      </w:r>
      <w:r>
        <w:rPr>
          <w:lang w:eastAsia="en-US" w:bidi="ar-SA"/>
        </w:rPr>
        <w:t>stylised form) shall be treated as peripheral graphemes</w:t>
      </w:r>
    </w:p>
    <w:p>
      <w:pPr>
        <w:pStyle w:val="Cmsor3"/>
      </w:pPr>
      <w:bookmarkStart w:id="382" w:name="_Ref226023506"/>
      <w:bookmarkStart w:id="383" w:name="_Toc242976627"/>
      <w:r>
        <w:lastRenderedPageBreak/>
        <w:t>Classifying symbols by function</w:t>
      </w:r>
      <w:bookmarkEnd w:id="382"/>
      <w:bookmarkEnd w:id="383"/>
    </w:p>
    <w:p>
      <w:pPr>
        <w:rPr>
          <w:lang w:eastAsia="en-US" w:bidi="ar-SA"/>
        </w:rPr>
      </w:pPr>
      <w:r>
        <w:rPr>
          <w:lang w:eastAsia="en-US" w:bidi="ar-SA"/>
        </w:rPr>
        <w:t xml:space="preserve">For the purposes of transliteration as well as encoding, we categorise peripheral graphemes into four broad functional classes: ideograms, punctuation marks, connectors and abstract symbols. These classes are discussed in TG §5 and only briefly summarised here. We find that because of the vague nature of many symbols a more precise differentiation by function would entail difficulty in defining functions and inconsistency in applying the classification. Moreover, across the writing systems in our scope — and even within a single writing tradition or a single document — any particular glyph may be used in any of these basic functions (or without a clear function). Therefore, even though particular shapes are often associated with particular functions, functional classification must be judged on a case-by-case basis, and the assignment of a grapheme to a particular function never implies any particular shape. </w:t>
      </w:r>
    </w:p>
    <w:p>
      <w:pPr>
        <w:pStyle w:val="Cmsor4"/>
      </w:pPr>
      <w:r>
        <w:t>Ideograms</w:t>
      </w:r>
    </w:p>
    <w:p>
      <w:pPr>
        <w:pStyle w:val="Lista"/>
      </w:pPr>
      <w:r>
        <w:t xml:space="preserve">ideograms (TG §5.2) are graphemes </w:t>
      </w:r>
      <w:r>
        <w:rPr>
          <w:lang w:eastAsia="en-US" w:bidi="ar-SA"/>
        </w:rPr>
        <w:t xml:space="preserve">that signify </w:t>
      </w:r>
      <w:r>
        <w:t>words, morphemes or abstract concepts</w:t>
      </w:r>
    </w:p>
    <w:p>
      <w:pPr>
        <w:pStyle w:val="Lista"/>
      </w:pPr>
      <w:r>
        <w:t>modern international examples include |+| |%| |$| |€|</w:t>
      </w:r>
    </w:p>
    <w:p>
      <w:pPr>
        <w:pStyle w:val="Lista"/>
      </w:pPr>
      <w:r>
        <w:t>examples in Indic writing systems include |</w:t>
      </w:r>
      <w:r>
        <w:rPr>
          <w:rStyle w:val="ForeignDevanagariAlt"/>
          <w:rFonts w:hint="cs"/>
          <w:cs/>
        </w:rPr>
        <w:t>ॐ</w:t>
      </w:r>
      <w:r>
        <w:t xml:space="preserve">| (Devanagari </w:t>
      </w:r>
      <w:r>
        <w:rPr>
          <w:rStyle w:val="Foreign"/>
        </w:rPr>
        <w:t>oṁ</w:t>
      </w:r>
      <w:r>
        <w:t>), |</w:t>
      </w:r>
      <w:r>
        <w:rPr>
          <w:rStyle w:val="ForeignTamilScript"/>
          <w:cs/>
          <w:lang w:bidi="ta-IN"/>
        </w:rPr>
        <w:t>௳</w:t>
      </w:r>
      <w:r>
        <w:t xml:space="preserve">| (Tamil </w:t>
      </w:r>
      <w:r>
        <w:rPr>
          <w:rStyle w:val="Foreign"/>
        </w:rPr>
        <w:t>piḷḷaiyār cuḻi</w:t>
      </w:r>
      <w:r>
        <w:t>)</w:t>
      </w:r>
    </w:p>
    <w:p>
      <w:pPr>
        <w:pStyle w:val="Lista"/>
      </w:pPr>
      <w:r>
        <w:t>numerals are technically also ideograms, but from a practical point of view we treat them as core graphemes (§</w:t>
      </w:r>
      <w:r>
        <w:fldChar w:fldCharType="begin"/>
      </w:r>
      <w:r>
        <w:instrText xml:space="preserve"> REF _Ref226015920 \r \h </w:instrText>
      </w:r>
      <w:r>
        <w:fldChar w:fldCharType="separate"/>
      </w:r>
      <w:r>
        <w:t>5.2</w:t>
      </w:r>
      <w:r>
        <w:fldChar w:fldCharType="end"/>
      </w:r>
      <w:r>
        <w:t>)</w:t>
      </w:r>
    </w:p>
    <w:p>
      <w:pPr>
        <w:pStyle w:val="Cmsor4"/>
      </w:pPr>
      <w:r>
        <w:t>Punctuation marks</w:t>
      </w:r>
    </w:p>
    <w:p>
      <w:pPr>
        <w:pStyle w:val="Lista"/>
      </w:pPr>
      <w:r>
        <w:t>punctuation marks (TG §5.3) are graphic signs employed for segmentation into syntactic or metrical units such as such as sentences, clauses, list items and stanzas or their subdivisions</w:t>
      </w:r>
    </w:p>
    <w:p>
      <w:pPr>
        <w:pStyle w:val="Lista2"/>
      </w:pPr>
      <w:r>
        <w:t>throughout this Guide, the term ‘punctuation mark’ is always used in this specific and restricted sense</w:t>
      </w:r>
    </w:p>
    <w:p>
      <w:pPr>
        <w:pStyle w:val="Lista2"/>
      </w:pPr>
      <w:r>
        <w:t>thus, figural and ornamental signs, as well as “typographic” signs used to mark the end or beginning of an entire text or a major section of text, are generally excluded from this class</w:t>
      </w:r>
    </w:p>
    <w:p>
      <w:pPr>
        <w:pStyle w:val="Lista"/>
      </w:pPr>
      <w:r>
        <w:t>modern international examples include |.| |,| |!|</w:t>
      </w:r>
    </w:p>
    <w:p>
      <w:pPr>
        <w:pStyle w:val="Lista"/>
      </w:pPr>
      <w:r>
        <w:t>examples in Indic writing systems include vertical bars, horizontal dashes and their variations</w:t>
      </w:r>
    </w:p>
    <w:p>
      <w:pPr>
        <w:pStyle w:val="Cmsor4"/>
      </w:pPr>
      <w:bookmarkStart w:id="384" w:name="_Ref226038881"/>
      <w:r>
        <w:t>Connectors</w:t>
      </w:r>
      <w:bookmarkEnd w:id="384"/>
    </w:p>
    <w:p>
      <w:pPr>
        <w:pStyle w:val="Lista"/>
      </w:pPr>
      <w:r>
        <w:t>connectors (TG §5.4) are a special set of marks which signify that a spatial interruption in the script is not to be understood as a break in linguistic structure</w:t>
      </w:r>
    </w:p>
    <w:p>
      <w:pPr>
        <w:pStyle w:val="Lista2"/>
      </w:pPr>
      <w:r>
        <w:t>connectors include the marks called ‘space fillers’ in previous versions of this Guide, used where a part of the writing surface could not accommodate the text to be written, filling it up with one or more marks in order to preserve the continuity of the writing</w:t>
      </w:r>
    </w:p>
    <w:p>
      <w:pPr>
        <w:pStyle w:val="Lista2"/>
      </w:pPr>
      <w:r>
        <w:t>as well as marks used singly at line ends to signify that a word break is not present (like a modern hyphen)</w:t>
      </w:r>
    </w:p>
    <w:p>
      <w:pPr>
        <w:pStyle w:val="Lista"/>
      </w:pPr>
      <w:r>
        <w:t>conversely, signs used by the scribe as placeholders for characters of text he was unable to provide (for example because they were illegible in the manuscript being copied) are not connectors and shall be encoded as per §</w:t>
      </w:r>
      <w:r>
        <w:fldChar w:fldCharType="begin"/>
      </w:r>
      <w:r>
        <w:instrText xml:space="preserve"> REF _Ref156807687 \r \h </w:instrText>
      </w:r>
      <w:r>
        <w:fldChar w:fldCharType="separate"/>
      </w:r>
      <w:r>
        <w:t>5.4.2.1</w:t>
      </w:r>
      <w:r>
        <w:fldChar w:fldCharType="end"/>
      </w:r>
    </w:p>
    <w:p>
      <w:pPr>
        <w:pStyle w:val="Cmsor4"/>
      </w:pPr>
      <w:bookmarkStart w:id="385" w:name="_Ref231893872"/>
      <w:r>
        <w:t>Abstract symbols</w:t>
      </w:r>
      <w:bookmarkEnd w:id="385"/>
    </w:p>
    <w:p>
      <w:pPr>
        <w:pStyle w:val="Lista"/>
      </w:pPr>
      <w:r>
        <w:t>abstract symbols (TG §5.5) are all peripheral graphemes that cannot be confidently assigned to either of the above three classes</w:t>
      </w:r>
    </w:p>
    <w:p>
      <w:pPr>
        <w:pStyle w:val="Lista2"/>
      </w:pPr>
      <w:r>
        <w:t>abstract symbols are also called simply ‘symbols’, but we also use the term ‘symbol’ in a generic sense to refer to all peripheral graphemes</w:t>
      </w:r>
    </w:p>
    <w:p>
      <w:pPr>
        <w:pStyle w:val="Lista"/>
        <w:rPr>
          <w:lang w:eastAsia="en-US" w:bidi="ar-SA"/>
        </w:rPr>
      </w:pPr>
      <w:r>
        <w:rPr>
          <w:lang w:eastAsia="en-US" w:bidi="ar-SA"/>
        </w:rPr>
        <w:t>classifying a grapheme as an abstract symbol means choosing not to assert any particular linguistic function for it, but is not an assertion that it has no function at all</w:t>
      </w:r>
    </w:p>
    <w:p>
      <w:pPr>
        <w:pStyle w:val="Lista2"/>
        <w:rPr>
          <w:lang w:eastAsia="en-US" w:bidi="ar-SA"/>
        </w:rPr>
      </w:pPr>
      <w:r>
        <w:rPr>
          <w:lang w:eastAsia="en-US" w:bidi="ar-SA"/>
        </w:rPr>
        <w:t>thus, all graphemes whose function is ambiguous or uncertain shall be classified as abstract symbols, even if there is a chance that they might qualify for one of the specific classes</w:t>
      </w:r>
    </w:p>
    <w:p>
      <w:pPr>
        <w:pStyle w:val="Lista2"/>
        <w:rPr>
          <w:lang w:eastAsia="en-US" w:bidi="ar-SA"/>
        </w:rPr>
      </w:pPr>
      <w:r>
        <w:t>encoding an abstract symbol instead of a specific function is not an error and will have little ultimate impact on the quality of our corpus</w:t>
      </w:r>
    </w:p>
    <w:p>
      <w:pPr>
        <w:pStyle w:val="Cmsor3"/>
      </w:pPr>
      <w:bookmarkStart w:id="386" w:name="_Toc242976628"/>
      <w:r>
        <w:lastRenderedPageBreak/>
        <w:t>Transliterating peripheral graphemes</w:t>
      </w:r>
      <w:bookmarkEnd w:id="386"/>
    </w:p>
    <w:p>
      <w:pPr>
        <w:rPr>
          <w:lang w:eastAsia="en-US" w:bidi="ar-SA"/>
        </w:rPr>
      </w:pPr>
      <w:r>
        <w:rPr>
          <w:lang w:eastAsia="en-US" w:bidi="ar-SA"/>
        </w:rPr>
        <w:t>The placeholders used for peripheral graphemes are a device of transliteration, and are accordingly discussed in TG §5. Here, we summarise only the essentials. We dedicate a default placeholder to each of the broad functional classes introduced in §</w:t>
      </w:r>
      <w:r>
        <w:rPr>
          <w:lang w:eastAsia="en-US" w:bidi="ar-SA"/>
        </w:rPr>
        <w:fldChar w:fldCharType="begin"/>
      </w:r>
      <w:r>
        <w:rPr>
          <w:lang w:eastAsia="en-US" w:bidi="ar-SA"/>
        </w:rPr>
        <w:instrText xml:space="preserve"> REF _Ref226023506 \r \h </w:instrText>
      </w:r>
      <w:r>
        <w:rPr>
          <w:lang w:eastAsia="en-US" w:bidi="ar-SA"/>
        </w:rPr>
      </w:r>
      <w:r>
        <w:rPr>
          <w:lang w:eastAsia="en-US" w:bidi="ar-SA"/>
        </w:rPr>
        <w:fldChar w:fldCharType="separate"/>
      </w:r>
      <w:r>
        <w:rPr>
          <w:lang w:eastAsia="en-US" w:bidi="ar-SA"/>
        </w:rPr>
        <w:t>5.3.2</w:t>
      </w:r>
      <w:r>
        <w:rPr>
          <w:lang w:eastAsia="en-US" w:bidi="ar-SA"/>
        </w:rPr>
        <w:fldChar w:fldCharType="end"/>
      </w:r>
      <w:r>
        <w:rPr>
          <w:lang w:eastAsia="en-US" w:bidi="ar-SA"/>
        </w:rPr>
        <w:t xml:space="preserve"> above. When an arbitrary placeholder (§</w:t>
      </w:r>
      <w:r>
        <w:rPr>
          <w:lang w:eastAsia="en-US" w:bidi="ar-SA"/>
        </w:rPr>
        <w:fldChar w:fldCharType="begin"/>
      </w:r>
      <w:r>
        <w:rPr>
          <w:lang w:eastAsia="en-US" w:bidi="ar-SA"/>
        </w:rPr>
        <w:instrText xml:space="preserve"> REF _Ref225955892 \r \h </w:instrText>
      </w:r>
      <w:r>
        <w:rPr>
          <w:lang w:eastAsia="en-US" w:bidi="ar-SA"/>
        </w:rPr>
      </w:r>
      <w:r>
        <w:rPr>
          <w:lang w:eastAsia="en-US" w:bidi="ar-SA"/>
        </w:rPr>
        <w:fldChar w:fldCharType="separate"/>
      </w:r>
      <w:r>
        <w:rPr>
          <w:lang w:eastAsia="en-US" w:bidi="ar-SA"/>
        </w:rPr>
        <w:t>5.3.3.2</w:t>
      </w:r>
      <w:r>
        <w:rPr>
          <w:lang w:eastAsia="en-US" w:bidi="ar-SA"/>
        </w:rPr>
        <w:fldChar w:fldCharType="end"/>
      </w:r>
      <w:r>
        <w:rPr>
          <w:lang w:eastAsia="en-US" w:bidi="ar-SA"/>
        </w:rPr>
        <w:t>) is not desired, every peripheral grapheme in the source must be transliterated with the default placeholder appropriate to its class.</w:t>
      </w:r>
    </w:p>
    <w:p>
      <w:pPr>
        <w:pStyle w:val="Cmsor4"/>
      </w:pPr>
      <w:bookmarkStart w:id="387" w:name="_Ref226036268"/>
      <w:r>
        <w:t>Default placeholders</w:t>
      </w:r>
      <w:bookmarkEnd w:id="387"/>
    </w:p>
    <w:p>
      <w:pPr>
        <w:pStyle w:val="Lista"/>
      </w:pPr>
      <w:r>
        <w:t>the default placeholders for the classes are as follows</w:t>
      </w:r>
    </w:p>
    <w:p>
      <w:pPr>
        <w:pStyle w:val="Lista2"/>
      </w:pPr>
      <w:r>
        <w:t xml:space="preserve">for ideograms: @ </w:t>
      </w:r>
      <w:r>
        <w:rPr>
          <w:noProof/>
        </w:rPr>
        <w:t>(</w:t>
      </w:r>
      <w:r>
        <w:t>at sign)</w:t>
      </w:r>
    </w:p>
    <w:p>
      <w:pPr>
        <w:pStyle w:val="Lista2"/>
      </w:pPr>
      <w:r>
        <w:t xml:space="preserve">for punctuation marks: . </w:t>
      </w:r>
      <w:r>
        <w:rPr>
          <w:noProof/>
        </w:rPr>
        <w:t>(</w:t>
      </w:r>
      <w:r>
        <w:t>dot, period or full stop)</w:t>
      </w:r>
    </w:p>
    <w:p>
      <w:pPr>
        <w:pStyle w:val="Lista2"/>
      </w:pPr>
      <w:r>
        <w:t xml:space="preserve">for connectors: § </w:t>
      </w:r>
      <w:r>
        <w:rPr>
          <w:noProof/>
        </w:rPr>
        <w:t>(</w:t>
      </w:r>
      <w:r>
        <w:t>section sign)</w:t>
      </w:r>
    </w:p>
    <w:p>
      <w:pPr>
        <w:pStyle w:val="Lista2"/>
      </w:pPr>
      <w:r>
        <w:t xml:space="preserve">for abstract symbols: * </w:t>
      </w:r>
      <w:r>
        <w:rPr>
          <w:noProof/>
        </w:rPr>
        <w:t>(</w:t>
      </w:r>
      <w:r>
        <w:t>asterisk)</w:t>
      </w:r>
    </w:p>
    <w:p>
      <w:pPr>
        <w:pStyle w:val="Lista"/>
      </w:pPr>
      <w:r>
        <w:rPr>
          <w:lang w:eastAsia="en-US" w:bidi="ar-SA"/>
        </w:rPr>
        <w:t>in XML editions, the default placeholders will usually be combined with glyph encoding (§</w:t>
      </w:r>
      <w:r>
        <w:rPr>
          <w:lang w:eastAsia="en-US" w:bidi="ar-SA"/>
        </w:rPr>
        <w:fldChar w:fldCharType="begin"/>
      </w:r>
      <w:r>
        <w:rPr>
          <w:lang w:eastAsia="en-US" w:bidi="ar-SA"/>
        </w:rPr>
        <w:instrText xml:space="preserve"> REF _Ref226028934 \r \h </w:instrText>
      </w:r>
      <w:r>
        <w:rPr>
          <w:lang w:eastAsia="en-US" w:bidi="ar-SA"/>
        </w:rPr>
      </w:r>
      <w:r>
        <w:rPr>
          <w:lang w:eastAsia="en-US" w:bidi="ar-SA"/>
        </w:rPr>
        <w:fldChar w:fldCharType="separate"/>
      </w:r>
      <w:r>
        <w:rPr>
          <w:lang w:eastAsia="en-US" w:bidi="ar-SA"/>
        </w:rPr>
        <w:t>5.3.4</w:t>
      </w:r>
      <w:r>
        <w:rPr>
          <w:lang w:eastAsia="en-US" w:bidi="ar-SA"/>
        </w:rPr>
        <w:fldChar w:fldCharType="end"/>
      </w:r>
      <w:r>
        <w:rPr>
          <w:lang w:eastAsia="en-US" w:bidi="ar-SA"/>
        </w:rPr>
        <w:t>)</w:t>
      </w:r>
    </w:p>
    <w:p>
      <w:pPr>
        <w:pStyle w:val="Lista"/>
      </w:pPr>
      <w:r>
        <w:rPr>
          <w:lang w:eastAsia="en-US" w:bidi="ar-SA"/>
        </w:rPr>
        <w:t xml:space="preserve">default placeholders may be used without being wrapped in a </w:t>
      </w:r>
      <w:r>
        <w:rPr>
          <w:rStyle w:val="Code"/>
        </w:rPr>
        <w:t>&lt;g&gt;</w:t>
      </w:r>
      <w:r>
        <w:t xml:space="preserve"> element in the following circumstances:</w:t>
      </w:r>
    </w:p>
    <w:p>
      <w:pPr>
        <w:pStyle w:val="Lista2"/>
      </w:pPr>
      <w:r>
        <w:t>when supplying editorial punctuation for the purpose of semantic segmentation, as per §</w:t>
      </w:r>
      <w:r>
        <w:fldChar w:fldCharType="begin"/>
      </w:r>
      <w:r>
        <w:instrText xml:space="preserve"> REF _Ref229060537 \r \h </w:instrText>
      </w:r>
      <w:r>
        <w:fldChar w:fldCharType="separate"/>
      </w:r>
      <w:r>
        <w:t>7.8.3</w:t>
      </w:r>
      <w:r>
        <w:fldChar w:fldCharType="end"/>
      </w:r>
    </w:p>
    <w:p>
      <w:pPr>
        <w:pStyle w:val="Lista2"/>
      </w:pPr>
      <w:r>
        <w:t>when encoding a text from a previous edition, without access to the original or a surrogate, if that edition records the presence of a symbol without describing its appearance</w:t>
      </w:r>
    </w:p>
    <w:p>
      <w:pPr>
        <w:pStyle w:val="Cmsor4"/>
      </w:pPr>
      <w:bookmarkStart w:id="388" w:name="_Ref225955892"/>
      <w:r>
        <w:t>Arbitrary placeholders</w:t>
      </w:r>
      <w:bookmarkEnd w:id="388"/>
    </w:p>
    <w:p>
      <w:pPr>
        <w:rPr>
          <w:lang w:eastAsia="en-US" w:bidi="ar-SA"/>
        </w:rPr>
      </w:pPr>
      <w:r>
        <w:rPr>
          <w:lang w:eastAsia="en-US" w:bidi="ar-SA"/>
        </w:rPr>
        <w:t>At the editor’s discretion, arbitrary target graphemes (or strings of target graphemes) may be used for representing any peripheral grapheme in the source. Arbitrary placeholders can be Unicode characters chosen to resemble the source grapheme’s graphetic appearance or to imitate its perceived graphemic function, as well as strings alluding to an emic name of the source grapheme or describing it in etic terms (TG §5.1.2).</w:t>
      </w:r>
    </w:p>
    <w:p>
      <w:pPr>
        <w:pStyle w:val="Lista"/>
        <w:rPr>
          <w:lang w:eastAsia="en-US" w:bidi="ar-SA"/>
        </w:rPr>
      </w:pPr>
      <w:r>
        <w:rPr>
          <w:lang w:eastAsia="en-US" w:bidi="ar-SA"/>
        </w:rPr>
        <w:t>in XML editions, it is generally preferable to use only the default placeholders and combine them with glyph encoding (§</w:t>
      </w:r>
      <w:r>
        <w:rPr>
          <w:lang w:eastAsia="en-US" w:bidi="ar-SA"/>
        </w:rPr>
        <w:fldChar w:fldCharType="begin"/>
      </w:r>
      <w:r>
        <w:rPr>
          <w:lang w:eastAsia="en-US" w:bidi="ar-SA"/>
        </w:rPr>
        <w:instrText xml:space="preserve"> REF _Ref226016620 \r \h </w:instrText>
      </w:r>
      <w:r>
        <w:rPr>
          <w:lang w:eastAsia="en-US" w:bidi="ar-SA"/>
        </w:rPr>
      </w:r>
      <w:r>
        <w:rPr>
          <w:lang w:eastAsia="en-US" w:bidi="ar-SA"/>
        </w:rPr>
        <w:fldChar w:fldCharType="separate"/>
      </w:r>
      <w:r>
        <w:rPr>
          <w:lang w:eastAsia="en-US" w:bidi="ar-SA"/>
        </w:rPr>
        <w:t>5.3.4</w:t>
      </w:r>
      <w:r>
        <w:rPr>
          <w:lang w:eastAsia="en-US" w:bidi="ar-SA"/>
        </w:rPr>
        <w:fldChar w:fldCharType="end"/>
      </w:r>
      <w:r>
        <w:rPr>
          <w:lang w:eastAsia="en-US" w:bidi="ar-SA"/>
        </w:rPr>
        <w:t>)</w:t>
      </w:r>
    </w:p>
    <w:p>
      <w:pPr>
        <w:pStyle w:val="Lista"/>
        <w:rPr>
          <w:lang w:eastAsia="en-US" w:bidi="ar-SA"/>
        </w:rPr>
      </w:pPr>
      <w:r>
        <w:rPr>
          <w:lang w:eastAsia="en-US" w:bidi="ar-SA"/>
        </w:rPr>
        <w:t>nonetheless, because they can help reduce code clutter, arbitrary placeholders are permitted in XML contexts if they are deemed to be satisfactory representations of the source grapheme</w:t>
      </w:r>
    </w:p>
    <w:p>
      <w:pPr>
        <w:pStyle w:val="Lista2"/>
      </w:pPr>
      <w:r>
        <w:rPr>
          <w:lang w:eastAsia="en-US" w:bidi="ar-SA"/>
        </w:rPr>
        <w:t>arbitrary placeholders may be used without glyph encoding provided that they consist of a single character</w:t>
      </w:r>
    </w:p>
    <w:p>
      <w:pPr>
        <w:pStyle w:val="Lista2"/>
        <w:rPr>
          <w:lang w:eastAsia="en-US" w:bidi="ar-SA"/>
        </w:rPr>
      </w:pPr>
      <w:r>
        <w:rPr>
          <w:lang w:eastAsia="en-US" w:bidi="ar-SA"/>
        </w:rPr>
        <w:t>multi-character arbitrary placeholders must, however, always be combined with glyph encoding (§</w:t>
      </w:r>
      <w:r>
        <w:rPr>
          <w:lang w:eastAsia="en-US" w:bidi="ar-SA"/>
        </w:rPr>
        <w:fldChar w:fldCharType="begin"/>
      </w:r>
      <w:r>
        <w:rPr>
          <w:lang w:eastAsia="en-US" w:bidi="ar-SA"/>
        </w:rPr>
        <w:instrText xml:space="preserve"> REF _Ref226028934 \r \h </w:instrText>
      </w:r>
      <w:r>
        <w:rPr>
          <w:lang w:eastAsia="en-US" w:bidi="ar-SA"/>
        </w:rPr>
      </w:r>
      <w:r>
        <w:rPr>
          <w:lang w:eastAsia="en-US" w:bidi="ar-SA"/>
        </w:rPr>
        <w:fldChar w:fldCharType="separate"/>
      </w:r>
      <w:r>
        <w:rPr>
          <w:lang w:eastAsia="en-US" w:bidi="ar-SA"/>
        </w:rPr>
        <w:t>5.3.4</w:t>
      </w:r>
      <w:r>
        <w:rPr>
          <w:lang w:eastAsia="en-US" w:bidi="ar-SA"/>
        </w:rPr>
        <w:fldChar w:fldCharType="end"/>
      </w:r>
      <w:r>
        <w:rPr>
          <w:lang w:eastAsia="en-US" w:bidi="ar-SA"/>
        </w:rPr>
        <w:t>) to make it clear that a particular string of target characters corresponds to a single source grapheme</w:t>
      </w:r>
    </w:p>
    <w:p>
      <w:pPr>
        <w:pStyle w:val="Lista"/>
        <w:rPr>
          <w:lang w:eastAsia="en-US" w:bidi="ar-SA"/>
        </w:rPr>
      </w:pPr>
      <w:r>
        <w:rPr>
          <w:lang w:eastAsia="en-US" w:bidi="ar-SA"/>
        </w:rPr>
        <w:t>strategies for combining the available transliteration and encoding options are outlined in TG §5.1.3</w:t>
      </w:r>
    </w:p>
    <w:p>
      <w:pPr>
        <w:pStyle w:val="Lista"/>
        <w:rPr>
          <w:lang w:eastAsia="en-US" w:bidi="ar-SA"/>
        </w:rPr>
      </w:pPr>
      <w:r>
        <w:rPr>
          <w:lang w:eastAsia="en-US" w:bidi="ar-SA"/>
        </w:rPr>
        <w:t>in XML editions, arbitrary placeholders are most likely to be used for basic forms of punctuation marks, as follows</w:t>
      </w:r>
    </w:p>
    <w:p>
      <w:pPr>
        <w:pStyle w:val="Lista3"/>
        <w:rPr>
          <w:rFonts w:eastAsia="Arial"/>
        </w:rPr>
      </w:pPr>
      <w:r>
        <w:t xml:space="preserve">| </w:t>
      </w:r>
      <w:r>
        <w:rPr>
          <w:noProof/>
        </w:rPr>
        <w:t>(</w:t>
      </w:r>
      <w:r>
        <w:rPr>
          <w:rStyle w:val="Code"/>
        </w:rPr>
        <w:t>U+007C</w:t>
      </w:r>
      <w:r>
        <w:t xml:space="preserve"> Vertical Line) for signs comprised of a single plain vertical bar</w:t>
      </w:r>
    </w:p>
    <w:p>
      <w:pPr>
        <w:pStyle w:val="Lista3"/>
      </w:pPr>
      <w:r>
        <w:t xml:space="preserve">/ </w:t>
      </w:r>
      <w:r>
        <w:rPr>
          <w:noProof/>
        </w:rPr>
        <w:t>(</w:t>
      </w:r>
      <w:r>
        <w:t>slash) for signs comprised of a single vertical bar with a hook, crossbar or ornamental addition</w:t>
      </w:r>
    </w:p>
    <w:p>
      <w:pPr>
        <w:pStyle w:val="Lista3"/>
      </w:pPr>
      <w:r>
        <w:t xml:space="preserve">, </w:t>
      </w:r>
      <w:r>
        <w:rPr>
          <w:noProof/>
        </w:rPr>
        <w:t>(</w:t>
      </w:r>
      <w:r>
        <w:t>comma) for short, predominantly vertical and often curved strokes at any height</w:t>
      </w:r>
    </w:p>
    <w:p>
      <w:pPr>
        <w:pStyle w:val="Lista2"/>
        <w:rPr>
          <w:lang w:eastAsia="en-US" w:bidi="ar-SA"/>
        </w:rPr>
      </w:pPr>
      <w:r>
        <w:rPr>
          <w:lang w:eastAsia="en-US" w:bidi="ar-SA"/>
        </w:rPr>
        <w:t>additional recommendations for arbitrary placeholders are available in the TG sections (under §5) discussing the functional classes</w:t>
      </w:r>
    </w:p>
    <w:p>
      <w:pPr>
        <w:pStyle w:val="Cmsor3"/>
      </w:pPr>
      <w:bookmarkStart w:id="389" w:name="_Ref225955927"/>
      <w:bookmarkStart w:id="390" w:name="_Ref226016620"/>
      <w:bookmarkStart w:id="391" w:name="_Ref226028934"/>
      <w:bookmarkStart w:id="392" w:name="_Ref226032987"/>
      <w:bookmarkStart w:id="393" w:name="_Toc242976629"/>
      <w:r>
        <w:t>Glyph encoding for peripheral graphemes</w:t>
      </w:r>
      <w:bookmarkEnd w:id="389"/>
      <w:bookmarkEnd w:id="390"/>
      <w:bookmarkEnd w:id="391"/>
      <w:bookmarkEnd w:id="392"/>
      <w:bookmarkEnd w:id="393"/>
    </w:p>
    <w:p>
      <w:r>
        <w:t xml:space="preserve">We use the TEI element </w:t>
      </w:r>
      <w:r>
        <w:rPr>
          <w:rStyle w:val="Code"/>
        </w:rPr>
        <w:t>&lt;g&gt;</w:t>
      </w:r>
      <w:r>
        <w:t xml:space="preserve"> </w:t>
      </w:r>
      <w:r>
        <w:rPr>
          <w:noProof/>
        </w:rPr>
        <w:t>(</w:t>
      </w:r>
      <w:r>
        <w:t>for “glyph” or “gaiji”</w:t>
      </w:r>
      <w:r>
        <w:rPr>
          <w:rStyle w:val="Lbjegyzet-hivatkozs"/>
        </w:rPr>
        <w:footnoteReference w:id="22"/>
      </w:r>
      <w:r>
        <w:t>) in the encoding of all glyphs other than phonographic ones and decimal digits. The use of this element indicates that our set of target graphemes provides no direct equivalent to the original glyph, and that the contents of this element represent a single source grapheme.</w:t>
      </w:r>
    </w:p>
    <w:p>
      <w:pPr>
        <w:pStyle w:val="Lista"/>
      </w:pPr>
      <w:r>
        <w:lastRenderedPageBreak/>
        <w:t xml:space="preserve">the (default or arbitrary) placeholders that correspond in transliteration to a peripheral grapheme in the source may be wrapped in the element </w:t>
      </w:r>
      <w:r>
        <w:rPr>
          <w:rStyle w:val="Code"/>
        </w:rPr>
        <w:t>&lt;g&gt;</w:t>
      </w:r>
    </w:p>
    <w:p>
      <w:pPr>
        <w:pStyle w:val="Lista2"/>
      </w:pPr>
      <w:r>
        <w:t>this encoding is mandatory for arbitrary placeholders that consist of more than one character and optional but recommended for all other placeholders</w:t>
      </w:r>
    </w:p>
    <w:p>
      <w:pPr>
        <w:pStyle w:val="Lista2"/>
      </w:pPr>
      <w:r>
        <w:t xml:space="preserve">the </w:t>
      </w:r>
      <w:r>
        <w:rPr>
          <w:rStyle w:val="Code"/>
        </w:rPr>
        <w:t>&lt;g&gt;</w:t>
      </w:r>
      <w:r>
        <w:t xml:space="preserve"> element for peripheral graphemes can be supplemented with the following attributes</w:t>
      </w:r>
    </w:p>
    <w:p>
      <w:pPr>
        <w:pStyle w:val="Lista3"/>
      </w:pPr>
      <w:r>
        <w:t xml:space="preserve">optionally or as required, </w:t>
      </w:r>
      <w:r>
        <w:rPr>
          <w:rStyle w:val="Codeattribute"/>
        </w:rPr>
        <w:t>@type</w:t>
      </w:r>
      <w:r>
        <w:t xml:space="preserve"> to assign the grapheme to a functional class as per §</w:t>
      </w:r>
      <w:r>
        <w:fldChar w:fldCharType="begin"/>
      </w:r>
      <w:r>
        <w:instrText xml:space="preserve"> REF _Ref226017652 \r \h </w:instrText>
      </w:r>
      <w:r>
        <w:fldChar w:fldCharType="separate"/>
      </w:r>
      <w:r>
        <w:t>5.3.4.1</w:t>
      </w:r>
      <w:r>
        <w:fldChar w:fldCharType="end"/>
      </w:r>
    </w:p>
    <w:p>
      <w:pPr>
        <w:pStyle w:val="Lista3"/>
      </w:pPr>
      <w:r>
        <w:t xml:space="preserve">optionally, </w:t>
      </w:r>
      <w:r>
        <w:rPr>
          <w:rStyle w:val="Codeattribute"/>
        </w:rPr>
        <w:t>@ref</w:t>
      </w:r>
      <w:r>
        <w:t xml:space="preserve"> to associate the grapheme with an item in our authority file for symbols as per §</w:t>
      </w:r>
      <w:r>
        <w:fldChar w:fldCharType="begin"/>
      </w:r>
      <w:r>
        <w:instrText xml:space="preserve"> REF _Ref226036269 \r \h </w:instrText>
      </w:r>
      <w:r>
        <w:fldChar w:fldCharType="separate"/>
      </w:r>
      <w:r>
        <w:t>5.3.4.2</w:t>
      </w:r>
      <w:r>
        <w:fldChar w:fldCharType="end"/>
      </w:r>
      <w:r>
        <w:t xml:space="preserve"> </w:t>
      </w:r>
    </w:p>
    <w:p>
      <w:pPr>
        <w:pStyle w:val="Lista"/>
        <w:rPr>
          <w:lang w:eastAsia="en-US" w:bidi="ar-SA"/>
        </w:rPr>
      </w:pPr>
      <w:r>
        <w:t xml:space="preserve">in DHARMA practice, </w:t>
      </w:r>
      <w:r>
        <w:rPr>
          <w:rStyle w:val="Code"/>
        </w:rPr>
        <w:t>&lt;g&gt;</w:t>
      </w:r>
      <w:r>
        <w:t xml:space="preserve"> for symbol encoding shall always contain text (a transliteration placeholder) </w:t>
      </w:r>
    </w:p>
    <w:p>
      <w:pPr>
        <w:pStyle w:val="Lista2"/>
        <w:rPr>
          <w:lang w:eastAsia="en-US" w:bidi="ar-SA"/>
        </w:rPr>
      </w:pPr>
      <w:r>
        <w:rPr>
          <w:lang w:eastAsia="en-US" w:bidi="ar-SA"/>
        </w:rPr>
        <w:t xml:space="preserve">unlike the earlier versions of this Guide, which endorsed empty </w:t>
      </w:r>
      <w:r>
        <w:rPr>
          <w:rStyle w:val="Code"/>
        </w:rPr>
        <w:t>&lt;g/&gt;</w:t>
      </w:r>
      <w:r>
        <w:t xml:space="preserve"> elements for certain kinds of symbols</w:t>
      </w:r>
    </w:p>
    <w:p>
      <w:pPr>
        <w:pStyle w:val="Cmsor4"/>
      </w:pPr>
      <w:bookmarkStart w:id="394" w:name="_Ref226017652"/>
      <w:bookmarkStart w:id="395" w:name="_Ref226031926"/>
      <w:r>
        <w:t xml:space="preserve">Encoding symbol </w:t>
      </w:r>
      <w:bookmarkEnd w:id="394"/>
      <w:r>
        <w:t>function</w:t>
      </w:r>
      <w:bookmarkEnd w:id="395"/>
    </w:p>
    <w:p>
      <w:pPr>
        <w:rPr>
          <w:lang w:eastAsia="en-US" w:bidi="ar-SA"/>
        </w:rPr>
      </w:pPr>
      <w:r>
        <w:rPr>
          <w:lang w:eastAsia="en-US" w:bidi="ar-SA"/>
        </w:rPr>
        <w:t xml:space="preserve">The attribute </w:t>
      </w:r>
      <w:r>
        <w:rPr>
          <w:rStyle w:val="Codeattribute"/>
        </w:rPr>
        <w:t>@type</w:t>
      </w:r>
      <w:r>
        <w:t xml:space="preserve"> on the </w:t>
      </w:r>
      <w:r>
        <w:rPr>
          <w:rStyle w:val="Code"/>
        </w:rPr>
        <w:t>&lt;g&gt;</w:t>
      </w:r>
      <w:r>
        <w:t xml:space="preserve"> element for peripheral graphemes formally associates the glyph with one of the basic functional classes introduced in §</w:t>
      </w:r>
      <w:r>
        <w:fldChar w:fldCharType="begin"/>
      </w:r>
      <w:r>
        <w:instrText xml:space="preserve"> REF _Ref226023506 \r \h </w:instrText>
      </w:r>
      <w:r>
        <w:fldChar w:fldCharType="separate"/>
      </w:r>
      <w:r>
        <w:t>5.3.2</w:t>
      </w:r>
      <w:r>
        <w:fldChar w:fldCharType="end"/>
      </w:r>
      <w:r>
        <w:t xml:space="preserve">. </w:t>
      </w:r>
      <w:r>
        <w:rPr>
          <w:lang w:eastAsia="en-US" w:bidi="ar-SA"/>
        </w:rPr>
        <w:t>It thus redundantly represents the same information as the choice of default placeholder, but does so in a rigorous machine-readable manner.</w:t>
      </w:r>
    </w:p>
    <w:p>
      <w:pPr>
        <w:pStyle w:val="Lista"/>
        <w:rPr>
          <w:lang w:eastAsia="en-US" w:bidi="ar-SA"/>
        </w:rPr>
      </w:pPr>
      <w:r>
        <w:rPr>
          <w:lang w:eastAsia="en-US" w:bidi="ar-SA"/>
        </w:rPr>
        <w:t xml:space="preserve">the available values of </w:t>
      </w:r>
      <w:r>
        <w:rPr>
          <w:rStyle w:val="Codeattribute"/>
        </w:rPr>
        <w:t>@type</w:t>
      </w:r>
      <w:r>
        <w:t xml:space="preserve"> for symbol encoding are as follows</w:t>
      </w:r>
      <w:r>
        <w:rPr>
          <w:rStyle w:val="Lbjegyzet-hivatkozs"/>
        </w:rPr>
        <w:footnoteReference w:id="23"/>
      </w:r>
    </w:p>
    <w:p>
      <w:pPr>
        <w:pStyle w:val="Lista2"/>
        <w:rPr>
          <w:lang w:eastAsia="en-US" w:bidi="ar-SA"/>
        </w:rPr>
      </w:pPr>
      <w:r>
        <w:rPr>
          <w:rStyle w:val="Codevalue"/>
        </w:rPr>
        <w:t>"ideogram"</w:t>
      </w:r>
      <w:r>
        <w:t xml:space="preserve"> for ideograms (other than numerals)</w:t>
      </w:r>
    </w:p>
    <w:p>
      <w:pPr>
        <w:pStyle w:val="Lista2"/>
        <w:rPr>
          <w:lang w:eastAsia="en-US" w:bidi="ar-SA"/>
        </w:rPr>
      </w:pPr>
      <w:r>
        <w:rPr>
          <w:rStyle w:val="Codevalue"/>
        </w:rPr>
        <w:t>"punctuation"</w:t>
      </w:r>
      <w:r>
        <w:t xml:space="preserve"> for punctuation marks</w:t>
      </w:r>
    </w:p>
    <w:p>
      <w:pPr>
        <w:pStyle w:val="Lista2"/>
        <w:rPr>
          <w:lang w:eastAsia="en-US" w:bidi="ar-SA"/>
        </w:rPr>
      </w:pPr>
      <w:r>
        <w:rPr>
          <w:rStyle w:val="Codevalue"/>
        </w:rPr>
        <w:t>"connector"</w:t>
      </w:r>
      <w:r>
        <w:t xml:space="preserve"> for connectors</w:t>
      </w:r>
    </w:p>
    <w:p>
      <w:pPr>
        <w:pStyle w:val="Lista2"/>
        <w:rPr>
          <w:lang w:eastAsia="en-US" w:bidi="ar-SA"/>
        </w:rPr>
      </w:pPr>
      <w:r>
        <w:rPr>
          <w:rStyle w:val="Codevalue"/>
        </w:rPr>
        <w:t>"symbol"</w:t>
      </w:r>
      <w:r>
        <w:t xml:space="preserve"> for abstract symbols, i.e. anything not explicitly assigned to any of the above classes</w:t>
      </w:r>
    </w:p>
    <w:p>
      <w:pPr>
        <w:pStyle w:val="Lista3"/>
        <w:rPr>
          <w:lang w:eastAsia="en-US" w:bidi="ar-SA"/>
        </w:rPr>
      </w:pPr>
      <w:r>
        <w:rPr>
          <w:lang w:eastAsia="en-US" w:bidi="ar-SA"/>
        </w:rPr>
        <w:t xml:space="preserve">this is the default value of </w:t>
      </w:r>
      <w:r>
        <w:rPr>
          <w:rStyle w:val="Codeattribute"/>
        </w:rPr>
        <w:t>@type</w:t>
      </w:r>
      <w:r>
        <w:t xml:space="preserve">, meaning that if the attribute is not present in the code, the </w:t>
      </w:r>
      <w:r>
        <w:rPr>
          <w:rStyle w:val="Code"/>
        </w:rPr>
        <w:t>&lt;g&gt;</w:t>
      </w:r>
      <w:r>
        <w:t xml:space="preserve"> element will automatically be understood to have this type</w:t>
      </w:r>
    </w:p>
    <w:p>
      <w:pPr>
        <w:pStyle w:val="Lista3"/>
        <w:rPr>
          <w:lang w:eastAsia="en-US" w:bidi="ar-SA"/>
        </w:rPr>
      </w:pPr>
      <w:r>
        <w:t xml:space="preserve">for this reason, </w:t>
      </w:r>
      <w:r>
        <w:rPr>
          <w:rStyle w:val="Codeattribute"/>
        </w:rPr>
        <w:t>@type</w:t>
      </w:r>
      <w:r>
        <w:t xml:space="preserve"> should always be explicitly encoded in conjunction with default placeholders other than * (i.e. the default placeholders for any of the other three classes), because omitting </w:t>
      </w:r>
      <w:r>
        <w:rPr>
          <w:rStyle w:val="Codeattribute"/>
        </w:rPr>
        <w:t>@type</w:t>
      </w:r>
      <w:r>
        <w:t xml:space="preserve"> would then result in a contradictory classification</w:t>
      </w:r>
    </w:p>
    <w:p>
      <w:pPr>
        <w:pStyle w:val="Cmsor4"/>
      </w:pPr>
      <w:bookmarkStart w:id="396" w:name="_Ref226036269"/>
      <w:bookmarkStart w:id="397" w:name="_Ref228178759"/>
      <w:bookmarkStart w:id="398" w:name="_Ref43980440"/>
      <w:bookmarkStart w:id="399" w:name="_Ref44577917"/>
      <w:bookmarkStart w:id="400" w:name="_Ref44577928"/>
      <w:bookmarkStart w:id="401" w:name="_Ref44577934"/>
      <w:bookmarkStart w:id="402" w:name="_Ref44577939"/>
      <w:r>
        <w:t>Encoding symbol identification</w:t>
      </w:r>
      <w:bookmarkEnd w:id="396"/>
      <w:r>
        <w:t xml:space="preserve"> through the authority file</w:t>
      </w:r>
      <w:bookmarkEnd w:id="397"/>
    </w:p>
    <w:p>
      <w:r>
        <w:rPr>
          <w:lang w:eastAsia="en-US" w:bidi="ar-SA"/>
        </w:rPr>
        <w:t xml:space="preserve">The attribute </w:t>
      </w:r>
      <w:r>
        <w:rPr>
          <w:rStyle w:val="Codeattribute"/>
        </w:rPr>
        <w:t>@ref</w:t>
      </w:r>
      <w:r>
        <w:t xml:space="preserve"> on the </w:t>
      </w:r>
      <w:r>
        <w:rPr>
          <w:rStyle w:val="Code"/>
        </w:rPr>
        <w:t>&lt;g&gt;</w:t>
      </w:r>
      <w:r>
        <w:t xml:space="preserve"> element for peripheral graphemes formally associates the glyph with an entry in our authority file for Glyph Taxonomy.</w:t>
      </w:r>
      <w:r>
        <w:rPr>
          <w:rStyle w:val="Lbjegyzet-hivatkozs"/>
        </w:rPr>
        <w:footnoteReference w:id="24"/>
      </w:r>
      <w:r>
        <w:t xml:space="preserve"> The contents and use of the of the Taxonomy are explained in the authority file itself and are only briefly summarised here.</w:t>
      </w:r>
    </w:p>
    <w:p>
      <w:pPr>
        <w:pStyle w:val="Normlbehzs"/>
      </w:pPr>
      <w:r>
        <w:t xml:space="preserve">The authority file is a classified list of </w:t>
      </w:r>
      <w:r>
        <w:rPr>
          <w:b/>
          <w:bCs/>
        </w:rPr>
        <w:t>symbol tokens</w:t>
      </w:r>
      <w:r>
        <w:t>, which are short descriptive labels identifying various kinds of symbols. Within the authority file, tokens are divided at the top level into an etic and an emic class. The etic class consists of tokens that describe the graphic appearance of symbols in simple and objective terms. This class is structured hierarchically in the manner of a taxonomy, with a small number of “genus” tokens for basic classes such as vertical bars, horizontal dashes, bullets, etc., and a larger number of “species” and “subspecies” tokens for more or less specific varieties of these classes. The emic class includes tokens that identify a language and specify a source-language term for a particular symbol that has a name in a given writing tradition. The language tags in the emic tokens correspond to the genus names of the etic class, while the symbol terms correspond to species names.</w:t>
      </w:r>
    </w:p>
    <w:p>
      <w:pPr>
        <w:pStyle w:val="Normlbehzs"/>
      </w:pPr>
      <w:r>
        <w:t>For each token, the authority file includes a “name” and a “description.” Names are either very concise indications of the symbol’s appearance, or terms designating the symbol’s meaning. Descriptions contain more detailed, but still concise, information about the symbol. Entries also optionally include a “mapping,” which is a Unicode character that is in some way similar to and representative of the original symbol. These details are involved in the generation of display in a DHARMA environment (§</w:t>
      </w:r>
      <w:r>
        <w:fldChar w:fldCharType="begin"/>
      </w:r>
      <w:r>
        <w:instrText xml:space="preserve"> REF _Ref228179055 \r \h </w:instrText>
      </w:r>
      <w:r>
        <w:fldChar w:fldCharType="separate"/>
      </w:r>
      <w:r>
        <w:t>5.3.4.3</w:t>
      </w:r>
      <w:r>
        <w:fldChar w:fldCharType="end"/>
      </w:r>
      <w:r>
        <w:t>).</w:t>
      </w:r>
    </w:p>
    <w:p>
      <w:pPr>
        <w:pStyle w:val="Lista"/>
        <w:rPr>
          <w:lang w:eastAsia="en-US" w:bidi="ar-SA"/>
        </w:rPr>
      </w:pPr>
      <w:r>
        <w:rPr>
          <w:lang w:eastAsia="en-US" w:bidi="ar-SA"/>
        </w:rPr>
        <w:lastRenderedPageBreak/>
        <w:t xml:space="preserve">the value of </w:t>
      </w:r>
      <w:r>
        <w:rPr>
          <w:rStyle w:val="Codeattribute"/>
        </w:rPr>
        <w:t>@ref</w:t>
      </w:r>
      <w:r>
        <w:t xml:space="preserve"> on the </w:t>
      </w:r>
      <w:r>
        <w:rPr>
          <w:rStyle w:val="Code"/>
        </w:rPr>
        <w:t>&lt;g&gt;</w:t>
      </w:r>
      <w:r>
        <w:t xml:space="preserve"> element representing a symbol must begin with the abbreviation </w:t>
      </w:r>
      <w:r>
        <w:rPr>
          <w:rStyle w:val="Codevalue"/>
        </w:rPr>
        <w:t>"sym:"</w:t>
      </w:r>
      <w:r>
        <w:t>, indicating that it refers to our Glyph Taxonomy authority file, followed by a symbol token, e.g.</w:t>
      </w:r>
    </w:p>
    <w:p>
      <w:pPr>
        <w:pStyle w:val="Lista2"/>
        <w:rPr>
          <w:lang w:eastAsia="en-US" w:bidi="ar-SA"/>
        </w:rPr>
      </w:pPr>
      <w:r>
        <w:rPr>
          <w:lang w:eastAsia="en-US" w:bidi="ar-SA"/>
        </w:rPr>
        <w:t xml:space="preserve">with emic tokens, </w:t>
      </w:r>
      <w:r>
        <w:rPr>
          <w:rStyle w:val="Codevalue"/>
        </w:rPr>
        <w:t>"sym:tam-kalancu"</w:t>
      </w:r>
      <w:r>
        <w:t xml:space="preserve"> to refer to the sign called </w:t>
      </w:r>
      <w:r>
        <w:rPr>
          <w:rStyle w:val="Foreign"/>
        </w:rPr>
        <w:t>kaḻañcu</w:t>
      </w:r>
      <w:r>
        <w:t xml:space="preserve"> in the Tamil writing tradition</w:t>
      </w:r>
    </w:p>
    <w:p>
      <w:pPr>
        <w:pStyle w:val="Lista2"/>
        <w:rPr>
          <w:lang w:eastAsia="en-US" w:bidi="ar-SA"/>
        </w:rPr>
      </w:pPr>
      <w:r>
        <w:t xml:space="preserve">with etic tokens, </w:t>
      </w:r>
      <w:r>
        <w:rPr>
          <w:rStyle w:val="Codevalue"/>
        </w:rPr>
        <w:t>"sym:bullet-double"</w:t>
      </w:r>
      <w:r>
        <w:t xml:space="preserve"> to refer to a sign in the shape of a double bullet (an entity of the “bullet” genus and within that to the “double” species)</w:t>
      </w:r>
    </w:p>
    <w:p>
      <w:pPr>
        <w:pStyle w:val="Lista"/>
        <w:rPr>
          <w:lang w:eastAsia="en-US" w:bidi="ar-SA"/>
        </w:rPr>
      </w:pPr>
      <w:r>
        <w:rPr>
          <w:lang w:eastAsia="en-US" w:bidi="ar-SA"/>
        </w:rPr>
        <w:t xml:space="preserve">when </w:t>
      </w:r>
      <w:r>
        <w:rPr>
          <w:rStyle w:val="Codeattribute"/>
        </w:rPr>
        <w:t>@ref</w:t>
      </w:r>
      <w:r>
        <w:t xml:space="preserve"> is not present on a symbol encoded with </w:t>
      </w:r>
      <w:r>
        <w:rPr>
          <w:rStyle w:val="Code"/>
        </w:rPr>
        <w:t>&lt;g&gt;</w:t>
      </w:r>
      <w:r>
        <w:t>¸ the symbol will by default be understood to be unclassified, meaning that the encoder has chosen not to associate this peripheral grapheme with the Taxonomy, for example</w:t>
      </w:r>
    </w:p>
    <w:p>
      <w:pPr>
        <w:pStyle w:val="Lista2"/>
        <w:rPr>
          <w:lang w:eastAsia="en-US" w:bidi="ar-SA"/>
        </w:rPr>
      </w:pPr>
      <w:r>
        <w:rPr>
          <w:lang w:eastAsia="en-US" w:bidi="ar-SA"/>
        </w:rPr>
        <w:t>because the symbol is too unclear to assert any shape for it</w:t>
      </w:r>
    </w:p>
    <w:p>
      <w:pPr>
        <w:pStyle w:val="Lista2"/>
        <w:rPr>
          <w:lang w:eastAsia="en-US" w:bidi="ar-SA"/>
        </w:rPr>
      </w:pPr>
      <w:r>
        <w:rPr>
          <w:lang w:eastAsia="en-US" w:bidi="ar-SA"/>
        </w:rPr>
        <w:t>because no visual documentation is available and a previous editor did not describe the symbol</w:t>
      </w:r>
    </w:p>
    <w:p>
      <w:pPr>
        <w:pStyle w:val="Lista2"/>
        <w:rPr>
          <w:lang w:eastAsia="en-US" w:bidi="ar-SA"/>
        </w:rPr>
      </w:pPr>
      <w:r>
        <w:rPr>
          <w:lang w:eastAsia="en-US" w:bidi="ar-SA"/>
        </w:rPr>
        <w:t>because the shape of the symbol is not deemed relevant</w:t>
      </w:r>
    </w:p>
    <w:p>
      <w:pPr>
        <w:pStyle w:val="Cmsor4"/>
      </w:pPr>
      <w:bookmarkStart w:id="403" w:name="_Ref228179055"/>
      <w:r>
        <w:t>Rendering symbols for display</w:t>
      </w:r>
      <w:bookmarkEnd w:id="403"/>
    </w:p>
    <w:p>
      <w:pPr>
        <w:rPr>
          <w:lang w:eastAsia="en-US" w:bidi="ar-SA"/>
        </w:rPr>
      </w:pPr>
      <w:r>
        <w:rPr>
          <w:lang w:eastAsia="en-US" w:bidi="ar-SA"/>
        </w:rPr>
        <w:t xml:space="preserve">When rendered for display in the DHARMA ecosystem, encoded symbols will appear as described below. Arbitrary placeholders used without a </w:t>
      </w:r>
      <w:r>
        <w:rPr>
          <w:rStyle w:val="Code"/>
        </w:rPr>
        <w:t>&lt;g&gt;</w:t>
      </w:r>
      <w:r>
        <w:t xml:space="preserve"> wrapper will of course be shown as plain text. The examples in §</w:t>
      </w:r>
      <w:r>
        <w:fldChar w:fldCharType="begin"/>
      </w:r>
      <w:r>
        <w:instrText xml:space="preserve"> REF _Ref228180176 \r \h </w:instrText>
      </w:r>
      <w:r>
        <w:fldChar w:fldCharType="separate"/>
      </w:r>
      <w:r>
        <w:t>5.3.4.4</w:t>
      </w:r>
      <w:r>
        <w:fldChar w:fldCharType="end"/>
      </w:r>
      <w:r>
        <w:t xml:space="preserve"> also show the display rendition of encoded symbols.</w:t>
      </w:r>
    </w:p>
    <w:p>
      <w:pPr>
        <w:pStyle w:val="Lista"/>
        <w:rPr>
          <w:lang w:eastAsia="en-US" w:bidi="ar-SA"/>
        </w:rPr>
      </w:pPr>
      <w:r>
        <w:rPr>
          <w:lang w:eastAsia="en-US" w:bidi="ar-SA"/>
        </w:rPr>
        <w:t>the actual text representing the symbol will be as follows:</w:t>
      </w:r>
    </w:p>
    <w:p>
      <w:pPr>
        <w:pStyle w:val="Lista2"/>
        <w:rPr>
          <w:lang w:eastAsia="en-US" w:bidi="ar-SA"/>
        </w:rPr>
      </w:pPr>
      <w:r>
        <w:rPr>
          <w:lang w:eastAsia="en-US" w:bidi="ar-SA"/>
        </w:rPr>
        <w:t>by default, the mapping assigned to the token in the authority file (§</w:t>
      </w:r>
      <w:r>
        <w:rPr>
          <w:lang w:eastAsia="en-US" w:bidi="ar-SA"/>
        </w:rPr>
        <w:fldChar w:fldCharType="begin"/>
      </w:r>
      <w:r>
        <w:rPr>
          <w:lang w:eastAsia="en-US" w:bidi="ar-SA"/>
        </w:rPr>
        <w:instrText xml:space="preserve"> REF _Ref228178759 \r \h </w:instrText>
      </w:r>
      <w:r>
        <w:rPr>
          <w:lang w:eastAsia="en-US" w:bidi="ar-SA"/>
        </w:rPr>
      </w:r>
      <w:r>
        <w:rPr>
          <w:lang w:eastAsia="en-US" w:bidi="ar-SA"/>
        </w:rPr>
        <w:fldChar w:fldCharType="separate"/>
      </w:r>
      <w:r>
        <w:rPr>
          <w:lang w:eastAsia="en-US" w:bidi="ar-SA"/>
        </w:rPr>
        <w:t>5.3.4.2</w:t>
      </w:r>
      <w:r>
        <w:rPr>
          <w:lang w:eastAsia="en-US" w:bidi="ar-SA"/>
        </w:rPr>
        <w:fldChar w:fldCharType="end"/>
      </w:r>
      <w:r>
        <w:rPr>
          <w:lang w:eastAsia="en-US" w:bidi="ar-SA"/>
        </w:rPr>
        <w:t>) will be displayed</w:t>
      </w:r>
    </w:p>
    <w:p>
      <w:pPr>
        <w:pStyle w:val="Lista3"/>
        <w:rPr>
          <w:lang w:eastAsia="en-US" w:bidi="ar-SA"/>
        </w:rPr>
      </w:pPr>
      <w:r>
        <w:rPr>
          <w:lang w:eastAsia="en-US" w:bidi="ar-SA"/>
        </w:rPr>
        <w:t xml:space="preserve">this is possible whenever the symbol is encoded with a </w:t>
      </w:r>
      <w:r>
        <w:rPr>
          <w:rStyle w:val="Code"/>
        </w:rPr>
        <w:t>&lt;g&gt;</w:t>
      </w:r>
      <w:r>
        <w:t xml:space="preserve"> element, which has the attribute </w:t>
      </w:r>
      <w:r>
        <w:rPr>
          <w:rStyle w:val="Codeattribute"/>
        </w:rPr>
        <w:t>@ref</w:t>
      </w:r>
      <w:r>
        <w:t>, which points to a valid token in the authority file, which has a “mapping”</w:t>
      </w:r>
    </w:p>
    <w:p>
      <w:pPr>
        <w:pStyle w:val="Lista3"/>
        <w:rPr>
          <w:lang w:eastAsia="en-US" w:bidi="ar-SA"/>
        </w:rPr>
      </w:pPr>
      <w:r>
        <w:t>by design, mapping is included in the authority file only for a limited range of symbols that can be satisfactorily mapped to reasonably similar-looking digital characters with reasonably broad font support</w:t>
      </w:r>
    </w:p>
    <w:p>
      <w:pPr>
        <w:pStyle w:val="Lista2"/>
        <w:rPr>
          <w:lang w:eastAsia="en-US" w:bidi="ar-SA"/>
        </w:rPr>
      </w:pPr>
      <w:r>
        <w:rPr>
          <w:lang w:eastAsia="en-US" w:bidi="ar-SA"/>
        </w:rPr>
        <w:t>if no mapping is available for a symbol, then the name assigned to the token in the authority file (§</w:t>
      </w:r>
      <w:r>
        <w:rPr>
          <w:lang w:eastAsia="en-US" w:bidi="ar-SA"/>
        </w:rPr>
        <w:fldChar w:fldCharType="begin"/>
      </w:r>
      <w:r>
        <w:rPr>
          <w:lang w:eastAsia="en-US" w:bidi="ar-SA"/>
        </w:rPr>
        <w:instrText xml:space="preserve"> REF _Ref228178759 \r \h </w:instrText>
      </w:r>
      <w:r>
        <w:rPr>
          <w:lang w:eastAsia="en-US" w:bidi="ar-SA"/>
        </w:rPr>
      </w:r>
      <w:r>
        <w:rPr>
          <w:lang w:eastAsia="en-US" w:bidi="ar-SA"/>
        </w:rPr>
        <w:fldChar w:fldCharType="separate"/>
      </w:r>
      <w:r>
        <w:rPr>
          <w:lang w:eastAsia="en-US" w:bidi="ar-SA"/>
        </w:rPr>
        <w:t>5.3.4.2</w:t>
      </w:r>
      <w:r>
        <w:rPr>
          <w:lang w:eastAsia="en-US" w:bidi="ar-SA"/>
        </w:rPr>
        <w:fldChar w:fldCharType="end"/>
      </w:r>
      <w:r>
        <w:rPr>
          <w:lang w:eastAsia="en-US" w:bidi="ar-SA"/>
        </w:rPr>
        <w:t>) will be displayed</w:t>
      </w:r>
    </w:p>
    <w:p>
      <w:pPr>
        <w:pStyle w:val="Lista3"/>
        <w:rPr>
          <w:lang w:eastAsia="en-US" w:bidi="ar-SA"/>
        </w:rPr>
      </w:pPr>
      <w:r>
        <w:rPr>
          <w:lang w:eastAsia="en-US" w:bidi="ar-SA"/>
        </w:rPr>
        <w:t xml:space="preserve">this is possible whenever the symbol is encoded with a </w:t>
      </w:r>
      <w:r>
        <w:rPr>
          <w:rStyle w:val="Code"/>
        </w:rPr>
        <w:t>&lt;g&gt;</w:t>
      </w:r>
      <w:r>
        <w:t xml:space="preserve"> element, which has the attribute </w:t>
      </w:r>
      <w:r>
        <w:rPr>
          <w:rStyle w:val="Codeattribute"/>
        </w:rPr>
        <w:t>@ref</w:t>
      </w:r>
      <w:r>
        <w:t>, which points to a valid token in the authority file</w:t>
      </w:r>
    </w:p>
    <w:p>
      <w:pPr>
        <w:pStyle w:val="Lista3"/>
        <w:rPr>
          <w:lang w:eastAsia="en-US" w:bidi="ar-SA"/>
        </w:rPr>
      </w:pPr>
      <w:r>
        <w:t>all tokens in the authority file have a name</w:t>
      </w:r>
    </w:p>
    <w:p>
      <w:pPr>
        <w:pStyle w:val="Lista3"/>
        <w:rPr>
          <w:lang w:eastAsia="en-US" w:bidi="ar-SA"/>
        </w:rPr>
      </w:pPr>
      <w:r>
        <w:t>the objective of this display is to indicate the precise type of the symbol to the end user when no mapping has been assigned to a token</w:t>
      </w:r>
    </w:p>
    <w:p>
      <w:pPr>
        <w:pStyle w:val="Lista2"/>
        <w:rPr>
          <w:lang w:eastAsia="en-US" w:bidi="ar-SA"/>
        </w:rPr>
      </w:pPr>
      <w:r>
        <w:rPr>
          <w:lang w:eastAsia="en-US" w:bidi="ar-SA"/>
        </w:rPr>
        <w:t xml:space="preserve">if neither a mapping nor a name are available, then the content of the </w:t>
      </w:r>
      <w:r>
        <w:rPr>
          <w:rStyle w:val="Code"/>
        </w:rPr>
        <w:t>&lt;g&gt;</w:t>
      </w:r>
      <w:r>
        <w:t xml:space="preserve"> element will be displayed</w:t>
      </w:r>
    </w:p>
    <w:p>
      <w:pPr>
        <w:pStyle w:val="Lista3"/>
        <w:rPr>
          <w:lang w:eastAsia="en-US" w:bidi="ar-SA"/>
        </w:rPr>
      </w:pPr>
      <w:r>
        <w:rPr>
          <w:lang w:eastAsia="en-US" w:bidi="ar-SA"/>
        </w:rPr>
        <w:t xml:space="preserve">this is possible whenever the symbol is encoded with a </w:t>
      </w:r>
      <w:r>
        <w:rPr>
          <w:rStyle w:val="Code"/>
        </w:rPr>
        <w:t>&lt;g&gt;</w:t>
      </w:r>
      <w:r>
        <w:t xml:space="preserve"> element</w:t>
      </w:r>
    </w:p>
    <w:p>
      <w:pPr>
        <w:pStyle w:val="Lista3"/>
        <w:rPr>
          <w:lang w:eastAsia="en-US" w:bidi="ar-SA"/>
        </w:rPr>
      </w:pPr>
      <w:r>
        <w:t>the objective of this display is primarily to show an arbitrary placeholder (§</w:t>
      </w:r>
      <w:r>
        <w:fldChar w:fldCharType="begin"/>
      </w:r>
      <w:r>
        <w:instrText xml:space="preserve"> REF _Ref225955892 \r \h </w:instrText>
      </w:r>
      <w:r>
        <w:fldChar w:fldCharType="separate"/>
      </w:r>
      <w:r>
        <w:t>5.3.3.2</w:t>
      </w:r>
      <w:r>
        <w:fldChar w:fldCharType="end"/>
      </w:r>
      <w:r>
        <w:t>) used in transliteration, but it is also a fallback display option for default placeholders</w:t>
      </w:r>
      <w:r>
        <w:rPr>
          <w:lang w:eastAsia="en-US" w:bidi="ar-SA"/>
        </w:rPr>
        <w:t xml:space="preserve"> encoded with </w:t>
      </w:r>
      <w:r>
        <w:rPr>
          <w:rStyle w:val="Code"/>
        </w:rPr>
        <w:t>&lt;g&gt;</w:t>
      </w:r>
      <w:r>
        <w:t xml:space="preserve"> but not associated with a valid token (because </w:t>
      </w:r>
      <w:r>
        <w:rPr>
          <w:rStyle w:val="Codeattribute"/>
        </w:rPr>
        <w:t>@ref</w:t>
      </w:r>
      <w:r>
        <w:t xml:space="preserve"> was not added or its value is not a valid token)</w:t>
      </w:r>
    </w:p>
    <w:p>
      <w:pPr>
        <w:pStyle w:val="Lista"/>
        <w:rPr>
          <w:lang w:eastAsia="en-US" w:bidi="ar-SA"/>
        </w:rPr>
      </w:pPr>
      <w:r>
        <w:rPr>
          <w:lang w:eastAsia="en-US" w:bidi="ar-SA"/>
        </w:rPr>
        <w:t>the above text will be highlighted with a different font colour (purple)</w:t>
      </w:r>
    </w:p>
    <w:p>
      <w:pPr>
        <w:pStyle w:val="Lista2"/>
        <w:rPr>
          <w:lang w:eastAsia="en-US" w:bidi="ar-SA"/>
        </w:rPr>
      </w:pPr>
      <w:r>
        <w:rPr>
          <w:lang w:eastAsia="en-US" w:bidi="ar-SA"/>
        </w:rPr>
        <w:t>when the text displayed is the name assigned to a token, then this will also be surrounded with angle brackets and a cartouche, to disambiguate the name from text present in the source and to allow retaining this disambiguation when the rendered text is copied and pasted into another working environment</w:t>
      </w:r>
    </w:p>
    <w:p>
      <w:pPr>
        <w:pStyle w:val="Lista"/>
        <w:rPr>
          <w:lang w:eastAsia="en-US" w:bidi="ar-SA"/>
        </w:rPr>
      </w:pPr>
      <w:r>
        <w:rPr>
          <w:lang w:eastAsia="en-US" w:bidi="ar-SA"/>
        </w:rPr>
        <w:t>when the user moves their mouse over the display rendition of an encoded symbol, the following additional information will be shown</w:t>
      </w:r>
    </w:p>
    <w:p>
      <w:pPr>
        <w:pStyle w:val="Lista2"/>
        <w:rPr>
          <w:lang w:eastAsia="en-US" w:bidi="ar-SA"/>
        </w:rPr>
      </w:pPr>
      <w:r>
        <w:rPr>
          <w:lang w:eastAsia="en-US" w:bidi="ar-SA"/>
        </w:rPr>
        <w:t>the functional class of the symbol (§</w:t>
      </w:r>
      <w:r>
        <w:rPr>
          <w:lang w:eastAsia="en-US" w:bidi="ar-SA"/>
        </w:rPr>
        <w:fldChar w:fldCharType="begin"/>
      </w:r>
      <w:r>
        <w:rPr>
          <w:lang w:eastAsia="en-US" w:bidi="ar-SA"/>
        </w:rPr>
        <w:instrText xml:space="preserve"> REF _Ref226023506 \r \h </w:instrText>
      </w:r>
      <w:r>
        <w:rPr>
          <w:lang w:eastAsia="en-US" w:bidi="ar-SA"/>
        </w:rPr>
      </w:r>
      <w:r>
        <w:rPr>
          <w:lang w:eastAsia="en-US" w:bidi="ar-SA"/>
        </w:rPr>
        <w:fldChar w:fldCharType="separate"/>
      </w:r>
      <w:r>
        <w:rPr>
          <w:lang w:eastAsia="en-US" w:bidi="ar-SA"/>
        </w:rPr>
        <w:t>5.3.2</w:t>
      </w:r>
      <w:r>
        <w:rPr>
          <w:lang w:eastAsia="en-US" w:bidi="ar-SA"/>
        </w:rPr>
        <w:fldChar w:fldCharType="end"/>
      </w:r>
      <w:r>
        <w:rPr>
          <w:lang w:eastAsia="en-US" w:bidi="ar-SA"/>
        </w:rPr>
        <w:t xml:space="preserve">) if encoded with </w:t>
      </w:r>
      <w:r>
        <w:rPr>
          <w:rStyle w:val="Codeattribute"/>
        </w:rPr>
        <w:t>@type</w:t>
      </w:r>
    </w:p>
    <w:p>
      <w:pPr>
        <w:pStyle w:val="Lista2"/>
        <w:rPr>
          <w:lang w:eastAsia="en-US" w:bidi="ar-SA"/>
        </w:rPr>
      </w:pPr>
      <w:r>
        <w:t xml:space="preserve">the name of the symbol if a valid token is encoded with </w:t>
      </w:r>
      <w:r>
        <w:rPr>
          <w:rStyle w:val="Codeattribute"/>
        </w:rPr>
        <w:t>@ref</w:t>
      </w:r>
    </w:p>
    <w:p>
      <w:pPr>
        <w:pStyle w:val="Lista2"/>
        <w:rPr>
          <w:lang w:eastAsia="en-US" w:bidi="ar-SA"/>
        </w:rPr>
      </w:pPr>
      <w:r>
        <w:t xml:space="preserve">the description of the symbol if a valid token is encoded with </w:t>
      </w:r>
      <w:r>
        <w:rPr>
          <w:rStyle w:val="Codeattribute"/>
        </w:rPr>
        <w:t>@ref</w:t>
      </w:r>
    </w:p>
    <w:p>
      <w:pPr>
        <w:pStyle w:val="Cmsor4"/>
      </w:pPr>
      <w:bookmarkStart w:id="404" w:name="_Ref228180176"/>
      <w:r>
        <w:t>Examples of symbol encoding</w:t>
      </w:r>
      <w:bookmarkEnd w:id="404"/>
    </w:p>
    <w:p>
      <w:bookmarkStart w:id="405" w:name="_ocw59j4fd9ai" w:colFirst="0" w:colLast="0"/>
      <w:bookmarkStart w:id="406" w:name="_n0tb9t590fso" w:colFirst="0" w:colLast="0"/>
      <w:bookmarkEnd w:id="398"/>
      <w:bookmarkEnd w:id="399"/>
      <w:bookmarkEnd w:id="400"/>
      <w:bookmarkEnd w:id="401"/>
      <w:bookmarkEnd w:id="402"/>
      <w:bookmarkEnd w:id="405"/>
      <w:bookmarkEnd w:id="406"/>
      <w:r>
        <w:t>The Exhibits in this section provide examples of symbols transliterated with default placeholders and encoded for function and identification.</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r>
              <w:lastRenderedPageBreak/>
              <w:t xml:space="preserve">Exhibit </w:t>
            </w:r>
            <w:fldSimple w:instr=" STYLEREF 2 \s ">
              <w:r>
                <w:rPr>
                  <w:noProof/>
                </w:rPr>
                <w:t>5.3</w:t>
              </w:r>
            </w:fldSimple>
            <w:r>
              <w:t>.</w:t>
            </w:r>
            <w:fldSimple w:instr=" SEQ Exhibit \* ALPHABETIC \s 2 ">
              <w:r>
                <w:rPr>
                  <w:noProof/>
                </w:rPr>
                <w:t>B</w:t>
              </w:r>
            </w:fldSimple>
            <w:r>
              <w:t>: encoding ideograms</w:t>
            </w:r>
          </w:p>
        </w:tc>
      </w:tr>
      <w:tr>
        <w:tc>
          <w:tcPr>
            <w:tcW w:w="5000" w:type="pct"/>
            <w:vAlign w:val="center"/>
          </w:tcPr>
          <w:p>
            <w:pPr>
              <w:pStyle w:val="Image"/>
              <w:keepLines/>
              <w:rPr>
                <w:rStyle w:val="Code"/>
              </w:rPr>
            </w:pPr>
            <w:r>
              <w:drawing>
                <wp:inline distT="0" distB="0" distL="0" distR="0">
                  <wp:extent cx="968400" cy="720000"/>
                  <wp:effectExtent l="0" t="0" r="3175" b="4445"/>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68400" cy="720000"/>
                          </a:xfrm>
                          <a:prstGeom prst="rect">
                            <a:avLst/>
                          </a:prstGeom>
                          <a:noFill/>
                          <a:ln>
                            <a:noFill/>
                          </a:ln>
                        </pic:spPr>
                      </pic:pic>
                    </a:graphicData>
                  </a:graphic>
                </wp:inline>
              </w:drawing>
            </w:r>
          </w:p>
        </w:tc>
      </w:tr>
      <w:tr>
        <w:tc>
          <w:tcPr>
            <w:tcW w:w="5000" w:type="pct"/>
          </w:tcPr>
          <w:p>
            <w:pPr>
              <w:pStyle w:val="CodeParagraph"/>
              <w:keepNext/>
              <w:keepLines/>
            </w:pPr>
            <w:r>
              <w:rPr>
                <w:rStyle w:val="Code"/>
              </w:rPr>
              <w:t xml:space="preserve">&lt;g </w:t>
            </w:r>
            <w:r>
              <w:rPr>
                <w:rStyle w:val="Codeattribute"/>
              </w:rPr>
              <w:t>type=</w:t>
            </w:r>
            <w:r>
              <w:rPr>
                <w:rStyle w:val="Codevalue"/>
              </w:rPr>
              <w:t xml:space="preserve">"ideogram" </w:t>
            </w:r>
            <w:r>
              <w:rPr>
                <w:rStyle w:val="Codeattribute"/>
              </w:rPr>
              <w:t>ref=</w:t>
            </w:r>
            <w:r>
              <w:rPr>
                <w:rStyle w:val="Codevalue"/>
              </w:rPr>
              <w:t>"sym:tam-varusam"</w:t>
            </w:r>
            <w:r>
              <w:rPr>
                <w:rStyle w:val="Code"/>
              </w:rPr>
              <w:t>&gt;</w:t>
            </w:r>
            <w:r>
              <w:rPr>
                <w:rStyle w:val="Codetext"/>
              </w:rPr>
              <w:t>@</w:t>
            </w:r>
            <w:r>
              <w:rPr>
                <w:rStyle w:val="Code"/>
              </w:rPr>
              <w:t>&lt;/g&gt;</w:t>
            </w:r>
          </w:p>
        </w:tc>
      </w:tr>
      <w:tr>
        <w:tc>
          <w:tcPr>
            <w:tcW w:w="5000" w:type="pct"/>
          </w:tcPr>
          <w:p>
            <w:pPr>
              <w:pStyle w:val="TableNote"/>
            </w:pPr>
            <w:r>
              <w:t xml:space="preserve">this will appear in display as </w:t>
            </w:r>
            <w:r>
              <w:rPr>
                <w:rStyle w:val="ForeignTamilScript"/>
                <w:cs/>
                <w:lang w:bidi="ta-IN"/>
              </w:rPr>
              <w:t>௵</w:t>
            </w:r>
            <w:r>
              <w:t xml:space="preserve"> (based on the mapping in the authority file)</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407" w:name="_zhzv8lagn4n3" w:colFirst="0" w:colLast="0"/>
            <w:bookmarkStart w:id="408" w:name="_Ref182577267"/>
            <w:bookmarkStart w:id="409" w:name="_Ref43985052"/>
            <w:bookmarkEnd w:id="407"/>
            <w:r>
              <w:t xml:space="preserve">Exhibit </w:t>
            </w:r>
            <w:fldSimple w:instr=" STYLEREF 2 \s ">
              <w:r>
                <w:rPr>
                  <w:noProof/>
                </w:rPr>
                <w:t>5.3</w:t>
              </w:r>
            </w:fldSimple>
            <w:r>
              <w:t>.</w:t>
            </w:r>
            <w:fldSimple w:instr=" SEQ Exhibit \* ALPHABETIC \s 2 ">
              <w:r>
                <w:rPr>
                  <w:noProof/>
                </w:rPr>
                <w:t>C</w:t>
              </w:r>
            </w:fldSimple>
            <w:bookmarkEnd w:id="408"/>
            <w:r>
              <w:t>: encoding punctuation marks</w:t>
            </w:r>
          </w:p>
        </w:tc>
      </w:tr>
      <w:tr>
        <w:tc>
          <w:tcPr>
            <w:tcW w:w="5000" w:type="pct"/>
            <w:vAlign w:val="center"/>
          </w:tcPr>
          <w:p>
            <w:pPr>
              <w:pStyle w:val="Image"/>
              <w:keepLines/>
              <w:rPr>
                <w:rStyle w:val="Code"/>
              </w:rPr>
            </w:pPr>
            <w:r>
              <w:drawing>
                <wp:inline distT="0" distB="0" distL="0" distR="0">
                  <wp:extent cx="6114415" cy="621030"/>
                  <wp:effectExtent l="0" t="0" r="635" b="7620"/>
                  <wp:docPr id="42249825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6114415" cy="621030"/>
                          </a:xfrm>
                          <a:prstGeom prst="rect">
                            <a:avLst/>
                          </a:prstGeom>
                          <a:noFill/>
                          <a:ln>
                            <a:noFill/>
                          </a:ln>
                        </pic:spPr>
                      </pic:pic>
                    </a:graphicData>
                  </a:graphic>
                </wp:inline>
              </w:drawing>
            </w:r>
          </w:p>
        </w:tc>
      </w:tr>
      <w:tr>
        <w:tc>
          <w:tcPr>
            <w:tcW w:w="5000" w:type="pct"/>
          </w:tcPr>
          <w:p>
            <w:pPr>
              <w:pStyle w:val="CodeParagraph"/>
              <w:keepNext/>
              <w:keepLines/>
            </w:pPr>
            <w:r>
              <w:rPr>
                <w:rStyle w:val="Codetext"/>
              </w:rPr>
              <w:t>deśam apālayaT</w:t>
            </w:r>
            <w:r>
              <w:rPr>
                <w:rStyle w:val="Code"/>
              </w:rPr>
              <w:t xml:space="preserve">&lt;g </w:t>
            </w:r>
            <w:r>
              <w:rPr>
                <w:rStyle w:val="Codeattribute"/>
              </w:rPr>
              <w:t>type=</w:t>
            </w:r>
            <w:r>
              <w:rPr>
                <w:rStyle w:val="Codevalue"/>
              </w:rPr>
              <w:t xml:space="preserve">"punctuation" </w:t>
            </w:r>
            <w:r>
              <w:rPr>
                <w:rStyle w:val="Codeattribute"/>
              </w:rPr>
              <w:t>ref=</w:t>
            </w:r>
            <w:r>
              <w:rPr>
                <w:rStyle w:val="Codevalue"/>
              </w:rPr>
              <w:t>"sym:doubleBar-serifed"</w:t>
            </w:r>
            <w:r>
              <w:rPr>
                <w:rStyle w:val="Code"/>
              </w:rPr>
              <w:t>&gt;</w:t>
            </w:r>
            <w:r>
              <w:rPr>
                <w:rStyle w:val="Codetext"/>
              </w:rPr>
              <w:t>.</w:t>
            </w:r>
            <w:r>
              <w:rPr>
                <w:rStyle w:val="Code"/>
              </w:rPr>
              <w:t>&lt;/g&gt;</w:t>
            </w:r>
            <w:r>
              <w:rPr>
                <w:rStyle w:val="Codetext"/>
              </w:rPr>
              <w:t xml:space="preserve"> tat-putro jayasiṁhas trayastriṁśataṁ</w:t>
            </w:r>
            <w:r>
              <w:rPr>
                <w:rStyle w:val="Code"/>
              </w:rPr>
              <w:t xml:space="preserve">&lt;g </w:t>
            </w:r>
            <w:r>
              <w:rPr>
                <w:rStyle w:val="Codeattribute"/>
              </w:rPr>
              <w:t>type=</w:t>
            </w:r>
            <w:r>
              <w:rPr>
                <w:rStyle w:val="Codevalue"/>
              </w:rPr>
              <w:t xml:space="preserve">"punctuation" </w:t>
            </w:r>
            <w:r>
              <w:rPr>
                <w:rStyle w:val="Codeattribute"/>
              </w:rPr>
              <w:t>ref=</w:t>
            </w:r>
            <w:r>
              <w:rPr>
                <w:rStyle w:val="Codevalue"/>
              </w:rPr>
              <w:t>"sym:bar-serifed"</w:t>
            </w:r>
            <w:r>
              <w:rPr>
                <w:rStyle w:val="Code"/>
              </w:rPr>
              <w:t>&gt;</w:t>
            </w:r>
            <w:r>
              <w:rPr>
                <w:rStyle w:val="Codetext"/>
              </w:rPr>
              <w:t>.</w:t>
            </w:r>
            <w:r>
              <w:rPr>
                <w:rStyle w:val="Code"/>
              </w:rPr>
              <w:t>&lt;/g&gt;</w:t>
            </w:r>
          </w:p>
        </w:tc>
      </w:tr>
      <w:bookmarkEnd w:id="409"/>
      <w:tr>
        <w:tc>
          <w:tcPr>
            <w:tcW w:w="5000" w:type="pct"/>
          </w:tcPr>
          <w:p>
            <w:pPr>
              <w:pStyle w:val="TableNote"/>
            </w:pPr>
            <w:r>
              <w:t xml:space="preserve">these will appear in display as </w:t>
            </w:r>
            <w:r>
              <w:rPr>
                <w:rStyle w:val="Foreign"/>
              </w:rPr>
              <w:t>apālayaT</w:t>
            </w:r>
            <w:r>
              <w:rPr>
                <w:rStyle w:val="Foreign"/>
                <w:rFonts w:ascii="Cambria Math" w:hAnsi="Cambria Math" w:cs="Cambria Math"/>
              </w:rPr>
              <w:t>∥</w:t>
            </w:r>
            <w:r>
              <w:t xml:space="preserve"> and </w:t>
            </w:r>
            <w:r>
              <w:rPr>
                <w:rStyle w:val="Foreign"/>
              </w:rPr>
              <w:t>trayastriṁśataṁ|</w:t>
            </w:r>
            <w:r>
              <w:t xml:space="preserve"> (based on the mapping in the authority file)</w:t>
            </w:r>
          </w:p>
          <w:p>
            <w:pPr>
              <w:pStyle w:val="TableNote"/>
              <w:rPr>
                <w:rFonts w:ascii="Consolas" w:hAnsi="Consolas" w:cs="Consolas"/>
                <w:noProof/>
                <w:color w:val="002060"/>
                <w:shd w:val="clear" w:color="auto" w:fill="F2F2F2" w:themeFill="background1" w:themeFillShade="F2"/>
              </w:rPr>
            </w:pPr>
            <w:r>
              <w:t>if a rough representation of the shape is sufficient, the arbitrary placeholders || and | may be used</w:t>
            </w:r>
          </w:p>
          <w:p>
            <w:pPr>
              <w:pStyle w:val="TableNote"/>
              <w:rPr>
                <w:rFonts w:ascii="Consolas" w:hAnsi="Consolas" w:cs="Consolas"/>
                <w:noProof/>
                <w:color w:val="002060"/>
                <w:shd w:val="clear" w:color="auto" w:fill="F2F2F2" w:themeFill="background1" w:themeFillShade="F2"/>
              </w:rPr>
            </w:pPr>
            <w:r>
              <w:t>encoding is not required for |, but mandatory for ||, which consists of two characters</w:t>
            </w:r>
          </w:p>
          <w:p>
            <w:pPr>
              <w:pStyle w:val="TableNote"/>
              <w:ind w:left="709"/>
              <w:rPr>
                <w:rFonts w:ascii="Consolas" w:hAnsi="Consolas" w:cs="Consolas"/>
                <w:noProof/>
                <w:color w:val="002060"/>
                <w:shd w:val="clear" w:color="auto" w:fill="F2F2F2" w:themeFill="background1" w:themeFillShade="F2"/>
              </w:rPr>
            </w:pPr>
            <w:r>
              <w:rPr>
                <w:rStyle w:val="Code"/>
              </w:rPr>
              <w:t xml:space="preserve">&lt;g </w:t>
            </w:r>
            <w:r>
              <w:rPr>
                <w:rStyle w:val="Codeattribute"/>
              </w:rPr>
              <w:t>type=</w:t>
            </w:r>
            <w:r>
              <w:rPr>
                <w:rStyle w:val="Codevalue"/>
              </w:rPr>
              <w:t xml:space="preserve">"punctuation" </w:t>
            </w:r>
            <w:r>
              <w:rPr>
                <w:rStyle w:val="Codeattribute"/>
              </w:rPr>
              <w:t>ref=</w:t>
            </w:r>
            <w:r>
              <w:rPr>
                <w:rStyle w:val="Codevalue"/>
              </w:rPr>
              <w:t>"sym:doubleBar-serifed"</w:t>
            </w:r>
            <w:r>
              <w:rPr>
                <w:rStyle w:val="Code"/>
              </w:rPr>
              <w:t>&gt;</w:t>
            </w:r>
            <w:r>
              <w:rPr>
                <w:rStyle w:val="Codetext"/>
              </w:rPr>
              <w:t>||</w:t>
            </w:r>
            <w:r>
              <w:rPr>
                <w:rStyle w:val="Code"/>
              </w:rPr>
              <w:t>&lt;/g&gt;</w:t>
            </w:r>
            <w:r>
              <w:t xml:space="preserve"> for full identification (displayed as </w:t>
            </w:r>
            <w:r>
              <w:rPr>
                <w:rFonts w:ascii="Cambria Math" w:hAnsi="Cambria Math" w:cs="Cambria Math"/>
              </w:rPr>
              <w:t>∥</w:t>
            </w:r>
            <w:r>
              <w:t>, not as ||, as the mapping in the authority file overrides the content)</w:t>
            </w:r>
          </w:p>
          <w:p>
            <w:pPr>
              <w:pStyle w:val="TableNote"/>
              <w:ind w:left="709"/>
              <w:rPr>
                <w:rFonts w:ascii="Consolas" w:hAnsi="Consolas" w:cs="Consolas"/>
                <w:noProof/>
                <w:color w:val="002060"/>
                <w:shd w:val="clear" w:color="auto" w:fill="F2F2F2" w:themeFill="background1" w:themeFillShade="F2"/>
              </w:rPr>
            </w:pPr>
            <w:r>
              <w:rPr>
                <w:rStyle w:val="Code"/>
              </w:rPr>
              <w:t xml:space="preserve">&lt;g </w:t>
            </w:r>
            <w:r>
              <w:rPr>
                <w:rStyle w:val="Codeattribute"/>
              </w:rPr>
              <w:t>type=</w:t>
            </w:r>
            <w:r>
              <w:rPr>
                <w:rStyle w:val="Codevalue"/>
              </w:rPr>
              <w:t>"punctuation"</w:t>
            </w:r>
            <w:r>
              <w:rPr>
                <w:rStyle w:val="Code"/>
              </w:rPr>
              <w:t>&gt;</w:t>
            </w:r>
            <w:r>
              <w:rPr>
                <w:rStyle w:val="Codetext"/>
              </w:rPr>
              <w:t>||</w:t>
            </w:r>
            <w:r>
              <w:rPr>
                <w:rStyle w:val="Code"/>
              </w:rPr>
              <w:t>&lt;/g&gt;</w:t>
            </w:r>
            <w:r>
              <w:t xml:space="preserve"> to clarify only the function (displayed as ||, the content of the </w:t>
            </w:r>
            <w:r>
              <w:rPr>
                <w:rStyle w:val="Code"/>
              </w:rPr>
              <w:t>&lt;g&gt;</w:t>
            </w:r>
            <w:r>
              <w:t xml:space="preserve"> element, because there is no reference to the authority file)</w:t>
            </w:r>
          </w:p>
          <w:p>
            <w:pPr>
              <w:pStyle w:val="TableNote"/>
              <w:ind w:left="709"/>
              <w:rPr>
                <w:rFonts w:ascii="Consolas" w:hAnsi="Consolas" w:cs="Consolas"/>
                <w:noProof/>
                <w:color w:val="002060"/>
                <w:shd w:val="clear" w:color="auto" w:fill="F2F2F2" w:themeFill="background1" w:themeFillShade="F2"/>
              </w:rPr>
            </w:pPr>
            <w:r>
              <w:rPr>
                <w:rStyle w:val="Code"/>
              </w:rPr>
              <w:t>&lt;g&gt;</w:t>
            </w:r>
            <w:r>
              <w:rPr>
                <w:rStyle w:val="Codetext"/>
              </w:rPr>
              <w:t>||</w:t>
            </w:r>
            <w:r>
              <w:rPr>
                <w:rStyle w:val="Code"/>
              </w:rPr>
              <w:t>&lt;/g&gt;</w:t>
            </w:r>
            <w:r>
              <w:t xml:space="preserve"> as a minimal representation  (displayed as || because there is no reference to the authority file)</w:t>
            </w:r>
          </w:p>
          <w:p>
            <w:pPr>
              <w:pStyle w:val="TableNote"/>
              <w:ind w:left="709"/>
              <w:rPr>
                <w:rStyle w:val="Code"/>
              </w:rPr>
            </w:pPr>
            <w:r>
              <w:t xml:space="preserve">alternatively, </w:t>
            </w:r>
            <w:bookmarkStart w:id="410" w:name="_Hlk226031260"/>
            <w:r>
              <w:t>‖ (</w:t>
            </w:r>
            <w:r>
              <w:rPr>
                <w:rStyle w:val="Code"/>
              </w:rPr>
              <w:t>U+2016</w:t>
            </w:r>
            <w:r>
              <w:t xml:space="preserve"> Double Vertical Line)</w:t>
            </w:r>
            <w:bookmarkEnd w:id="410"/>
            <w:r>
              <w:t>, a single Unicode character, may be used without encoding</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411" w:name="_Ref182576762"/>
            <w:bookmarkStart w:id="412" w:name="_Ref182579118"/>
            <w:r>
              <w:t xml:space="preserve">Exhibit </w:t>
            </w:r>
            <w:fldSimple w:instr=" STYLEREF 2 \s ">
              <w:r>
                <w:rPr>
                  <w:noProof/>
                </w:rPr>
                <w:t>5.3</w:t>
              </w:r>
            </w:fldSimple>
            <w:r>
              <w:t>.</w:t>
            </w:r>
            <w:fldSimple w:instr=" SEQ Exhibit \* ALPHABETIC \s 2 ">
              <w:r>
                <w:rPr>
                  <w:noProof/>
                </w:rPr>
                <w:t>D</w:t>
              </w:r>
            </w:fldSimple>
            <w:bookmarkEnd w:id="411"/>
            <w:r>
              <w:t xml:space="preserve">: encoding </w:t>
            </w:r>
            <w:bookmarkEnd w:id="412"/>
            <w:r>
              <w:t>connectors</w:t>
            </w:r>
          </w:p>
        </w:tc>
      </w:tr>
      <w:tr>
        <w:tc>
          <w:tcPr>
            <w:tcW w:w="5000" w:type="pct"/>
            <w:vAlign w:val="center"/>
          </w:tcPr>
          <w:p>
            <w:pPr>
              <w:pStyle w:val="Image"/>
              <w:keepLines/>
              <w:rPr>
                <w:rStyle w:val="Code"/>
              </w:rPr>
            </w:pPr>
            <w:r>
              <w:drawing>
                <wp:inline distT="114300" distB="114300" distL="114300" distR="114300">
                  <wp:extent cx="2000567" cy="489935"/>
                  <wp:effectExtent l="0" t="0" r="0" b="0"/>
                  <wp:docPr id="2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4"/>
                          <a:srcRect/>
                          <a:stretch>
                            <a:fillRect/>
                          </a:stretch>
                        </pic:blipFill>
                        <pic:spPr>
                          <a:xfrm>
                            <a:off x="0" y="0"/>
                            <a:ext cx="2000567" cy="489935"/>
                          </a:xfrm>
                          <a:prstGeom prst="rect">
                            <a:avLst/>
                          </a:prstGeom>
                          <a:ln/>
                        </pic:spPr>
                      </pic:pic>
                    </a:graphicData>
                  </a:graphic>
                </wp:inline>
              </w:drawing>
            </w:r>
          </w:p>
        </w:tc>
      </w:tr>
      <w:tr>
        <w:tc>
          <w:tcPr>
            <w:tcW w:w="5000" w:type="pct"/>
          </w:tcPr>
          <w:p>
            <w:pPr>
              <w:pStyle w:val="CodeParagraph"/>
              <w:keepNext/>
              <w:keepLines/>
            </w:pPr>
            <w:r>
              <w:rPr>
                <w:rStyle w:val="Codetext"/>
              </w:rPr>
              <w:t>karuhun di:rghăyūrăro</w:t>
            </w:r>
            <w:r>
              <w:rPr>
                <w:rStyle w:val="Code"/>
              </w:rPr>
              <w:t xml:space="preserve">&lt;g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"sym:bar-curly"</w:t>
            </w:r>
            <w:r>
              <w:rPr>
                <w:rStyle w:val="Code"/>
              </w:rPr>
              <w:t>&gt;</w:t>
            </w:r>
            <w:r>
              <w:rPr>
                <w:rStyle w:val="Codetext"/>
              </w:rPr>
              <w:t>§</w:t>
            </w:r>
            <w:r>
              <w:rPr>
                <w:rStyle w:val="Code"/>
              </w:rPr>
              <w:t>&lt;/g&gt;</w:t>
            </w:r>
          </w:p>
        </w:tc>
      </w:tr>
      <w:tr>
        <w:tc>
          <w:tcPr>
            <w:tcW w:w="5000" w:type="pct"/>
          </w:tcPr>
          <w:p>
            <w:pPr>
              <w:pStyle w:val="TableNote"/>
              <w:numPr>
                <w:ilvl w:val="0"/>
                <w:numId w:val="0"/>
              </w:numPr>
              <w:ind w:left="360" w:hanging="360"/>
              <w:rPr>
                <w:rFonts w:ascii="Consolas" w:hAnsi="Consolas" w:cs="Consolas"/>
                <w:noProof/>
                <w:color w:val="002060"/>
                <w:shd w:val="clear" w:color="auto" w:fill="F2F2F2" w:themeFill="background1" w:themeFillShade="F2"/>
              </w:rPr>
            </w:pPr>
            <w:bookmarkStart w:id="413" w:name="_ds0gogy82fug" w:colFirst="0" w:colLast="0"/>
            <w:bookmarkEnd w:id="413"/>
            <w:r>
              <w:t>alternatives:</w:t>
            </w:r>
          </w:p>
          <w:p>
            <w:pPr>
              <w:pStyle w:val="TableNote"/>
            </w:pPr>
            <w:r>
              <w:t>§ as a minimal representation without encoding</w:t>
            </w:r>
          </w:p>
          <w:p>
            <w:pPr>
              <w:pStyle w:val="TableNote"/>
            </w:pPr>
            <w:r>
              <w:t>¦ (</w:t>
            </w:r>
            <w:r>
              <w:rPr>
                <w:rStyle w:val="Code"/>
              </w:rPr>
              <w:t>U+00A6</w:t>
            </w:r>
            <w:r>
              <w:t xml:space="preserve"> Broken Bar) as an arbitrary placeholder without encoding</w:t>
            </w:r>
          </w:p>
          <w:p>
            <w:pPr>
              <w:pStyle w:val="TableNote"/>
              <w:rPr>
                <w:rStyle w:val="Code"/>
              </w:rPr>
            </w:pPr>
            <w:r>
              <w:rPr>
                <w:rStyle w:val="Code"/>
              </w:rPr>
              <w:t xml:space="preserve">&lt;g </w:t>
            </w:r>
            <w:r>
              <w:rPr>
                <w:rStyle w:val="Codeattribute"/>
              </w:rPr>
              <w:t>type</w:t>
            </w:r>
            <w:r>
              <w:rPr>
                <w:rStyle w:val="Code"/>
              </w:rPr>
              <w:t>=</w:t>
            </w:r>
            <w:r>
              <w:rPr>
                <w:rStyle w:val="Codevalue"/>
              </w:rPr>
              <w:t>"connector"</w:t>
            </w:r>
            <w:r>
              <w:rPr>
                <w:rStyle w:val="Code"/>
              </w:rPr>
              <w:t>&gt;</w:t>
            </w:r>
            <w:r>
              <w:rPr>
                <w:rStyle w:val="Codetext"/>
              </w:rPr>
              <w:t>§</w:t>
            </w:r>
            <w:r>
              <w:rPr>
                <w:rStyle w:val="Code"/>
              </w:rPr>
              <w:t>&lt;/g&gt;</w:t>
            </w:r>
            <w:r>
              <w:t xml:space="preserve"> to make no assertion regarding shape (displayed as the content § because there is no </w:t>
            </w:r>
            <w:r>
              <w:rPr>
                <w:rStyle w:val="Codeattribute"/>
              </w:rPr>
              <w:t>@ref</w:t>
            </w:r>
            <w:r>
              <w:t>)</w:t>
            </w:r>
          </w:p>
          <w:p>
            <w:pPr>
              <w:pStyle w:val="TableNote"/>
              <w:rPr>
                <w:rFonts w:ascii="Consolas" w:hAnsi="Consolas" w:cs="Consolas"/>
                <w:noProof/>
                <w:color w:val="002060"/>
                <w:shd w:val="clear" w:color="auto" w:fill="F2F2F2" w:themeFill="background1" w:themeFillShade="F2"/>
              </w:rPr>
            </w:pPr>
            <w:r>
              <w:rPr>
                <w:rStyle w:val="Code"/>
              </w:rPr>
              <w:t xml:space="preserve">&lt;g </w:t>
            </w:r>
            <w:r>
              <w:rPr>
                <w:rStyle w:val="Codeattribute"/>
              </w:rPr>
              <w:t>ref</w:t>
            </w:r>
            <w:r>
              <w:rPr>
                <w:rStyle w:val="Code"/>
              </w:rPr>
              <w:t>=</w:t>
            </w:r>
            <w:r>
              <w:rPr>
                <w:rStyle w:val="Codevalue"/>
              </w:rPr>
              <w:t>"sym:bar-curly"</w:t>
            </w:r>
            <w:r>
              <w:rPr>
                <w:rStyle w:val="Code"/>
              </w:rPr>
              <w:t>&gt;</w:t>
            </w:r>
            <w:r>
              <w:rPr>
                <w:rStyle w:val="Codetext"/>
              </w:rPr>
              <w:t>¦</w:t>
            </w:r>
            <w:r>
              <w:rPr>
                <w:rStyle w:val="Code"/>
              </w:rPr>
              <w:t>&lt;/g&gt;</w:t>
            </w:r>
            <w:r>
              <w:t xml:space="preserve"> or </w:t>
            </w:r>
            <w:r>
              <w:rPr>
                <w:rStyle w:val="Code"/>
              </w:rPr>
              <w:t xml:space="preserve">&lt;g </w:t>
            </w:r>
            <w:r>
              <w:rPr>
                <w:rStyle w:val="Codeattribute"/>
              </w:rPr>
              <w:t>ref</w:t>
            </w:r>
            <w:r>
              <w:rPr>
                <w:rStyle w:val="Code"/>
              </w:rPr>
              <w:t>=</w:t>
            </w:r>
            <w:r>
              <w:rPr>
                <w:rStyle w:val="Codevalue"/>
              </w:rPr>
              <w:t>"sym:bar-curly"</w:t>
            </w:r>
            <w:r>
              <w:rPr>
                <w:rStyle w:val="Code"/>
              </w:rPr>
              <w:t>&gt;</w:t>
            </w:r>
            <w:r>
              <w:rPr>
                <w:rStyle w:val="Codetext"/>
              </w:rPr>
              <w:t>*</w:t>
            </w:r>
            <w:r>
              <w:rPr>
                <w:rStyle w:val="Code"/>
              </w:rPr>
              <w:t>&lt;/g&gt;</w:t>
            </w:r>
            <w:r>
              <w:t xml:space="preserve"> to make no assertion regarding function</w:t>
            </w:r>
          </w:p>
          <w:p>
            <w:pPr>
              <w:pStyle w:val="TableNote"/>
              <w:ind w:left="709"/>
            </w:pPr>
            <w:r>
              <w:t>both of these will be displayed as | (the mapping assigned to the token in the authority file overriding the content)</w:t>
            </w:r>
          </w:p>
          <w:p>
            <w:pPr>
              <w:pStyle w:val="TableNote"/>
              <w:ind w:left="709"/>
              <w:rPr>
                <w:rStyle w:val="Code"/>
              </w:rPr>
            </w:pPr>
            <w:r>
              <w:t xml:space="preserve">if the default placeholder § is wrapped in </w:t>
            </w:r>
            <w:r>
              <w:rPr>
                <w:rStyle w:val="Code"/>
              </w:rPr>
              <w:t>&lt;g&gt;</w:t>
            </w:r>
            <w:r>
              <w:t xml:space="preserve">, then </w:t>
            </w:r>
            <w:r>
              <w:rPr>
                <w:rStyle w:val="Codeattribute"/>
              </w:rPr>
              <w:t>@type</w:t>
            </w:r>
            <w:r>
              <w:t xml:space="preserve"> must also be present (§</w:t>
            </w:r>
            <w:r>
              <w:fldChar w:fldCharType="begin"/>
            </w:r>
            <w:r>
              <w:instrText xml:space="preserve"> REF _Ref226031926 \r \h </w:instrText>
            </w:r>
            <w:r>
              <w:fldChar w:fldCharType="separate"/>
            </w:r>
            <w:r>
              <w:t>5.3.4.1</w:t>
            </w:r>
            <w:r>
              <w:fldChar w:fldCharType="end"/>
            </w:r>
            <w:r>
              <w:t xml:space="preserve">), while arbitrary placeholders may be wrapped in </w:t>
            </w:r>
            <w:r>
              <w:rPr>
                <w:rStyle w:val="Code"/>
              </w:rPr>
              <w:t>&lt;g&gt;</w:t>
            </w:r>
            <w:r>
              <w:t xml:space="preserve"> without </w:t>
            </w:r>
            <w:r>
              <w:rPr>
                <w:rStyle w:val="Codeattribute"/>
              </w:rPr>
              <w:t>@type</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414" w:name="_szxkvje7z9d2" w:colFirst="0" w:colLast="0"/>
            <w:bookmarkStart w:id="415" w:name="_Ref182577960"/>
            <w:bookmarkStart w:id="416" w:name="_Ref44577965"/>
            <w:bookmarkEnd w:id="414"/>
            <w:r>
              <w:lastRenderedPageBreak/>
              <w:t xml:space="preserve">Exhibit </w:t>
            </w:r>
            <w:fldSimple w:instr=" STYLEREF 2 \s ">
              <w:r>
                <w:rPr>
                  <w:noProof/>
                </w:rPr>
                <w:t>5.3</w:t>
              </w:r>
            </w:fldSimple>
            <w:r>
              <w:t>.</w:t>
            </w:r>
            <w:fldSimple w:instr=" SEQ Exhibit \* ALPHABETIC \s 2 ">
              <w:r>
                <w:rPr>
                  <w:noProof/>
                </w:rPr>
                <w:t>E</w:t>
              </w:r>
            </w:fldSimple>
            <w:bookmarkEnd w:id="415"/>
            <w:r>
              <w:t>: encoding abstract symbols</w:t>
            </w:r>
          </w:p>
        </w:tc>
      </w:tr>
      <w:tr>
        <w:tc>
          <w:tcPr>
            <w:tcW w:w="5000" w:type="pct"/>
            <w:vAlign w:val="center"/>
          </w:tcPr>
          <w:p>
            <w:pPr>
              <w:pStyle w:val="Image"/>
              <w:keepLines/>
              <w:rPr>
                <w:rStyle w:val="Code"/>
              </w:rPr>
            </w:pPr>
            <w:r>
              <w:rPr>
                <w:rStyle w:val="Code"/>
              </w:rPr>
              <w:drawing>
                <wp:inline distT="0" distB="0" distL="0" distR="0">
                  <wp:extent cx="1018800" cy="579600"/>
                  <wp:effectExtent l="0" t="0" r="0" b="0"/>
                  <wp:docPr id="403080985"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018800" cy="579600"/>
                          </a:xfrm>
                          <a:prstGeom prst="rect">
                            <a:avLst/>
                          </a:prstGeom>
                          <a:noFill/>
                          <a:ln>
                            <a:noFill/>
                          </a:ln>
                        </pic:spPr>
                      </pic:pic>
                    </a:graphicData>
                  </a:graphic>
                </wp:inline>
              </w:drawing>
            </w:r>
          </w:p>
        </w:tc>
      </w:tr>
      <w:tr>
        <w:tc>
          <w:tcPr>
            <w:tcW w:w="5000" w:type="pct"/>
          </w:tcPr>
          <w:p>
            <w:pPr>
              <w:pStyle w:val="CodeParagraph"/>
              <w:keepNext/>
              <w:keepLines/>
              <w:rPr>
                <w:rStyle w:val="Codetext"/>
              </w:rPr>
            </w:pPr>
            <w:r>
              <w:rPr>
                <w:rStyle w:val="Code"/>
              </w:rPr>
              <w:t>&lt;g</w:t>
            </w:r>
            <w:r>
              <w:rPr>
                <w:rStyle w:val="Codeattribute"/>
              </w:rPr>
              <w:t xml:space="preserve"> ref</w:t>
            </w:r>
            <w:r>
              <w:rPr>
                <w:rStyle w:val="Code"/>
              </w:rPr>
              <w:t>=</w:t>
            </w:r>
            <w:r>
              <w:rPr>
                <w:rStyle w:val="Codevalue"/>
              </w:rPr>
              <w:t>"sym:floret-complex"</w:t>
            </w:r>
            <w:r>
              <w:rPr>
                <w:rStyle w:val="Code"/>
              </w:rPr>
              <w:t>&gt;</w:t>
            </w:r>
            <w:r>
              <w:rPr>
                <w:rStyle w:val="Codetext"/>
              </w:rPr>
              <w:t>*</w:t>
            </w:r>
            <w:r>
              <w:rPr>
                <w:rStyle w:val="Code"/>
              </w:rPr>
              <w:t xml:space="preserve">&lt;/g&gt; </w:t>
            </w:r>
            <w:r>
              <w:rPr>
                <w:rStyle w:val="Codetext"/>
              </w:rPr>
              <w:t>svasti</w:t>
            </w:r>
          </w:p>
        </w:tc>
      </w:tr>
      <w:tr>
        <w:tc>
          <w:tcPr>
            <w:tcW w:w="5000" w:type="pct"/>
          </w:tcPr>
          <w:p>
            <w:pPr>
              <w:pStyle w:val="TableNote"/>
              <w:rPr>
                <w:rFonts w:ascii="Consolas" w:hAnsi="Consolas" w:cs="Consolas"/>
                <w:noProof/>
                <w:color w:val="002060"/>
                <w:shd w:val="clear" w:color="auto" w:fill="F2F2F2" w:themeFill="background1" w:themeFillShade="F2"/>
              </w:rPr>
            </w:pPr>
            <w:r>
              <w:rPr>
                <w:rStyle w:val="Codeattribute"/>
              </w:rPr>
              <w:t>type</w:t>
            </w:r>
            <w:r>
              <w:rPr>
                <w:rStyle w:val="Code"/>
              </w:rPr>
              <w:t>=</w:t>
            </w:r>
            <w:r>
              <w:rPr>
                <w:rStyle w:val="Codevalue"/>
              </w:rPr>
              <w:t>"symbol"</w:t>
            </w:r>
            <w:r>
              <w:t xml:space="preserve"> could be added, but is not necessary because this is the default value</w:t>
            </w:r>
          </w:p>
          <w:p>
            <w:pPr>
              <w:pStyle w:val="TableNote"/>
            </w:pPr>
            <w:r>
              <w:t xml:space="preserve">the display will be </w:t>
            </w:r>
            <w:r>
              <w:rPr>
                <w:rFonts w:ascii="Segoe UI Symbol" w:hAnsi="Segoe UI Symbol" w:cs="Segoe UI Symbol"/>
              </w:rPr>
              <w:t>⁜</w:t>
            </w:r>
            <w:r>
              <w:t xml:space="preserve"> (the mapping assigned to the token in the authority file)</w:t>
            </w:r>
          </w:p>
          <w:p>
            <w:pPr>
              <w:pStyle w:val="TableNote"/>
              <w:rPr>
                <w:rFonts w:ascii="Consolas" w:hAnsi="Consolas" w:cs="Consolas"/>
                <w:noProof/>
                <w:color w:val="002060"/>
                <w:shd w:val="clear" w:color="auto" w:fill="F2F2F2" w:themeFill="background1" w:themeFillShade="F2"/>
              </w:rPr>
            </w:pPr>
            <w:r>
              <w:t xml:space="preserve">alternatively, an arbitrary placeholder such as </w:t>
            </w:r>
            <w:r>
              <w:rPr>
                <w:rStyle w:val="ForeignDingbat"/>
              </w:rPr>
              <w:t>✤</w:t>
            </w:r>
            <w:r>
              <w:rPr>
                <w:lang w:eastAsia="en-US" w:bidi="ar-SA"/>
              </w:rPr>
              <w:t xml:space="preserve"> </w:t>
            </w:r>
            <w:r>
              <w:t xml:space="preserve">might be used, with or without a </w:t>
            </w:r>
            <w:r>
              <w:rPr>
                <w:rStyle w:val="Code"/>
              </w:rPr>
              <w:t>&lt;g&gt;</w:t>
            </w:r>
            <w:r>
              <w:t xml:space="preserve"> wrapper and with or without </w:t>
            </w:r>
            <w:r>
              <w:rPr>
                <w:rStyle w:val="Codeattribute"/>
              </w:rPr>
              <w:t>@ref</w:t>
            </w:r>
          </w:p>
          <w:p>
            <w:pPr>
              <w:pStyle w:val="TableNote"/>
              <w:ind w:left="709"/>
            </w:pPr>
            <w:r>
              <w:t xml:space="preserve">if </w:t>
            </w:r>
            <w:r>
              <w:rPr>
                <w:rStyle w:val="Codeattribute"/>
              </w:rPr>
              <w:t>@ref</w:t>
            </w:r>
            <w:r>
              <w:t xml:space="preserve"> is not present, then the arbitrary placeholder will be displayed</w:t>
            </w:r>
          </w:p>
        </w:tc>
      </w:tr>
    </w:tbl>
    <w:p>
      <w:pPr>
        <w:pStyle w:val="Cmsor3"/>
      </w:pPr>
      <w:bookmarkStart w:id="417" w:name="_1jfnyljo6f10" w:colFirst="0" w:colLast="0"/>
      <w:bookmarkStart w:id="418" w:name="_Ref182551676"/>
      <w:bookmarkStart w:id="419" w:name="_Ref43989284"/>
      <w:bookmarkStart w:id="420" w:name="_Ref183075544"/>
      <w:bookmarkStart w:id="421" w:name="_Toc242976630"/>
      <w:bookmarkEnd w:id="416"/>
      <w:bookmarkEnd w:id="417"/>
      <w:r>
        <w:t>Multiple peripheral graphemes</w:t>
      </w:r>
      <w:bookmarkEnd w:id="421"/>
    </w:p>
    <w:p>
      <w:pPr>
        <w:pStyle w:val="Lista"/>
      </w:pPr>
      <w:r>
        <w:t xml:space="preserve">groups of peripheral graphemes appearing together, whether identical or different, shall normally be encoded with separate </w:t>
      </w:r>
      <w:r>
        <w:rPr>
          <w:rStyle w:val="Code"/>
        </w:rPr>
        <w:t>&lt;g&gt;</w:t>
      </w:r>
      <w:r>
        <w:t xml:space="preserve"> wrappers</w:t>
      </w:r>
    </w:p>
    <w:p>
      <w:pPr>
        <w:pStyle w:val="Lista2"/>
      </w:pPr>
      <w:r>
        <w:t xml:space="preserve">clusters of symbols that are frequently used together in a given writing tradition can, however, be treated as single glyphs and, accordingly, wrapped in just one </w:t>
      </w:r>
      <w:r>
        <w:rPr>
          <w:rStyle w:val="Code"/>
        </w:rPr>
        <w:t>&lt;g&gt;</w:t>
      </w:r>
      <w:r>
        <w:t xml:space="preserve"> element</w:t>
      </w:r>
    </w:p>
    <w:p>
      <w:pPr>
        <w:pStyle w:val="Lista3"/>
      </w:pPr>
      <w:r>
        <w:t>this applies in particular to the double vertical bars which are quite ubiquitous in the Indic writing system</w:t>
      </w:r>
    </w:p>
    <w:p>
      <w:pPr>
        <w:pStyle w:val="Lista3"/>
      </w:pPr>
      <w:r>
        <w:t>but can also apply to more elaborate combinations when these belong to an established convention, such as the Balinese punctuation marks in TG §5.3.1</w:t>
      </w:r>
    </w:p>
    <w:p>
      <w:pPr>
        <w:pStyle w:val="Lista"/>
      </w:pPr>
      <w:r>
        <w:t>series of more than two identical glyphs (e.g. three vertical bars) are best treated as combinations of singles, unless some of them are clearly doubles (as indicated by spacing or by additional strokes joining the pairs)</w:t>
      </w:r>
    </w:p>
    <w:p>
      <w:pPr>
        <w:pStyle w:val="Lista"/>
      </w:pPr>
      <w:r>
        <w:t xml:space="preserve">the requirement of individual wrapping applies likewise to connectors (for which earlier versions of this Guide prescribed a single wrapper) </w:t>
      </w:r>
    </w:p>
    <w:p>
      <w:pPr>
        <w:pStyle w:val="Lista2"/>
      </w:pPr>
      <w:r>
        <w:t xml:space="preserve">this increases code clutter for iterated connectors, as illustrated in </w:t>
      </w:r>
      <w:r>
        <w:fldChar w:fldCharType="begin"/>
      </w:r>
      <w:r>
        <w:instrText xml:space="preserve"> REF _Ref182576763 \h </w:instrText>
      </w:r>
      <w:r>
        <w:fldChar w:fldCharType="separate"/>
      </w:r>
      <w:r>
        <w:t xml:space="preserve">Exhibit </w:t>
      </w:r>
      <w:r>
        <w:rPr>
          <w:noProof/>
        </w:rPr>
        <w:t>5.3</w:t>
      </w:r>
      <w:r>
        <w:t>.</w:t>
      </w:r>
      <w:r>
        <w:rPr>
          <w:noProof/>
        </w:rPr>
        <w:t>F</w:t>
      </w:r>
      <w:r>
        <w:fldChar w:fldCharType="end"/>
      </w:r>
      <w:r>
        <w:t>, but is desirable in order to ensure consistency in the encoding</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422" w:name="_Ref182576763"/>
            <w:r>
              <w:t xml:space="preserve">Exhibit </w:t>
            </w:r>
            <w:fldSimple w:instr=" STYLEREF 2 \s ">
              <w:r>
                <w:rPr>
                  <w:noProof/>
                </w:rPr>
                <w:t>5.3</w:t>
              </w:r>
            </w:fldSimple>
            <w:r>
              <w:t>.</w:t>
            </w:r>
            <w:fldSimple w:instr=" SEQ Exhibit \* ALPHABETIC \s 2 ">
              <w:r>
                <w:rPr>
                  <w:noProof/>
                </w:rPr>
                <w:t>F</w:t>
              </w:r>
            </w:fldSimple>
            <w:bookmarkEnd w:id="422"/>
            <w:r>
              <w:t>: encoding multiple connectors</w:t>
            </w:r>
          </w:p>
        </w:tc>
      </w:tr>
      <w:tr>
        <w:tc>
          <w:tcPr>
            <w:tcW w:w="5000" w:type="pct"/>
            <w:vAlign w:val="center"/>
          </w:tcPr>
          <w:p>
            <w:pPr>
              <w:pStyle w:val="Image"/>
              <w:rPr>
                <w:rStyle w:val="Code"/>
              </w:rPr>
            </w:pPr>
            <w:r>
              <w:drawing>
                <wp:inline distT="114300" distB="114300" distL="114300" distR="114300">
                  <wp:extent cx="3810000" cy="523875"/>
                  <wp:effectExtent l="0" t="0" r="0" b="0"/>
                  <wp:docPr id="32"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56"/>
                          <a:srcRect/>
                          <a:stretch>
                            <a:fillRect/>
                          </a:stretch>
                        </pic:blipFill>
                        <pic:spPr>
                          <a:xfrm>
                            <a:off x="0" y="0"/>
                            <a:ext cx="3810000" cy="523875"/>
                          </a:xfrm>
                          <a:prstGeom prst="rect">
                            <a:avLst/>
                          </a:prstGeom>
                          <a:ln/>
                        </pic:spPr>
                      </pic:pic>
                    </a:graphicData>
                  </a:graphic>
                </wp:inline>
              </w:drawing>
            </w:r>
          </w:p>
        </w:tc>
      </w:tr>
      <w:tr>
        <w:tc>
          <w:tcPr>
            <w:tcW w:w="5000" w:type="pct"/>
          </w:tcPr>
          <w:p>
            <w:pPr>
              <w:pStyle w:val="CodeParagraph"/>
            </w:pPr>
            <w:r>
              <w:rPr>
                <w:rStyle w:val="Codetext"/>
              </w:rPr>
              <w:t>kr̥tavān imām·</w:t>
            </w:r>
            <w:r>
              <w:rPr>
                <w:rStyle w:val="Code"/>
              </w:rPr>
              <w:t xml:space="preserve"> &lt;g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 xml:space="preserve">&lt;/g&gt;&lt;g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 xml:space="preserve">&lt;/g&gt;&lt;g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 xml:space="preserve">&lt;/g&gt;&lt;g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 xml:space="preserve">&lt;/g&gt;&lt;g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 xml:space="preserve">&lt;/g&gt;&lt;g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&lt;/g&gt;</w:t>
            </w:r>
          </w:p>
        </w:tc>
      </w:tr>
    </w:tbl>
    <w:p/>
    <w:p>
      <w:pPr>
        <w:pStyle w:val="Cmsor3"/>
      </w:pPr>
      <w:bookmarkStart w:id="423" w:name="_Ref227836867"/>
      <w:bookmarkStart w:id="424" w:name="_Toc242976631"/>
      <w:r>
        <w:t>Peripheral graphemes and their context</w:t>
      </w:r>
      <w:bookmarkEnd w:id="423"/>
      <w:bookmarkEnd w:id="424"/>
    </w:p>
    <w:p>
      <w:pPr>
        <w:pStyle w:val="Lista"/>
      </w:pPr>
      <w:r>
        <w:t xml:space="preserve">use spaces around transliterated symbols as instructed in TG §7.3.4.4, i.e. essentially: </w:t>
      </w:r>
    </w:p>
    <w:p>
      <w:pPr>
        <w:pStyle w:val="Lista2"/>
      </w:pPr>
      <w:r>
        <w:t>add spaces to separate the transliterated (and, if applicable, encoded) representation of any and all peripheral graphemes from any and all adjacent graphemes, except:</w:t>
      </w:r>
    </w:p>
    <w:p>
      <w:pPr>
        <w:pStyle w:val="Lista3"/>
      </w:pPr>
      <w:r>
        <w:t>punctuation marks shall not be separated with a space from preceding text</w:t>
      </w:r>
    </w:p>
    <w:p>
      <w:pPr>
        <w:pStyle w:val="Lista3"/>
      </w:pPr>
      <w:r>
        <w:t>groups of symbols appearing together may be spaced or not, at your discretion</w:t>
      </w:r>
    </w:p>
    <w:p>
      <w:pPr>
        <w:pStyle w:val="Lista3"/>
      </w:pPr>
      <w:r>
        <w:t xml:space="preserve">use no spaces around a peripheral grapheme that interrupts a word, as in </w:t>
      </w:r>
      <w:r>
        <w:fldChar w:fldCharType="begin"/>
      </w:r>
      <w:r>
        <w:instrText xml:space="preserve"> REF _Ref182576762 \h </w:instrText>
      </w:r>
      <w:r>
        <w:fldChar w:fldCharType="separate"/>
      </w:r>
      <w:r>
        <w:t xml:space="preserve">Exhibit </w:t>
      </w:r>
      <w:r>
        <w:rPr>
          <w:noProof/>
        </w:rPr>
        <w:t>5.3</w:t>
      </w:r>
      <w:r>
        <w:t>.</w:t>
      </w:r>
      <w:r>
        <w:rPr>
          <w:noProof/>
        </w:rPr>
        <w:t>D</w:t>
      </w:r>
      <w:r>
        <w:fldChar w:fldCharType="end"/>
      </w:r>
    </w:p>
    <w:p>
      <w:pPr>
        <w:pStyle w:val="Lista"/>
      </w:pPr>
      <w:r>
        <w:t>if a peripheral grapheme appears at the boundary of two block-level containers for intrinsic structure (§</w:t>
      </w:r>
      <w:r>
        <w:fldChar w:fldCharType="begin"/>
      </w:r>
      <w:r>
        <w:instrText xml:space="preserve"> REF _Ref43978632 \r \h </w:instrText>
      </w:r>
      <w:r>
        <w:fldChar w:fldCharType="separate"/>
      </w:r>
      <w:r>
        <w:t>3</w:t>
      </w:r>
      <w:r>
        <w:fldChar w:fldCharType="end"/>
      </w:r>
      <w:r>
        <w:t>), allocate it to one of the containers depending on your judgement of its semantic function</w:t>
      </w:r>
    </w:p>
    <w:p>
      <w:pPr>
        <w:pStyle w:val="Lista2"/>
      </w:pPr>
      <w:r>
        <w:t>when in doubt, e.g. because a generic symbol marks the transition from one passage to another without being semantically associated with either, allocate it to the end of the earlier containing block</w:t>
      </w:r>
    </w:p>
    <w:p>
      <w:pPr>
        <w:pStyle w:val="Lista"/>
      </w:pPr>
      <w:r>
        <w:t xml:space="preserve">as a special case, peripheral graphemes, especially punctuation marks, may be written at an </w:t>
      </w:r>
      <w:r>
        <w:rPr>
          <w:rStyle w:val="Foreign"/>
        </w:rPr>
        <w:t>akṣara</w:t>
      </w:r>
      <w:r>
        <w:t xml:space="preserve"> boundary next to, but not coincident with, a word boundary (which would fall within the </w:t>
      </w:r>
      <w:r>
        <w:rPr>
          <w:rStyle w:val="Foreign"/>
        </w:rPr>
        <w:t>akṣara</w:t>
      </w:r>
      <w:r>
        <w:t>)</w:t>
      </w:r>
    </w:p>
    <w:p>
      <w:pPr>
        <w:pStyle w:val="Lista2"/>
      </w:pPr>
      <w:r>
        <w:lastRenderedPageBreak/>
        <w:t>such symbols must always be represented in the transliterated text at their actual location (and thus without editorial spacing)</w:t>
      </w:r>
    </w:p>
    <w:p>
      <w:pPr>
        <w:pStyle w:val="Lista2"/>
      </w:pPr>
      <w:r>
        <w:t>however, it is recommended that you flag this as non-standard usage and optionally also normalise the text (§</w:t>
      </w:r>
      <w:r>
        <w:fldChar w:fldCharType="begin"/>
      </w:r>
      <w:r>
        <w:instrText xml:space="preserve"> REF _Ref43978565 \r \h </w:instrText>
      </w:r>
      <w:r>
        <w:fldChar w:fldCharType="separate"/>
      </w:r>
      <w:r>
        <w:t>7</w:t>
      </w:r>
      <w:r>
        <w:fldChar w:fldCharType="end"/>
      </w:r>
      <w:r>
        <w:t xml:space="preserve">) by restoring the symbol at the word boundary and changing the sandhi and editorial spacing as applicable, as in </w:t>
      </w:r>
      <w:r>
        <w:fldChar w:fldCharType="begin"/>
      </w:r>
      <w:r>
        <w:instrText xml:space="preserve"> REF _Ref182562508 \h </w:instrText>
      </w:r>
      <w:r>
        <w:fldChar w:fldCharType="separate"/>
      </w:r>
      <w:r>
        <w:t xml:space="preserve">Exhibit </w:t>
      </w:r>
      <w:r>
        <w:rPr>
          <w:noProof/>
        </w:rPr>
        <w:t>5.3</w:t>
      </w:r>
      <w:r>
        <w:t>.</w:t>
      </w:r>
      <w:r>
        <w:rPr>
          <w:noProof/>
        </w:rPr>
        <w:t>G</w:t>
      </w:r>
      <w:r>
        <w:fldChar w:fldCharType="end"/>
      </w:r>
    </w:p>
    <w:p>
      <w:pPr>
        <w:pStyle w:val="Lista2"/>
      </w:pPr>
      <w:r>
        <w:t>when this happens at the end of a container element such as a verse line, encode the container boundary at its logical place (§</w:t>
      </w:r>
      <w:r>
        <w:fldChar w:fldCharType="begin"/>
      </w:r>
      <w:r>
        <w:instrText xml:space="preserve"> REF _Ref225328264 \r \h </w:instrText>
      </w:r>
      <w:r>
        <w:fldChar w:fldCharType="separate"/>
      </w:r>
      <w:r>
        <w:t>3.2.4.1</w:t>
      </w:r>
      <w:r>
        <w:fldChar w:fldCharType="end"/>
      </w:r>
      <w:r>
        <w:t xml:space="preserve">), disregarding the </w:t>
      </w:r>
      <w:r>
        <w:rPr>
          <w:rStyle w:val="Foreign"/>
        </w:rPr>
        <w:t>akṣara</w:t>
      </w:r>
      <w:r>
        <w:t xml:space="preserve"> boundary and the symbol</w:t>
      </w:r>
    </w:p>
    <w:p/>
    <w:tbl>
      <w:tblPr>
        <w:tblStyle w:val="Figur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425" w:name="_Ref182562508"/>
            <w:r>
              <w:t xml:space="preserve">Exhibit </w:t>
            </w:r>
            <w:fldSimple w:instr=" STYLEREF 2 \s ">
              <w:r>
                <w:rPr>
                  <w:noProof/>
                </w:rPr>
                <w:t>5.3</w:t>
              </w:r>
            </w:fldSimple>
            <w:r>
              <w:t>.</w:t>
            </w:r>
            <w:fldSimple w:instr=" SEQ Exhibit \* ALPHABETIC \s 2 ">
              <w:r>
                <w:rPr>
                  <w:noProof/>
                </w:rPr>
                <w:t>G</w:t>
              </w:r>
            </w:fldSimple>
            <w:bookmarkEnd w:id="425"/>
            <w:r>
              <w:t xml:space="preserve">: punctuation placed at </w:t>
            </w:r>
            <w:r>
              <w:rPr>
                <w:rStyle w:val="Foreign"/>
              </w:rPr>
              <w:t>akṣara</w:t>
            </w:r>
            <w:r>
              <w:t xml:space="preserve"> boundary rather than word boundary</w:t>
            </w:r>
          </w:p>
        </w:tc>
      </w:tr>
      <w:tr>
        <w:tc>
          <w:tcPr>
            <w:tcW w:w="5000" w:type="pct"/>
          </w:tcPr>
          <w:p>
            <w:pPr>
              <w:pStyle w:val="Image"/>
              <w:keepLines/>
              <w:widowControl/>
              <w:rPr>
                <w:rStyle w:val="Code"/>
              </w:rPr>
            </w:pPr>
            <w:r>
              <w:drawing>
                <wp:inline distT="0" distB="0" distL="0" distR="0">
                  <wp:extent cx="6120765" cy="1009650"/>
                  <wp:effectExtent l="0" t="0" r="0" b="0"/>
                  <wp:docPr id="586158288"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120765" cy="1009650"/>
                          </a:xfrm>
                          <a:prstGeom prst="rect">
                            <a:avLst/>
                          </a:prstGeom>
                          <a:noFill/>
                          <a:ln>
                            <a:noFill/>
                          </a:ln>
                        </pic:spPr>
                      </pic:pic>
                    </a:graphicData>
                  </a:graphic>
                </wp:inline>
              </w:drawing>
            </w:r>
          </w:p>
        </w:tc>
      </w:tr>
      <w:tr>
        <w:tc>
          <w:tcPr>
            <w:tcW w:w="5000" w:type="pct"/>
          </w:tcPr>
          <w:p>
            <w:pPr>
              <w:pStyle w:val="TableNote"/>
              <w:keepNext/>
              <w:keepLines/>
              <w:rPr>
                <w:rStyle w:val="Codetext"/>
              </w:rPr>
            </w:pPr>
            <w:r>
              <w:t xml:space="preserve">flagged: </w:t>
            </w:r>
            <w:r>
              <w:rPr>
                <w:rStyle w:val="Codetext"/>
              </w:rPr>
              <w:t xml:space="preserve">...yuvarājaḫ </w:t>
            </w:r>
            <w:bookmarkStart w:id="426" w:name="_Hlk227836756"/>
            <w:r>
              <w:rPr>
                <w:rStyle w:val="Codetext"/>
              </w:rPr>
              <w:t>paṁcaviṁśati</w:t>
            </w:r>
            <w:r>
              <w:rPr>
                <w:rStyle w:val="Code"/>
              </w:rPr>
              <w:t>&lt;orig&gt;</w:t>
            </w:r>
            <w:r>
              <w:rPr>
                <w:rStyle w:val="Codetext"/>
              </w:rPr>
              <w:t>|n</w:t>
            </w:r>
            <w:r>
              <w:rPr>
                <w:rStyle w:val="Code"/>
              </w:rPr>
              <w:t>&lt;/orig&gt;</w:t>
            </w:r>
            <w:r>
              <w:rPr>
                <w:rStyle w:val="Codetext"/>
              </w:rPr>
              <w:t>tat-putro</w:t>
            </w:r>
            <w:bookmarkEnd w:id="426"/>
            <w:r>
              <w:rPr>
                <w:rStyle w:val="Codetext"/>
              </w:rPr>
              <w:t>...</w:t>
            </w:r>
          </w:p>
          <w:p>
            <w:pPr>
              <w:pStyle w:val="TableNote"/>
              <w:keepNext/>
              <w:keepLines/>
              <w:rPr>
                <w:rStyle w:val="Code"/>
              </w:rPr>
            </w:pPr>
            <w:r>
              <w:t xml:space="preserve">normalised: </w:t>
            </w:r>
            <w:r>
              <w:rPr>
                <w:rStyle w:val="Codetext"/>
              </w:rPr>
              <w:t>...yuvarājaḫ paṁcaviṁśati</w:t>
            </w:r>
            <w:r>
              <w:rPr>
                <w:rStyle w:val="Code"/>
              </w:rPr>
              <w:t>&lt;choice&gt;&lt;orig&gt;</w:t>
            </w:r>
            <w:r>
              <w:rPr>
                <w:rStyle w:val="Codetext"/>
              </w:rPr>
              <w:t>|n</w:t>
            </w:r>
            <w:r>
              <w:rPr>
                <w:rStyle w:val="Code"/>
              </w:rPr>
              <w:t>&lt;/orig&gt;&lt;reg&gt;</w:t>
            </w:r>
            <w:r>
              <w:rPr>
                <w:rStyle w:val="Codetext"/>
              </w:rPr>
              <w:t xml:space="preserve">M| </w:t>
            </w:r>
            <w:r>
              <w:rPr>
                <w:rStyle w:val="Code"/>
              </w:rPr>
              <w:t>&lt;/reg&gt;&lt;/choice&gt;</w:t>
            </w:r>
            <w:r>
              <w:rPr>
                <w:rStyle w:val="Codetext"/>
              </w:rPr>
              <w:t>tat-putro...</w:t>
            </w:r>
          </w:p>
        </w:tc>
      </w:tr>
      <w:tr>
        <w:tc>
          <w:tcPr>
            <w:tcW w:w="5000" w:type="pct"/>
          </w:tcPr>
          <w:p>
            <w:pPr>
              <w:pStyle w:val="TableNote"/>
            </w:pPr>
            <w:r>
              <w:t xml:space="preserve">the punctuation mark belonging at the end of the word </w:t>
            </w:r>
            <w:r>
              <w:rPr>
                <w:rStyle w:val="Foreign"/>
              </w:rPr>
              <w:t>paṁcaviṁśatim</w:t>
            </w:r>
            <w:r>
              <w:t xml:space="preserve"> is written after </w:t>
            </w:r>
            <w:r>
              <w:rPr>
                <w:rStyle w:val="Foreign"/>
              </w:rPr>
              <w:t>ti</w:t>
            </w:r>
            <w:r>
              <w:t>, because the end of this word has been inscribed as a homorganic nasal forming a conjunct with the beginning of the next word</w:t>
            </w:r>
          </w:p>
          <w:p>
            <w:pPr>
              <w:pStyle w:val="TableNote"/>
            </w:pPr>
            <w:r>
              <w:t>the arbitrary placeholder | used in the illustration could of course be supplemented with encoding or replaced with a default placeholder plus encoding</w:t>
            </w:r>
          </w:p>
        </w:tc>
      </w:tr>
    </w:tbl>
    <w:bookmarkEnd w:id="418"/>
    <w:p>
      <w:pPr>
        <w:pStyle w:val="Cmsor2"/>
      </w:pPr>
      <w:r>
        <w:t>Space</w:t>
      </w:r>
      <w:bookmarkEnd w:id="419"/>
      <w:r>
        <w:t xml:space="preserve"> left blank in the original</w:t>
      </w:r>
      <w:bookmarkEnd w:id="420"/>
    </w:p>
    <w:p>
      <w:r>
        <w:t xml:space="preserve">As discussed in TG §5.6, all spaces in our transliterated texts will be considered editorial. Consequently, </w:t>
      </w:r>
      <w:r>
        <w:rPr>
          <w:lang w:eastAsia="en-US" w:bidi="ar-SA"/>
        </w:rPr>
        <w:t>s</w:t>
      </w:r>
      <w:r>
        <w:t xml:space="preserve">paces present in the source and deemed significant must always be represented in transliterated texts. The _ (underscore) character is a dedicated placeholder for significant space in DHARMA transliteration. In XML editions, this must normally be replaced by (not wrapped in) the empty element </w:t>
      </w:r>
      <w:r>
        <w:rPr>
          <w:rStyle w:val="Code"/>
        </w:rPr>
        <w:t>&lt;space/&gt;</w:t>
      </w:r>
      <w:r>
        <w:t>. This encoding, unlike the transliteration placeholder, allows us to record the nature (§</w:t>
      </w:r>
      <w:r>
        <w:fldChar w:fldCharType="begin"/>
      </w:r>
      <w:r>
        <w:instrText xml:space="preserve"> REF _Ref227833893 \r \h </w:instrText>
      </w:r>
      <w:r>
        <w:fldChar w:fldCharType="separate"/>
      </w:r>
      <w:r>
        <w:t>5.4.2</w:t>
      </w:r>
      <w:r>
        <w:fldChar w:fldCharType="end"/>
      </w:r>
      <w:r>
        <w:t>) and size (§</w:t>
      </w:r>
      <w:r>
        <w:fldChar w:fldCharType="begin"/>
      </w:r>
      <w:r>
        <w:instrText xml:space="preserve"> REF _Ref183008428 \r \h </w:instrText>
      </w:r>
      <w:r>
        <w:fldChar w:fldCharType="separate"/>
      </w:r>
      <w:r>
        <w:t>5.4.2.4</w:t>
      </w:r>
      <w:r>
        <w:fldChar w:fldCharType="end"/>
      </w:r>
      <w:r>
        <w:t>) of each space in attributes of that element. Small spaces used for semantic segmentation (§</w:t>
      </w:r>
      <w:r>
        <w:fldChar w:fldCharType="begin"/>
      </w:r>
      <w:r>
        <w:instrText xml:space="preserve"> REF _Ref183011891 \r \h </w:instrText>
      </w:r>
      <w:r>
        <w:fldChar w:fldCharType="separate"/>
      </w:r>
      <w:r>
        <w:t>5.4.1</w:t>
      </w:r>
      <w:r>
        <w:fldChar w:fldCharType="end"/>
      </w:r>
      <w:r>
        <w:t xml:space="preserve">) do not require these details and may be represented either by means of </w:t>
      </w:r>
      <w:r>
        <w:rPr>
          <w:rStyle w:val="Code"/>
        </w:rPr>
        <w:t>&lt;space/&gt;</w:t>
      </w:r>
      <w:r>
        <w:t xml:space="preserve"> without attributes or by means of the underscore, but the former is preferable in an XML context.</w:t>
      </w:r>
    </w:p>
    <w:p>
      <w:pPr>
        <w:pStyle w:val="Cmsor3"/>
      </w:pPr>
      <w:bookmarkStart w:id="427" w:name="_g16v5ug6dm4p" w:colFirst="0" w:colLast="0"/>
      <w:bookmarkStart w:id="428" w:name="_Ref183011891"/>
      <w:bookmarkStart w:id="429" w:name="_Ref43987645"/>
      <w:bookmarkStart w:id="430" w:name="_Ref134026679"/>
      <w:bookmarkStart w:id="431" w:name="_Toc242976632"/>
      <w:bookmarkEnd w:id="427"/>
      <w:r>
        <w:t>Space for semantic segmentation</w:t>
      </w:r>
      <w:bookmarkEnd w:id="428"/>
      <w:bookmarkEnd w:id="431"/>
    </w:p>
    <w:p>
      <w:r>
        <w:t>This subsection is about spaces employed within lines with the presumed purpose of separating semantic units. Regular TEI practice</w:t>
      </w:r>
      <w:r>
        <w:rPr>
          <w:rStyle w:val="Lbjegyzet-hivatkozs"/>
        </w:rPr>
        <w:footnoteReference w:id="25"/>
      </w:r>
      <w:r>
        <w:t xml:space="preserve"> is not to use </w:t>
      </w:r>
      <w:r>
        <w:rPr>
          <w:rStyle w:val="Code"/>
        </w:rPr>
        <w:t>&lt;space/&gt;</w:t>
      </w:r>
      <w:r>
        <w:t xml:space="preserve"> for interword spaces, but since our texts normally use </w:t>
      </w:r>
      <w:r>
        <w:rPr>
          <w:rStyle w:val="Foreign"/>
        </w:rPr>
        <w:t>scriptio continua</w:t>
      </w:r>
      <w:r>
        <w:t xml:space="preserve"> (i.e. they do not space words), we generally consider them to be significant spaces when they do occur and encode them accordingly. Guidelines for when interword spaces are, or are not, to be recognised as significant are given in §</w:t>
      </w:r>
      <w:r>
        <w:fldChar w:fldCharType="begin"/>
      </w:r>
      <w:r>
        <w:instrText xml:space="preserve"> REF _Ref227833891 \r \h </w:instrText>
      </w:r>
      <w:r>
        <w:fldChar w:fldCharType="separate"/>
      </w:r>
      <w:r>
        <w:t>5.4.1.1</w:t>
      </w:r>
      <w:r>
        <w:fldChar w:fldCharType="end"/>
      </w:r>
      <w:r>
        <w:t xml:space="preserve"> below, while the special case of spacing metrical units is discussed in §</w:t>
      </w:r>
      <w:r>
        <w:fldChar w:fldCharType="begin"/>
      </w:r>
      <w:r>
        <w:instrText xml:space="preserve"> REF _Ref227833892 \r \h </w:instrText>
      </w:r>
      <w:r>
        <w:fldChar w:fldCharType="separate"/>
      </w:r>
      <w:r>
        <w:t>5.4.1.2</w:t>
      </w:r>
      <w:r>
        <w:fldChar w:fldCharType="end"/>
      </w:r>
      <w:r>
        <w:t>.</w:t>
      </w:r>
    </w:p>
    <w:p>
      <w:pPr>
        <w:pStyle w:val="Lista"/>
      </w:pPr>
      <w:r>
        <w:t>for our purposes, spaces are deemed to serve semantic segmentation when they appear</w:t>
      </w:r>
    </w:p>
    <w:p>
      <w:pPr>
        <w:pStyle w:val="Lista2"/>
      </w:pPr>
      <w:r>
        <w:t>between words</w:t>
      </w:r>
    </w:p>
    <w:p>
      <w:pPr>
        <w:pStyle w:val="Lista2"/>
      </w:pPr>
      <w:r>
        <w:t>after stanzas or verse lines</w:t>
      </w:r>
    </w:p>
    <w:p>
      <w:pPr>
        <w:pStyle w:val="Lista3"/>
      </w:pPr>
      <w:r>
        <w:t>spaces at the same horizontal position in multiple lines, dividing the text into visually separate columns, may instead be encoded as gridlike partitions as per §</w:t>
      </w:r>
      <w:r>
        <w:fldChar w:fldCharType="begin"/>
      </w:r>
      <w:r>
        <w:instrText xml:space="preserve"> REF _Ref43984651 \r \h </w:instrText>
      </w:r>
      <w:r>
        <w:fldChar w:fldCharType="separate"/>
      </w:r>
      <w:r>
        <w:t>4.6</w:t>
      </w:r>
      <w:r>
        <w:fldChar w:fldCharType="end"/>
      </w:r>
    </w:p>
    <w:p>
      <w:pPr>
        <w:pStyle w:val="Lista2"/>
      </w:pPr>
      <w:r>
        <w:t>at a transition from verse to prose or vice versa</w:t>
      </w:r>
    </w:p>
    <w:p>
      <w:pPr>
        <w:pStyle w:val="Lista2"/>
      </w:pPr>
      <w:r>
        <w:lastRenderedPageBreak/>
        <w:t>at points where the topic changes markedly, for instance</w:t>
      </w:r>
    </w:p>
    <w:p>
      <w:pPr>
        <w:pStyle w:val="Lista3"/>
      </w:pPr>
      <w:r>
        <w:t>after an initial salutation or auspicious phrase</w:t>
      </w:r>
    </w:p>
    <w:p>
      <w:pPr>
        <w:pStyle w:val="Lista3"/>
      </w:pPr>
      <w:r>
        <w:t>before a colophon</w:t>
      </w:r>
    </w:p>
    <w:p>
      <w:pPr>
        <w:pStyle w:val="Lista"/>
      </w:pPr>
      <w:r>
        <w:t xml:space="preserve">space employed for semantic segmentation shall normally be encoded using the </w:t>
      </w:r>
      <w:r>
        <w:rPr>
          <w:rStyle w:val="Code"/>
        </w:rPr>
        <w:t>&lt;space/&gt;</w:t>
      </w:r>
      <w:r>
        <w:t xml:space="preserve"> element</w:t>
      </w:r>
    </w:p>
    <w:p>
      <w:pPr>
        <w:pStyle w:val="Lista2"/>
      </w:pPr>
      <w:r>
        <w:t xml:space="preserve">without </w:t>
      </w:r>
      <w:r>
        <w:rPr>
          <w:rStyle w:val="Codeattribute"/>
        </w:rPr>
        <w:t>@type</w:t>
      </w:r>
      <w:r>
        <w:t>, i.e. semantic spacing is understood in our convention to be the default type of space</w:t>
      </w:r>
    </w:p>
    <w:p>
      <w:pPr>
        <w:pStyle w:val="Lista2"/>
      </w:pPr>
      <w:r>
        <w:t>without size encoding, because semantic spacing is usually normal-sized</w:t>
      </w:r>
    </w:p>
    <w:p>
      <w:pPr>
        <w:pStyle w:val="Lista2"/>
      </w:pPr>
      <w:r>
        <w:t>however, for conspicuously large semantic spaces (exceeding two average character widths),</w:t>
      </w:r>
      <w:r>
        <w:rPr>
          <w:noProof/>
        </w:rPr>
        <w:t xml:space="preserve"> </w:t>
      </w:r>
      <w:r>
        <w:t>size must be encoded as per §</w:t>
      </w:r>
      <w:r>
        <w:fldChar w:fldCharType="begin"/>
      </w:r>
      <w:r>
        <w:instrText xml:space="preserve"> REF _Ref183008428 \r \h </w:instrText>
      </w:r>
      <w:r>
        <w:fldChar w:fldCharType="separate"/>
      </w:r>
      <w:r>
        <w:t>5.4.2.4</w:t>
      </w:r>
      <w:r>
        <w:fldChar w:fldCharType="end"/>
      </w:r>
    </w:p>
    <w:p>
      <w:pPr>
        <w:pStyle w:val="Cmsor4"/>
      </w:pPr>
      <w:bookmarkStart w:id="432" w:name="_Ref227833891"/>
      <w:bookmarkStart w:id="433" w:name="_Ref183008079"/>
      <w:bookmarkStart w:id="434" w:name="_Ref183006525"/>
      <w:r>
        <w:t>When is interword spacing significant?</w:t>
      </w:r>
      <w:bookmarkEnd w:id="432"/>
    </w:p>
    <w:p>
      <w:pPr>
        <w:pStyle w:val="Lista"/>
      </w:pPr>
      <w:r>
        <w:t>spaces smaller than the width of one average character may be ignored at your discretion</w:t>
      </w:r>
    </w:p>
    <w:p>
      <w:pPr>
        <w:pStyle w:val="Lista"/>
      </w:pPr>
      <w:r>
        <w:t xml:space="preserve">it is generally </w:t>
      </w:r>
      <w:r>
        <w:rPr>
          <w:b/>
          <w:bCs/>
        </w:rPr>
        <w:t>preferable not to encode semantic spaces</w:t>
      </w:r>
      <w:r>
        <w:t xml:space="preserve"> in the following cases:</w:t>
      </w:r>
    </w:p>
    <w:p>
      <w:pPr>
        <w:pStyle w:val="Lista2"/>
      </w:pPr>
      <w:r>
        <w:t>when small spaces appear without an obvious semantic function, such as</w:t>
      </w:r>
    </w:p>
    <w:p>
      <w:pPr>
        <w:pStyle w:val="Lista3"/>
      </w:pPr>
      <w:r>
        <w:t>space between adjacent glyphs within a word</w:t>
      </w:r>
    </w:p>
    <w:p>
      <w:pPr>
        <w:pStyle w:val="Lista3"/>
      </w:pPr>
      <w:r>
        <w:t>interword spaces that are no larger than spaces occurring between glyphs within a word</w:t>
      </w:r>
    </w:p>
    <w:p>
      <w:pPr>
        <w:pStyle w:val="Lista3"/>
      </w:pPr>
      <w:r>
        <w:t>however, segments written in conspicuously widely spaced glyphs may be marked up as per §</w:t>
      </w:r>
      <w:r>
        <w:fldChar w:fldCharType="begin"/>
      </w:r>
      <w:r>
        <w:instrText xml:space="preserve"> REF _Ref43987586 \w \h  \* MERGEFORMAT </w:instrText>
      </w:r>
      <w:r>
        <w:fldChar w:fldCharType="separate"/>
      </w:r>
      <w:r>
        <w:t>8.3</w:t>
      </w:r>
      <w:r>
        <w:fldChar w:fldCharType="end"/>
      </w:r>
    </w:p>
    <w:p>
      <w:pPr>
        <w:pStyle w:val="Lista2"/>
      </w:pPr>
      <w:r>
        <w:t>when small spaces appear between phonographic and other graphemes, such as</w:t>
      </w:r>
    </w:p>
    <w:p>
      <w:pPr>
        <w:pStyle w:val="Lista3"/>
      </w:pPr>
      <w:r>
        <w:t>before and/or after numeral signs</w:t>
      </w:r>
    </w:p>
    <w:p>
      <w:pPr>
        <w:pStyle w:val="Lista3"/>
      </w:pPr>
      <w:r>
        <w:t>before and/or after punctuation marks and other symbols</w:t>
      </w:r>
    </w:p>
    <w:p>
      <w:pPr>
        <w:pStyle w:val="Lista2"/>
      </w:pPr>
      <w:r>
        <w:t>when interword spaces appear consistently throughout an inscription</w:t>
      </w:r>
    </w:p>
    <w:p>
      <w:pPr>
        <w:pStyle w:val="Lista3"/>
      </w:pPr>
      <w:r>
        <w:t xml:space="preserve">this feature of an inscription (i.e. the fact that it does not use </w:t>
      </w:r>
      <w:r>
        <w:rPr>
          <w:rStyle w:val="Foreign"/>
        </w:rPr>
        <w:t>scriptio continua</w:t>
      </w:r>
      <w:r>
        <w:t>) may be mentioned in the metadata or commentary rather than being encoded at every instance</w:t>
      </w:r>
    </w:p>
    <w:p>
      <w:pPr>
        <w:pStyle w:val="Lista2"/>
      </w:pPr>
      <w:r>
        <w:t xml:space="preserve">it is generally </w:t>
      </w:r>
      <w:r>
        <w:rPr>
          <w:b/>
          <w:bCs/>
        </w:rPr>
        <w:t>preferable to encode semantic spaces</w:t>
      </w:r>
      <w:r>
        <w:t xml:space="preserve"> in the following cases, even if they are smaller than one typical character width:</w:t>
      </w:r>
    </w:p>
    <w:p>
      <w:pPr>
        <w:pStyle w:val="Lista3"/>
      </w:pPr>
      <w:r>
        <w:t>when interword spaces are used inconsistently in an inscription</w:t>
      </w:r>
    </w:p>
    <w:p>
      <w:pPr>
        <w:pStyle w:val="Lista3"/>
      </w:pPr>
      <w:r>
        <w:t>when a particular space appears in lieu of punctuation at the end of a semantic unit (e.g. stanza, verse line or a topic in prose)</w:t>
      </w:r>
    </w:p>
    <w:p>
      <w:pPr>
        <w:pStyle w:val="Cmsor4"/>
      </w:pPr>
      <w:bookmarkStart w:id="435" w:name="_Ref227833892"/>
      <w:r>
        <w:t>Spacing on a metrical basis</w:t>
      </w:r>
      <w:bookmarkEnd w:id="435"/>
    </w:p>
    <w:p>
      <w:r>
        <w:t xml:space="preserve">The boundaries of metrical units (stanzas, verse lines, cola) are sometimes indicated in inscriptions with spaces, regardless of whether they coincide with a semantic boundary or not. Metrically based spaces, for instance between stanza quarters, may appear consistently one below the other, in effect dividing the text into two or more quasi-columns. In this special case, illustrated in </w:t>
      </w:r>
      <w:r>
        <w:fldChar w:fldCharType="begin"/>
      </w:r>
      <w:r>
        <w:instrText xml:space="preserve"> REF _Ref44078509 \h </w:instrText>
      </w:r>
      <w:r>
        <w:fldChar w:fldCharType="separate"/>
      </w:r>
      <w:r>
        <w:t xml:space="preserve">Exhibit </w:t>
      </w:r>
      <w:r>
        <w:rPr>
          <w:noProof/>
        </w:rPr>
        <w:t>4.7</w:t>
      </w:r>
      <w:r>
        <w:t>.</w:t>
      </w:r>
      <w:r>
        <w:rPr>
          <w:noProof/>
        </w:rPr>
        <w:t>Q</w:t>
      </w:r>
      <w:r>
        <w:fldChar w:fldCharType="end"/>
      </w:r>
      <w:r>
        <w:t>, you can choose at your discretion to encode gridlike partitions for the quasi-columns as per §</w:t>
      </w:r>
      <w:r>
        <w:fldChar w:fldCharType="begin"/>
      </w:r>
      <w:r>
        <w:instrText xml:space="preserve"> REF _Ref43984651 \r \h </w:instrText>
      </w:r>
      <w:r>
        <w:fldChar w:fldCharType="separate"/>
      </w:r>
      <w:r>
        <w:t>4.6</w:t>
      </w:r>
      <w:r>
        <w:fldChar w:fldCharType="end"/>
      </w:r>
      <w:r>
        <w:t xml:space="preserve">, or simply to encode each space in its place. Both encodings are shown in </w:t>
      </w:r>
      <w:r>
        <w:fldChar w:fldCharType="begin"/>
      </w:r>
      <w:r>
        <w:instrText xml:space="preserve"> REF _Ref44078509 \h </w:instrText>
      </w:r>
      <w:r>
        <w:fldChar w:fldCharType="separate"/>
      </w:r>
      <w:r>
        <w:t xml:space="preserve">Exhibit </w:t>
      </w:r>
      <w:r>
        <w:rPr>
          <w:noProof/>
        </w:rPr>
        <w:t>4.7</w:t>
      </w:r>
      <w:r>
        <w:t>.</w:t>
      </w:r>
      <w:r>
        <w:rPr>
          <w:noProof/>
        </w:rPr>
        <w:t>Q</w:t>
      </w:r>
      <w:r>
        <w:fldChar w:fldCharType="end"/>
      </w:r>
      <w:r>
        <w:t>.</w:t>
      </w:r>
    </w:p>
    <w:p>
      <w:pPr>
        <w:pStyle w:val="Normlbehzs"/>
      </w:pPr>
      <w:r>
        <w:t xml:space="preserve">In other cases, typically when the inscribed lines do not coincide with metrical units, the spacing of metrical units does not give rise a layout feature. Instead, the metrical spaces will be staggered line after line as illustrated in </w:t>
      </w:r>
      <w:r>
        <w:fldChar w:fldCharType="begin"/>
      </w:r>
      <w:r>
        <w:instrText xml:space="preserve"> REF _Ref182995673 \h </w:instrText>
      </w:r>
      <w:r>
        <w:fldChar w:fldCharType="separate"/>
      </w:r>
      <w:r>
        <w:t xml:space="preserve">Exhibit </w:t>
      </w:r>
      <w:r>
        <w:rPr>
          <w:noProof/>
        </w:rPr>
        <w:t>5.4</w:t>
      </w:r>
      <w:r>
        <w:t>.</w:t>
      </w:r>
      <w:r>
        <w:rPr>
          <w:noProof/>
        </w:rPr>
        <w:t>A</w:t>
      </w:r>
      <w:r>
        <w:fldChar w:fldCharType="end"/>
      </w:r>
      <w:r>
        <w:t xml:space="preserve">, rather than lining up vertically. In this case, the metrical spaces can only be encoded as </w:t>
      </w:r>
      <w:r>
        <w:rPr>
          <w:rStyle w:val="Code"/>
        </w:rPr>
        <w:t>&lt;space/&gt;</w:t>
      </w:r>
      <w:r>
        <w:t xml:space="preserve"> elements; or, when they coincide with the boundaries of encoded containers (as the ends of verse lines in </w:t>
      </w:r>
      <w:r>
        <w:fldChar w:fldCharType="begin"/>
      </w:r>
      <w:r>
        <w:instrText xml:space="preserve"> REF _Ref182995673 \h </w:instrText>
      </w:r>
      <w:r>
        <w:fldChar w:fldCharType="separate"/>
      </w:r>
      <w:r>
        <w:t xml:space="preserve">Exhibit </w:t>
      </w:r>
      <w:r>
        <w:rPr>
          <w:noProof/>
        </w:rPr>
        <w:t>5.4</w:t>
      </w:r>
      <w:r>
        <w:t>.</w:t>
      </w:r>
      <w:r>
        <w:rPr>
          <w:noProof/>
        </w:rPr>
        <w:t>A</w:t>
      </w:r>
      <w:r>
        <w:fldChar w:fldCharType="end"/>
      </w:r>
      <w:r>
        <w:t>), they may be left unencoded at your discretion.</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436" w:name="_Ref182995673"/>
            <w:r>
              <w:lastRenderedPageBreak/>
              <w:t xml:space="preserve">Exhibit </w:t>
            </w:r>
            <w:fldSimple w:instr=" STYLEREF 2 \s ">
              <w:r>
                <w:rPr>
                  <w:noProof/>
                </w:rPr>
                <w:t>5.4</w:t>
              </w:r>
            </w:fldSimple>
            <w:r>
              <w:t>.</w:t>
            </w:r>
            <w:fldSimple w:instr=" SEQ Exhibit \* ALPHABETIC \s 2 ">
              <w:r>
                <w:rPr>
                  <w:noProof/>
                </w:rPr>
                <w:t>A</w:t>
              </w:r>
            </w:fldSimple>
            <w:bookmarkEnd w:id="436"/>
            <w:r>
              <w:t>: spacing between prosodic units</w:t>
            </w:r>
          </w:p>
        </w:tc>
      </w:tr>
      <w:tr>
        <w:tc>
          <w:tcPr>
            <w:tcW w:w="5000" w:type="pct"/>
          </w:tcPr>
          <w:p>
            <w:pPr>
              <w:pStyle w:val="Image"/>
            </w:pPr>
            <w:r>
              <w:drawing>
                <wp:inline distT="0" distB="0" distL="0" distR="0">
                  <wp:extent cx="5397500" cy="1515110"/>
                  <wp:effectExtent l="0" t="0" r="0" b="8890"/>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97500" cy="1515110"/>
                          </a:xfrm>
                          <a:prstGeom prst="rect">
                            <a:avLst/>
                          </a:prstGeom>
                          <a:noFill/>
                          <a:ln>
                            <a:noFill/>
                          </a:ln>
                        </pic:spPr>
                      </pic:pic>
                    </a:graphicData>
                  </a:graphic>
                </wp:inline>
              </w:drawing>
            </w:r>
          </w:p>
        </w:tc>
      </w:tr>
      <w:tr>
        <w:tc>
          <w:tcPr>
            <w:tcW w:w="5000" w:type="pct"/>
          </w:tcPr>
          <w:p>
            <w:pPr>
              <w:pStyle w:val="TableNote"/>
            </w:pPr>
            <w:r>
              <w:t>in this inscription, spaces have been left blank in the text at caesuras and line ends</w:t>
            </w:r>
          </w:p>
          <w:p>
            <w:pPr>
              <w:pStyle w:val="TableNote"/>
            </w:pPr>
            <w:r>
              <w:t xml:space="preserve">however, the spaces do not line up one below the other (as they do in </w:t>
            </w:r>
            <w:r>
              <w:fldChar w:fldCharType="begin"/>
            </w:r>
            <w:r>
              <w:instrText xml:space="preserve"> REF _Ref44078509 \h  \* MERGEFORMAT </w:instrText>
            </w:r>
            <w:r>
              <w:fldChar w:fldCharType="separate"/>
            </w:r>
            <w:r>
              <w:t>Exhibit 4.7.Q</w:t>
            </w:r>
            <w:r>
              <w:fldChar w:fldCharType="end"/>
            </w:r>
            <w:r>
              <w:t>)</w:t>
            </w:r>
          </w:p>
          <w:p>
            <w:pPr>
              <w:pStyle w:val="TableNote"/>
            </w:pPr>
            <w:r>
              <w:t>therefore, they are to be encoded as semantic spaces (if at all), not as gridlike milestones</w:t>
            </w:r>
          </w:p>
        </w:tc>
      </w:tr>
      <w:tr>
        <w:tc>
          <w:tcPr>
            <w:tcW w:w="5000" w:type="pct"/>
          </w:tcPr>
          <w:p>
            <w:pPr>
              <w:pStyle w:val="CodeParagraph"/>
              <w:rPr>
                <w:rStyle w:val="Code"/>
                <w:color w:val="000000" w:themeColor="text1"/>
              </w:rPr>
            </w:pPr>
            <w:r>
              <w:rPr>
                <w:rStyle w:val="Code"/>
              </w:rPr>
              <w:t xml:space="preserve">&lt;lg </w:t>
            </w:r>
            <w:r>
              <w:rPr>
                <w:rStyle w:val="Codeattribute"/>
              </w:rPr>
              <w:t>n</w:t>
            </w:r>
            <w:r>
              <w:rPr>
                <w:rStyle w:val="Code"/>
              </w:rPr>
              <w:t>=</w:t>
            </w:r>
            <w:r>
              <w:rPr>
                <w:rStyle w:val="Codevalue"/>
              </w:rPr>
              <w:t>"1"</w:t>
            </w:r>
            <w:r>
              <w:rPr>
                <w:rStyle w:val="Code"/>
              </w:rPr>
              <w:t>&gt;</w:t>
            </w:r>
            <w:r>
              <w:rPr>
                <w:rStyle w:val="Codetext"/>
              </w:rPr>
              <w:br/>
              <w:t xml:space="preserve">  </w:t>
            </w:r>
            <w:r>
              <w:rPr>
                <w:rStyle w:val="Code"/>
              </w:rPr>
              <w:t>&lt;l</w:t>
            </w:r>
            <w:r>
              <w:rPr>
                <w:rStyle w:val="Codeattribute"/>
              </w:rPr>
              <w:t xml:space="preserve"> n</w:t>
            </w:r>
            <w:r>
              <w:rPr>
                <w:rStyle w:val="Code"/>
              </w:rPr>
              <w:t>=</w:t>
            </w:r>
            <w:r>
              <w:rPr>
                <w:rStyle w:val="Codevalue"/>
              </w:rPr>
              <w:t>"a"</w:t>
            </w:r>
            <w:r>
              <w:rPr>
                <w:rStyle w:val="Code"/>
              </w:rPr>
              <w:t xml:space="preserve">&gt;&lt;lb </w:t>
            </w:r>
            <w:r>
              <w:rPr>
                <w:rStyle w:val="Codeattribute"/>
              </w:rPr>
              <w:t>n</w:t>
            </w:r>
            <w:r>
              <w:rPr>
                <w:rStyle w:val="Code"/>
              </w:rPr>
              <w:t>=</w:t>
            </w:r>
            <w:r>
              <w:rPr>
                <w:rStyle w:val="Codevalue"/>
              </w:rPr>
              <w:t>"1"</w:t>
            </w:r>
            <w:r>
              <w:rPr>
                <w:rStyle w:val="Code"/>
              </w:rPr>
              <w:t>/&gt;</w:t>
            </w:r>
            <w:r>
              <w:t xml:space="preserve"> </w:t>
            </w:r>
            <w:r>
              <w:rPr>
                <w:rStyle w:val="Codetext"/>
              </w:rPr>
              <w:t xml:space="preserve">Chip the glasses and </w:t>
            </w:r>
            <w:r>
              <w:rPr>
                <w:rStyle w:val="Code"/>
              </w:rPr>
              <w:t>&lt;space/&gt;</w:t>
            </w:r>
            <w:r>
              <w:rPr>
                <w:rStyle w:val="Codetext"/>
              </w:rPr>
              <w:t>crack the plates!</w:t>
            </w:r>
            <w:r>
              <w:rPr>
                <w:rStyle w:val="Code"/>
              </w:rPr>
              <w:t>&lt;space/&gt;&lt;/l&gt;</w:t>
            </w:r>
            <w:r>
              <w:rPr>
                <w:rStyle w:val="Codetext"/>
              </w:rPr>
              <w:br/>
              <w:t xml:space="preserve">  </w:t>
            </w:r>
            <w:r>
              <w:rPr>
                <w:rStyle w:val="Code"/>
              </w:rPr>
              <w:t>&lt;l</w:t>
            </w:r>
            <w:r>
              <w:rPr>
                <w:rStyle w:val="Codeattribute"/>
              </w:rPr>
              <w:t xml:space="preserve"> n</w:t>
            </w:r>
            <w:r>
              <w:rPr>
                <w:rStyle w:val="Code"/>
              </w:rPr>
              <w:t>=</w:t>
            </w:r>
            <w:r>
              <w:rPr>
                <w:rStyle w:val="Codevalue"/>
              </w:rPr>
              <w:t>"b"</w:t>
            </w:r>
            <w:r>
              <w:rPr>
                <w:rStyle w:val="Code"/>
              </w:rPr>
              <w:t>&gt;</w:t>
            </w:r>
            <w:r>
              <w:rPr>
                <w:rStyle w:val="Codetext"/>
              </w:rPr>
              <w:t xml:space="preserve">Blunt </w:t>
            </w:r>
            <w:r>
              <w:rPr>
                <w:rStyle w:val="Code"/>
              </w:rPr>
              <w:t xml:space="preserve">&lt;lb </w:t>
            </w:r>
            <w:r>
              <w:rPr>
                <w:rStyle w:val="Codeattribute"/>
              </w:rPr>
              <w:t>n</w:t>
            </w:r>
            <w:r>
              <w:rPr>
                <w:rStyle w:val="Code"/>
              </w:rPr>
              <w:t>=</w:t>
            </w:r>
            <w:r>
              <w:rPr>
                <w:rStyle w:val="Codevalue"/>
              </w:rPr>
              <w:t>"2"</w:t>
            </w:r>
            <w:r>
              <w:rPr>
                <w:rStyle w:val="Code"/>
              </w:rPr>
              <w:t>/&gt;</w:t>
            </w:r>
            <w:r>
              <w:rPr>
                <w:rStyle w:val="Codetext"/>
              </w:rPr>
              <w:t xml:space="preserve">the knives and </w:t>
            </w:r>
            <w:r>
              <w:rPr>
                <w:rStyle w:val="Code"/>
              </w:rPr>
              <w:t>&lt;space/&gt;</w:t>
            </w:r>
            <w:r>
              <w:rPr>
                <w:rStyle w:val="Codetext"/>
              </w:rPr>
              <w:t>bend the forks!</w:t>
            </w:r>
            <w:r>
              <w:rPr>
                <w:rStyle w:val="Code"/>
              </w:rPr>
              <w:t>&lt;space/&gt;&lt;/l&gt;</w:t>
            </w:r>
            <w:r>
              <w:rPr>
                <w:rStyle w:val="Codetext"/>
              </w:rPr>
              <w:br/>
              <w:t xml:space="preserve">  </w:t>
            </w:r>
            <w:r>
              <w:rPr>
                <w:rStyle w:val="Code"/>
              </w:rPr>
              <w:t>&lt;l</w:t>
            </w:r>
            <w:r>
              <w:rPr>
                <w:rStyle w:val="Codeattribute"/>
              </w:rPr>
              <w:t xml:space="preserve"> n</w:t>
            </w:r>
            <w:r>
              <w:rPr>
                <w:rStyle w:val="Code"/>
              </w:rPr>
              <w:t>=</w:t>
            </w:r>
            <w:r>
              <w:rPr>
                <w:rStyle w:val="Codevalue"/>
              </w:rPr>
              <w:t>"c"</w:t>
            </w:r>
            <w:r>
              <w:rPr>
                <w:rStyle w:val="Code"/>
              </w:rPr>
              <w:t>&gt;</w:t>
            </w:r>
            <w:r>
              <w:rPr>
                <w:rStyle w:val="Codetext"/>
              </w:rPr>
              <w:t xml:space="preserve">That’s what </w:t>
            </w:r>
            <w:r>
              <w:rPr>
                <w:rStyle w:val="Code"/>
              </w:rPr>
              <w:t xml:space="preserve">&lt;lb </w:t>
            </w:r>
            <w:r>
              <w:rPr>
                <w:rStyle w:val="Codeattribute"/>
              </w:rPr>
              <w:t>n</w:t>
            </w:r>
            <w:r>
              <w:rPr>
                <w:rStyle w:val="Code"/>
              </w:rPr>
              <w:t>=</w:t>
            </w:r>
            <w:r>
              <w:rPr>
                <w:rStyle w:val="Codevalue"/>
              </w:rPr>
              <w:t>"3"</w:t>
            </w:r>
            <w:r>
              <w:rPr>
                <w:rStyle w:val="Code"/>
              </w:rPr>
              <w:t>/&gt;</w:t>
            </w:r>
            <w:r>
              <w:rPr>
                <w:rStyle w:val="Codetext"/>
              </w:rPr>
              <w:t xml:space="preserve">Bilbo </w:t>
            </w:r>
            <w:r>
              <w:rPr>
                <w:rStyle w:val="Code"/>
              </w:rPr>
              <w:t>&lt;space/&gt;</w:t>
            </w:r>
            <w:r>
              <w:rPr>
                <w:rStyle w:val="Codetext"/>
              </w:rPr>
              <w:t xml:space="preserve"> Baggins hates—</w:t>
            </w:r>
            <w:r>
              <w:rPr>
                <w:rStyle w:val="Code"/>
              </w:rPr>
              <w:t>&lt;space/&gt;&lt;/l&gt;</w:t>
            </w:r>
            <w:r>
              <w:rPr>
                <w:rStyle w:val="Codetext"/>
              </w:rPr>
              <w:br/>
              <w:t xml:space="preserve">  </w:t>
            </w:r>
            <w:r>
              <w:rPr>
                <w:rStyle w:val="Code"/>
              </w:rPr>
              <w:t>&lt;l</w:t>
            </w:r>
            <w:r>
              <w:rPr>
                <w:rStyle w:val="Codeattribute"/>
              </w:rPr>
              <w:t xml:space="preserve"> n</w:t>
            </w:r>
            <w:r>
              <w:rPr>
                <w:rStyle w:val="Code"/>
              </w:rPr>
              <w:t>=</w:t>
            </w:r>
            <w:r>
              <w:rPr>
                <w:rStyle w:val="Codevalue"/>
              </w:rPr>
              <w:t>"d"</w:t>
            </w:r>
            <w:r>
              <w:rPr>
                <w:rStyle w:val="Code"/>
              </w:rPr>
              <w:t>&gt;</w:t>
            </w:r>
            <w:r>
              <w:rPr>
                <w:rStyle w:val="Codetext"/>
              </w:rPr>
              <w:t xml:space="preserve">Smash the bottles and </w:t>
            </w:r>
            <w:r>
              <w:rPr>
                <w:rStyle w:val="Code"/>
              </w:rPr>
              <w:t xml:space="preserve">&lt;lb </w:t>
            </w:r>
            <w:r>
              <w:rPr>
                <w:rStyle w:val="Codeattribute"/>
              </w:rPr>
              <w:t>n</w:t>
            </w:r>
            <w:r>
              <w:rPr>
                <w:rStyle w:val="Code"/>
              </w:rPr>
              <w:t>=</w:t>
            </w:r>
            <w:r>
              <w:rPr>
                <w:rStyle w:val="Codevalue"/>
              </w:rPr>
              <w:t>"4"</w:t>
            </w:r>
            <w:r>
              <w:rPr>
                <w:rStyle w:val="Code"/>
              </w:rPr>
              <w:t>/&gt;</w:t>
            </w:r>
            <w:r>
              <w:rPr>
                <w:rStyle w:val="Codetext"/>
              </w:rPr>
              <w:t>burn the corks!</w:t>
            </w:r>
            <w:r>
              <w:rPr>
                <w:rStyle w:val="Code"/>
              </w:rPr>
              <w:t>&lt;/l&gt;</w:t>
            </w:r>
            <w:r>
              <w:rPr>
                <w:rStyle w:val="Codetext"/>
              </w:rPr>
              <w:br/>
            </w:r>
            <w:r>
              <w:rPr>
                <w:rStyle w:val="Code"/>
              </w:rPr>
              <w:t>&lt;/lg&gt;</w:t>
            </w:r>
          </w:p>
        </w:tc>
      </w:tr>
    </w:tbl>
    <w:p/>
    <w:p>
      <w:pPr>
        <w:pStyle w:val="Cmsor3"/>
      </w:pPr>
      <w:bookmarkStart w:id="437" w:name="_Ref227833893"/>
      <w:bookmarkStart w:id="438" w:name="_Toc242976633"/>
      <w:r>
        <w:t>Other kinds of space</w:t>
      </w:r>
      <w:bookmarkEnd w:id="433"/>
      <w:bookmarkEnd w:id="437"/>
      <w:bookmarkEnd w:id="438"/>
    </w:p>
    <w:p>
      <w:pPr>
        <w:rPr>
          <w:lang w:eastAsia="en-US" w:bidi="ar-SA"/>
        </w:rPr>
      </w:pPr>
      <w:r>
        <w:rPr>
          <w:lang w:eastAsia="en-US" w:bidi="ar-SA"/>
        </w:rPr>
        <w:t>Spaces left blank in the original document may be considered significant even when they do not serve to indicate semantic or metrical boundaries. This subsection describes the encoding of other kinds of significant space, and discusses the use of space for layout (§</w:t>
      </w:r>
      <w:r>
        <w:rPr>
          <w:lang w:eastAsia="en-US" w:bidi="ar-SA"/>
        </w:rPr>
        <w:fldChar w:fldCharType="begin"/>
      </w:r>
      <w:r>
        <w:rPr>
          <w:lang w:eastAsia="en-US" w:bidi="ar-SA"/>
        </w:rPr>
        <w:instrText xml:space="preserve"> REF _Ref227835279 \r \h </w:instrText>
      </w:r>
      <w:r>
        <w:rPr>
          <w:lang w:eastAsia="en-US" w:bidi="ar-SA"/>
        </w:rPr>
      </w:r>
      <w:r>
        <w:rPr>
          <w:lang w:eastAsia="en-US" w:bidi="ar-SA"/>
        </w:rPr>
        <w:fldChar w:fldCharType="separate"/>
      </w:r>
      <w:r>
        <w:rPr>
          <w:lang w:eastAsia="en-US" w:bidi="ar-SA"/>
        </w:rPr>
        <w:t>5.4.2.4</w:t>
      </w:r>
      <w:r>
        <w:rPr>
          <w:lang w:eastAsia="en-US" w:bidi="ar-SA"/>
        </w:rPr>
        <w:fldChar w:fldCharType="end"/>
      </w:r>
      <w:r>
        <w:rPr>
          <w:lang w:eastAsia="en-US" w:bidi="ar-SA"/>
        </w:rPr>
        <w:t>), which is not to be encoded as space.</w:t>
      </w:r>
    </w:p>
    <w:p>
      <w:pPr>
        <w:pStyle w:val="Cmsor4"/>
      </w:pPr>
      <w:bookmarkStart w:id="439" w:name="_ezodp8p1jvoq" w:colFirst="0" w:colLast="0"/>
      <w:bookmarkStart w:id="440" w:name="_Ref43987728"/>
      <w:bookmarkStart w:id="441" w:name="_Ref156807687"/>
      <w:bookmarkStart w:id="442" w:name="_Ref156807827"/>
      <w:bookmarkStart w:id="443" w:name="_Ref227847574"/>
      <w:bookmarkEnd w:id="429"/>
      <w:bookmarkEnd w:id="430"/>
      <w:bookmarkEnd w:id="434"/>
      <w:bookmarkEnd w:id="439"/>
      <w:r>
        <w:t xml:space="preserve">Space left blank </w:t>
      </w:r>
      <w:bookmarkEnd w:id="440"/>
      <w:r>
        <w:t xml:space="preserve">for </w:t>
      </w:r>
      <w:bookmarkEnd w:id="441"/>
      <w:bookmarkEnd w:id="442"/>
      <w:r>
        <w:t>missing content</w:t>
      </w:r>
      <w:bookmarkEnd w:id="443"/>
    </w:p>
    <w:p>
      <w:r>
        <w:t xml:space="preserve">This subsection is about areas that were deliberately left blank when the rest of the inscription was engraved, because the content to be written was not available to the engraver. This usually happens either because certain particulars, such as a name or a date, were to be added later, or because the engraver was unable to interpret a glyph in the archetype he was working from. Such spaces are called </w:t>
      </w:r>
      <w:r>
        <w:rPr>
          <w:rStyle w:val="Foreign"/>
        </w:rPr>
        <w:t>vacat</w:t>
      </w:r>
      <w:r>
        <w:t xml:space="preserve"> in the western scholarly tradition.</w:t>
      </w:r>
    </w:p>
    <w:p>
      <w:pPr>
        <w:pStyle w:val="Lista"/>
      </w:pPr>
      <w:r>
        <w:t xml:space="preserve">to encode spaces left blank for missing content, use </w:t>
      </w:r>
      <w:r>
        <w:rPr>
          <w:rStyle w:val="Code"/>
        </w:rPr>
        <w:t>&lt;space/&gt;</w:t>
      </w:r>
      <w:r>
        <w:t xml:space="preserve">  with </w:t>
      </w:r>
      <w:r>
        <w:rPr>
          <w:rStyle w:val="Codeattribute"/>
        </w:rPr>
        <w:t>@type=</w:t>
      </w:r>
      <w:r>
        <w:rPr>
          <w:rStyle w:val="Codevalue"/>
        </w:rPr>
        <w:t>"vacat"</w:t>
      </w:r>
      <w:r>
        <w:t xml:space="preserve"> </w:t>
      </w:r>
    </w:p>
    <w:p>
      <w:pPr>
        <w:pStyle w:val="Lista2"/>
      </w:pPr>
      <w:r>
        <w:t>encoding the size of such spaces (§</w:t>
      </w:r>
      <w:r>
        <w:fldChar w:fldCharType="begin"/>
      </w:r>
      <w:r>
        <w:instrText xml:space="preserve"> REF _Ref183008428 \r \h </w:instrText>
      </w:r>
      <w:r>
        <w:fldChar w:fldCharType="separate"/>
      </w:r>
      <w:r>
        <w:t>5.4.2.4</w:t>
      </w:r>
      <w:r>
        <w:fldChar w:fldCharType="end"/>
      </w:r>
      <w:r>
        <w:t>) is recommended even if they are normal-sized</w:t>
      </w:r>
    </w:p>
    <w:p>
      <w:pPr>
        <w:pStyle w:val="Lista2"/>
      </w:pPr>
      <w:r>
        <w:t xml:space="preserve">e.g. </w:t>
      </w:r>
      <w:r>
        <w:rPr>
          <w:rStyle w:val="Code"/>
        </w:rPr>
        <w:t xml:space="preserve">&lt;space </w:t>
      </w:r>
      <w:r>
        <w:rPr>
          <w:rStyle w:val="Codeattribute"/>
        </w:rPr>
        <w:t>type</w:t>
      </w:r>
      <w:r>
        <w:rPr>
          <w:rStyle w:val="Code"/>
        </w:rPr>
        <w:t>=</w:t>
      </w:r>
      <w:r>
        <w:rPr>
          <w:rStyle w:val="Codevalue"/>
        </w:rPr>
        <w:t>"vacat"</w:t>
      </w:r>
      <w:r>
        <w:rPr>
          <w:rStyle w:val="Code"/>
        </w:rPr>
        <w:t xml:space="preserv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"character"</w:t>
      </w:r>
      <w:r>
        <w:rPr>
          <w:rStyle w:val="Code"/>
        </w:rPr>
        <w:t>/&gt;</w:t>
      </w:r>
    </w:p>
    <w:tbl>
      <w:tblPr>
        <w:tblStyle w:val="FigureTable"/>
        <w:tblpPr w:leftFromText="180" w:rightFromText="180" w:vertAnchor="text" w:tblpXSpec="right" w:tblpY="1"/>
        <w:tblW w:w="0" w:type="auto"/>
        <w:tblLook w:val="04A0" w:firstRow="1" w:lastRow="0" w:firstColumn="1" w:lastColumn="0" w:noHBand="0" w:noVBand="1"/>
      </w:tblPr>
      <w:tblGrid>
        <w:gridCol w:w="4246"/>
      </w:tblGrid>
      <w:tr>
        <w:trPr>
          <w:cnfStyle w:val="100000000000" w:firstRow="1" w:lastRow="0" w:firstColumn="0" w:lastColumn="0" w:oddVBand="0" w:evenVBand="0" w:oddHBand="0" w:evenHBand="0" w:firstRowFirstColumn="0" w:firstRowLastColumn="0" w:lastRowFirstColumn="0" w:lastRowLastColumn="0"/>
        </w:trPr>
        <w:tc>
          <w:tcPr>
            <w:tcW w:w="4246" w:type="dxa"/>
          </w:tcPr>
          <w:p>
            <w:pPr>
              <w:pStyle w:val="Kpalrs"/>
            </w:pPr>
            <w:bookmarkStart w:id="444" w:name="_Ref226038753"/>
            <w:r>
              <w:t xml:space="preserve">Exhibit </w:t>
            </w:r>
            <w:fldSimple w:instr=" STYLEREF 2 \s ">
              <w:r>
                <w:rPr>
                  <w:noProof/>
                </w:rPr>
                <w:t>5.4</w:t>
              </w:r>
            </w:fldSimple>
            <w:r>
              <w:t>.</w:t>
            </w:r>
            <w:fldSimple w:instr=" SEQ Exhibit \* ALPHABETIC \s 2 ">
              <w:r>
                <w:rPr>
                  <w:noProof/>
                </w:rPr>
                <w:t>B</w:t>
              </w:r>
            </w:fldSimple>
            <w:bookmarkEnd w:id="444"/>
            <w:r>
              <w:t>. space marked for missing content</w:t>
            </w:r>
          </w:p>
        </w:tc>
      </w:tr>
      <w:tr>
        <w:tc>
          <w:tcPr>
            <w:tcW w:w="4246" w:type="dxa"/>
          </w:tcPr>
          <w:p>
            <w:pPr>
              <w:pStyle w:val="Image"/>
            </w:pPr>
            <w:r>
              <w:drawing>
                <wp:inline distT="0" distB="0" distL="0" distR="0">
                  <wp:extent cx="2322000" cy="968400"/>
                  <wp:effectExtent l="0" t="0" r="2540" b="3175"/>
                  <wp:docPr id="3933449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22000" cy="968400"/>
                          </a:xfrm>
                          <a:prstGeom prst="rect">
                            <a:avLst/>
                          </a:prstGeom>
                          <a:noFill/>
                          <a:ln>
                            <a:noFill/>
                          </a:ln>
                        </pic:spPr>
                      </pic:pic>
                    </a:graphicData>
                  </a:graphic>
                </wp:inline>
              </w:drawing>
            </w:r>
          </w:p>
        </w:tc>
      </w:tr>
      <w:tr>
        <w:tc>
          <w:tcPr>
            <w:tcW w:w="4246" w:type="dxa"/>
          </w:tcPr>
          <w:p>
            <w:pPr>
              <w:pStyle w:val="CodeParagraph"/>
            </w:pPr>
            <w:r>
              <w:rPr>
                <w:rStyle w:val="Code"/>
              </w:rPr>
              <w:t xml:space="preserve">&lt;space </w:t>
            </w:r>
            <w:r>
              <w:rPr>
                <w:rStyle w:val="Codeattribute"/>
              </w:rPr>
              <w:t>type</w:t>
            </w:r>
            <w:r>
              <w:rPr>
                <w:rStyle w:val="Code"/>
              </w:rPr>
              <w:t>=</w:t>
            </w:r>
            <w:r>
              <w:rPr>
                <w:rStyle w:val="Codevalue"/>
              </w:rPr>
              <w:t>"vacat"</w:t>
            </w:r>
            <w:r>
              <w:rPr>
                <w:rStyle w:val="Code"/>
              </w:rPr>
              <w:t xml:space="preserve"> </w:t>
            </w:r>
            <w:r>
              <w:rPr>
                <w:rStyle w:val="Codeattribute"/>
              </w:rPr>
              <w:t>rend</w:t>
            </w:r>
            <w:r>
              <w:rPr>
                <w:rStyle w:val="Code"/>
              </w:rPr>
              <w:t>=</w:t>
            </w:r>
            <w:r>
              <w:rPr>
                <w:rStyle w:val="Codevalue"/>
              </w:rPr>
              <w:t xml:space="preserve">"mark" </w:t>
            </w:r>
            <w:r>
              <w:rPr>
                <w:rStyle w:val="Codeattribute"/>
              </w:rPr>
              <w:t>quantity</w:t>
            </w:r>
            <w:r>
              <w:rPr>
                <w:rStyle w:val="Code"/>
              </w:rPr>
              <w:t>=</w:t>
            </w:r>
            <w:r>
              <w:rPr>
                <w:rStyle w:val="Codevalue"/>
              </w:rPr>
              <w:t>"9"</w:t>
            </w:r>
            <w:r>
              <w:rPr>
                <w:rStyle w:val="Code"/>
              </w:rPr>
              <w:t xml:space="preserve"> </w:t>
            </w:r>
            <w:r>
              <w:rPr>
                <w:rStyle w:val="Codeattribute"/>
              </w:rPr>
              <w:t>unit</w:t>
            </w:r>
            <w:r>
              <w:rPr>
                <w:rStyle w:val="Code"/>
              </w:rPr>
              <w:t>=</w:t>
            </w:r>
            <w:r>
              <w:rPr>
                <w:rStyle w:val="Codevalue"/>
              </w:rPr>
              <w:t>"character"</w:t>
            </w:r>
            <w:r>
              <w:rPr>
                <w:rStyle w:val="Code"/>
              </w:rPr>
              <w:t>/&gt;</w:t>
            </w:r>
          </w:p>
        </w:tc>
      </w:tr>
    </w:tbl>
    <w:p>
      <w:pPr>
        <w:pStyle w:val="Lista"/>
      </w:pPr>
      <w:r>
        <w:t xml:space="preserve">if unwritten space is filled with some kind of scribal mark such as dotting, horizontal lines, etc., as in </w:t>
      </w:r>
      <w:r>
        <w:fldChar w:fldCharType="begin"/>
      </w:r>
      <w:r>
        <w:instrText xml:space="preserve"> REF _Ref226038753 \h </w:instrText>
      </w:r>
      <w:r>
        <w:fldChar w:fldCharType="separate"/>
      </w:r>
      <w:r>
        <w:t xml:space="preserve">Exhibit </w:t>
      </w:r>
      <w:r>
        <w:rPr>
          <w:noProof/>
        </w:rPr>
        <w:t>5.4</w:t>
      </w:r>
      <w:r>
        <w:t>.</w:t>
      </w:r>
      <w:r>
        <w:rPr>
          <w:noProof/>
        </w:rPr>
        <w:t>B</w:t>
      </w:r>
      <w:r>
        <w:fldChar w:fldCharType="end"/>
      </w:r>
    </w:p>
    <w:p>
      <w:pPr>
        <w:pStyle w:val="Lista2"/>
      </w:pPr>
      <w:r>
        <w:t xml:space="preserve">add the attribute </w:t>
      </w:r>
      <w:r>
        <w:rPr>
          <w:rStyle w:val="Codeattribute"/>
        </w:rPr>
        <w:t>@rend</w:t>
      </w:r>
      <w:r>
        <w:rPr>
          <w:rStyle w:val="Code"/>
        </w:rPr>
        <w:t>=</w:t>
      </w:r>
      <w:r>
        <w:rPr>
          <w:rStyle w:val="Codevalue"/>
        </w:rPr>
        <w:t>"mark"</w:t>
      </w:r>
      <w:r>
        <w:t xml:space="preserve"> to the space element encoded as above</w:t>
      </w:r>
    </w:p>
    <w:p>
      <w:pPr>
        <w:pStyle w:val="Lista2"/>
      </w:pPr>
      <w:r>
        <w:t>the appearance of the mark may be described in your annotation</w:t>
      </w:r>
    </w:p>
    <w:p>
      <w:pPr>
        <w:pStyle w:val="Lista2"/>
      </w:pPr>
      <w:r>
        <w:t>such scribal marks are to be distinguished from connectors (§</w:t>
      </w:r>
      <w:r>
        <w:fldChar w:fldCharType="begin"/>
      </w:r>
      <w:r>
        <w:instrText xml:space="preserve"> REF _Ref226038881 \r \h </w:instrText>
      </w:r>
      <w:r>
        <w:fldChar w:fldCharType="separate"/>
      </w:r>
      <w:r>
        <w:t>5.3.2.3</w:t>
      </w:r>
      <w:r>
        <w:fldChar w:fldCharType="end"/>
      </w:r>
      <w:r>
        <w:t>), which are used when there is no missing content</w:t>
      </w:r>
    </w:p>
    <w:p>
      <w:pPr>
        <w:pStyle w:val="Lista"/>
      </w:pPr>
      <w:r>
        <w:t>if space was left blank and later partially or completely filled with text, it may be difficult to determine whether, and exactly where, this has happened, as well as to distinguish this from deletion followed by rewriting, which is to be treated as per §</w:t>
      </w:r>
      <w:r>
        <w:fldChar w:fldCharType="begin"/>
      </w:r>
      <w:r>
        <w:instrText xml:space="preserve"> REF _Ref74727538 \r \h </w:instrText>
      </w:r>
      <w:r>
        <w:fldChar w:fldCharType="separate"/>
      </w:r>
      <w:r>
        <w:t>5.5.3</w:t>
      </w:r>
      <w:r>
        <w:fldChar w:fldCharType="end"/>
      </w:r>
    </w:p>
    <w:p>
      <w:pPr>
        <w:pStyle w:val="Lista2"/>
      </w:pPr>
      <w:r>
        <w:t>if any uncertainty is involved, proceed as follows</w:t>
      </w:r>
    </w:p>
    <w:p>
      <w:pPr>
        <w:pStyle w:val="Lista3"/>
      </w:pPr>
      <w:r>
        <w:t>edit the text normally, without any special encoding for vacat</w:t>
      </w:r>
    </w:p>
    <w:p>
      <w:pPr>
        <w:pStyle w:val="Lista3"/>
      </w:pPr>
      <w:r>
        <w:t>if any space remains, encode it normally</w:t>
      </w:r>
    </w:p>
    <w:p>
      <w:pPr>
        <w:pStyle w:val="Lista4"/>
      </w:pPr>
      <w:r>
        <w:t>as vacat if you are certain of this identification</w:t>
      </w:r>
    </w:p>
    <w:p>
      <w:pPr>
        <w:pStyle w:val="Lista4"/>
      </w:pPr>
      <w:r>
        <w:lastRenderedPageBreak/>
        <w:t>as unclassified (§</w:t>
      </w:r>
      <w:r>
        <w:fldChar w:fldCharType="begin"/>
      </w:r>
      <w:r>
        <w:instrText xml:space="preserve"> REF _Ref63674539 \r \h </w:instrText>
      </w:r>
      <w:r>
        <w:fldChar w:fldCharType="separate"/>
      </w:r>
      <w:r>
        <w:t>5.4.2.3</w:t>
      </w:r>
      <w:r>
        <w:fldChar w:fldCharType="end"/>
      </w:r>
      <w:r>
        <w:t>) if you are not certain</w:t>
      </w:r>
    </w:p>
    <w:p>
      <w:pPr>
        <w:pStyle w:val="Lista3"/>
      </w:pPr>
      <w:r>
        <w:t>describe the situation in your annotation</w:t>
      </w:r>
    </w:p>
    <w:p>
      <w:pPr>
        <w:pStyle w:val="Lista2"/>
      </w:pPr>
      <w:r>
        <w:t>if you are quite certain that space had been left blank and later filled, and are able to determine its beginning and endpoint precisely,</w:t>
      </w:r>
    </w:p>
    <w:p>
      <w:pPr>
        <w:pStyle w:val="Lista3"/>
      </w:pPr>
      <w:r>
        <w:t>encode vacat for the entire length of the space originally left blank</w:t>
      </w:r>
    </w:p>
    <w:p>
      <w:pPr>
        <w:pStyle w:val="Lista3"/>
      </w:pPr>
      <w:r>
        <w:t xml:space="preserve">immediately after the </w:t>
      </w:r>
      <w:r>
        <w:rPr>
          <w:rStyle w:val="Code"/>
        </w:rPr>
        <w:t>&lt;space/&gt;</w:t>
      </w:r>
      <w:r>
        <w:t xml:space="preserve"> element, encode a premodern inline addition </w:t>
      </w:r>
      <w:r>
        <w:rPr>
          <w:noProof/>
        </w:rPr>
        <w:t>(</w:t>
      </w:r>
      <w:r>
        <w:t>§</w:t>
      </w:r>
      <w:r>
        <w:fldChar w:fldCharType="begin"/>
      </w:r>
      <w:r>
        <w:instrText xml:space="preserve"> REF _Ref43978471 \r \h  \* MERGEFORMAT </w:instrText>
      </w:r>
      <w:r>
        <w:fldChar w:fldCharType="separate"/>
      </w:r>
      <w:r>
        <w:t>5.5.2</w:t>
      </w:r>
      <w:r>
        <w:fldChar w:fldCharType="end"/>
      </w:r>
      <w:r>
        <w:t>)</w:t>
      </w:r>
    </w:p>
    <w:p>
      <w:pPr>
        <w:pStyle w:val="Lista3"/>
      </w:pPr>
      <w:r>
        <w:t>if any blank space remains, include an unclassified space (§</w:t>
      </w:r>
      <w:r>
        <w:fldChar w:fldCharType="begin"/>
      </w:r>
      <w:r>
        <w:instrText xml:space="preserve"> REF _Ref63674539 \r \h </w:instrText>
      </w:r>
      <w:r>
        <w:fldChar w:fldCharType="separate"/>
      </w:r>
      <w:r>
        <w:t>5.4.2.3</w:t>
      </w:r>
      <w:r>
        <w:fldChar w:fldCharType="end"/>
      </w:r>
      <w:r>
        <w:t>) within the encoded premodern addition</w:t>
      </w:r>
    </w:p>
    <w:p>
      <w:pPr>
        <w:pStyle w:val="Cmsor4"/>
      </w:pPr>
      <w:bookmarkStart w:id="445" w:name="_8rva2rlyx9df" w:colFirst="0" w:colLast="0"/>
      <w:bookmarkStart w:id="446" w:name="_3hdkntv18hp0" w:colFirst="0" w:colLast="0"/>
      <w:bookmarkStart w:id="447" w:name="_Ref43985107"/>
      <w:bookmarkEnd w:id="445"/>
      <w:bookmarkEnd w:id="446"/>
      <w:r>
        <w:t>Space imposed by physical necessity</w:t>
      </w:r>
      <w:bookmarkEnd w:id="447"/>
    </w:p>
    <w:p>
      <w:r>
        <w:t>This subsection is about spaces left blank because a physical feature of the support prevented the engraver from writing on a certain area. Encoding such interruptions as significant space is helpful because their presence may be the cause of non-standard sandhi and scribal errors.</w:t>
      </w:r>
    </w:p>
    <w:p>
      <w:pPr>
        <w:pStyle w:val="Lista"/>
      </w:pPr>
      <w:r>
        <w:t>the encoding of spaces imposed by physical necessity is optional, and may not be possible when working from a printed edition without access to the original or a surrogate</w:t>
      </w:r>
    </w:p>
    <w:p>
      <w:pPr>
        <w:pStyle w:val="Lista"/>
      </w:pPr>
      <w:r>
        <w:t>if you do choose to encode any such space in an edition, then do so consistently throughout that particular edition</w:t>
      </w:r>
    </w:p>
    <w:p>
      <w:pPr>
        <w:pStyle w:val="Lista2"/>
      </w:pPr>
      <w:r>
        <w:t>consistency does not necessarily mean encoding each and every imposed space; instead, you may opt for one of the following strategies:</w:t>
      </w:r>
    </w:p>
    <w:p>
      <w:pPr>
        <w:pStyle w:val="Lista3"/>
      </w:pPr>
      <w:r>
        <w:t>encoding all imposed spaces of a particular class (of those listed below), but not other classes</w:t>
      </w:r>
    </w:p>
    <w:p>
      <w:pPr>
        <w:pStyle w:val="Lista3"/>
      </w:pPr>
      <w:r>
        <w:t>encoding imposed spaces when they disrupt the text by falling inside a word, but not encoding them when they fall between words</w:t>
      </w:r>
    </w:p>
    <w:p>
      <w:pPr>
        <w:pStyle w:val="Lista2"/>
      </w:pPr>
      <w:r>
        <w:t>consistency should be complete within an edition, but cannot be realistically expected across our entire corpus or even across the body of texts encoded by a single person</w:t>
      </w:r>
    </w:p>
    <w:p>
      <w:pPr>
        <w:pStyle w:val="Lista3"/>
      </w:pPr>
      <w:r>
        <w:t>aiming for consistency across your subcorpus is a good idea, but feel free to adopt a different strategy for any text where this seems desirable</w:t>
      </w:r>
    </w:p>
    <w:p>
      <w:pPr>
        <w:pStyle w:val="Lista"/>
      </w:pPr>
      <w:r>
        <w:t xml:space="preserve">when encoding spaces imposed by physical necessity, distinguish these from other spaces by adding the attribute </w:t>
      </w:r>
      <w:r>
        <w:rPr>
          <w:rStyle w:val="Codeattribute"/>
        </w:rPr>
        <w:t>@type</w:t>
      </w:r>
      <w:r>
        <w:t xml:space="preserve"> to </w:t>
      </w:r>
      <w:r>
        <w:rPr>
          <w:rStyle w:val="Code"/>
        </w:rPr>
        <w:t>&lt;space/&gt;</w:t>
      </w:r>
      <w:r>
        <w:t>, with a value depending on the nature of the interruption as follows</w:t>
      </w:r>
    </w:p>
    <w:p>
      <w:pPr>
        <w:pStyle w:val="Lista2"/>
      </w:pPr>
      <w:r>
        <w:rPr>
          <w:rStyle w:val="Codevalue"/>
        </w:rPr>
        <w:t>"binding-hole"</w:t>
      </w:r>
      <w:r>
        <w:t xml:space="preserve"> for the binding hole in a copper plate or manuscript page</w:t>
      </w:r>
    </w:p>
    <w:p>
      <w:pPr>
        <w:pStyle w:val="Lista3"/>
      </w:pPr>
      <w:r>
        <w:t>see also below for additional instructions concerning the encoding of such holes</w:t>
      </w:r>
    </w:p>
    <w:p>
      <w:pPr>
        <w:pStyle w:val="Lista2"/>
      </w:pPr>
      <w:r>
        <w:rPr>
          <w:rStyle w:val="Codevalue"/>
        </w:rPr>
        <w:t>"descender"</w:t>
      </w:r>
      <w:r>
        <w:t xml:space="preserve"> for part of a glyph encroaching from the previous line</w:t>
      </w:r>
    </w:p>
    <w:p>
      <w:pPr>
        <w:pStyle w:val="Lista2"/>
      </w:pPr>
      <w:r>
        <w:rPr>
          <w:rStyle w:val="Codevalue"/>
        </w:rPr>
        <w:t>"ascender"</w:t>
      </w:r>
      <w:r>
        <w:t xml:space="preserve"> for part of a glyph encroaching from the following line</w:t>
      </w:r>
    </w:p>
    <w:tbl>
      <w:tblPr>
        <w:tblStyle w:val="FigureTable"/>
        <w:tblpPr w:leftFromText="180" w:rightFromText="180" w:vertAnchor="text" w:tblpXSpec="right" w:tblpY="1"/>
        <w:tblW w:w="3402" w:type="dxa"/>
        <w:tblLook w:val="04A0" w:firstRow="1" w:lastRow="0" w:firstColumn="1" w:lastColumn="0" w:noHBand="0" w:noVBand="1"/>
      </w:tblPr>
      <w:tblGrid>
        <w:gridCol w:w="3402"/>
      </w:tblGrid>
      <w:tr>
        <w:trPr>
          <w:cnfStyle w:val="100000000000" w:firstRow="1" w:lastRow="0" w:firstColumn="0" w:lastColumn="0" w:oddVBand="0" w:evenVBand="0" w:oddHBand="0" w:evenHBand="0" w:firstRowFirstColumn="0" w:firstRowLastColumn="0" w:lastRowFirstColumn="0" w:lastRowLastColumn="0"/>
        </w:trPr>
        <w:tc>
          <w:tcPr>
            <w:tcW w:w="0" w:type="auto"/>
          </w:tcPr>
          <w:p>
            <w:pPr>
              <w:pStyle w:val="Kpalrs"/>
            </w:pPr>
            <w:bookmarkStart w:id="448" w:name="_Ref226041197"/>
            <w:r>
              <w:t xml:space="preserve">Exhibit </w:t>
            </w:r>
            <w:fldSimple w:instr=" STYLEREF 2 \s ">
              <w:r>
                <w:rPr>
                  <w:noProof/>
                </w:rPr>
                <w:t>5.4</w:t>
              </w:r>
            </w:fldSimple>
            <w:r>
              <w:t>.</w:t>
            </w:r>
            <w:fldSimple w:instr=" SEQ Exhibit \* ALPHABETIC \s 2 ">
              <w:r>
                <w:rPr>
                  <w:noProof/>
                </w:rPr>
                <w:t>C</w:t>
              </w:r>
            </w:fldSimple>
            <w:bookmarkEnd w:id="448"/>
            <w:r>
              <w:t>. space skipped due to feature</w:t>
            </w:r>
          </w:p>
        </w:tc>
      </w:tr>
      <w:tr>
        <w:tc>
          <w:tcPr>
            <w:tcW w:w="0" w:type="auto"/>
          </w:tcPr>
          <w:p>
            <w:pPr>
              <w:pStyle w:val="Image"/>
            </w:pPr>
            <w:r>
              <w:drawing>
                <wp:inline distT="0" distB="0" distL="0" distR="0">
                  <wp:extent cx="2081530" cy="1078230"/>
                  <wp:effectExtent l="0" t="0" r="0" b="7620"/>
                  <wp:docPr id="45"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081530" cy="1078230"/>
                          </a:xfrm>
                          <a:prstGeom prst="rect">
                            <a:avLst/>
                          </a:prstGeom>
                          <a:noFill/>
                          <a:ln>
                            <a:noFill/>
                          </a:ln>
                        </pic:spPr>
                      </pic:pic>
                    </a:graphicData>
                  </a:graphic>
                </wp:inline>
              </w:drawing>
            </w:r>
          </w:p>
        </w:tc>
      </w:tr>
      <w:tr>
        <w:tc>
          <w:tcPr>
            <w:tcW w:w="0" w:type="auto"/>
          </w:tcPr>
          <w:p>
            <w:pPr>
              <w:pStyle w:val="CodeParagraph"/>
            </w:pPr>
            <w:r>
              <w:rPr>
                <w:rStyle w:val="Code"/>
              </w:rPr>
              <w:t xml:space="preserve">&lt;space </w:t>
            </w:r>
            <w:r>
              <w:rPr>
                <w:rStyle w:val="Codeattribute"/>
              </w:rPr>
              <w:t>type</w:t>
            </w:r>
            <w:r>
              <w:rPr>
                <w:rStyle w:val="Code"/>
              </w:rPr>
              <w:t>=</w:t>
            </w:r>
            <w:r>
              <w:rPr>
                <w:rStyle w:val="Codevalue"/>
              </w:rPr>
              <w:t>"feature"</w:t>
            </w:r>
            <w:r>
              <w:rPr>
                <w:rStyle w:val="Code"/>
              </w:rPr>
              <w:t>/&gt;</w:t>
            </w:r>
          </w:p>
        </w:tc>
      </w:tr>
    </w:tbl>
    <w:p>
      <w:pPr>
        <w:pStyle w:val="Lista2"/>
      </w:pPr>
      <w:r>
        <w:rPr>
          <w:rStyle w:val="Codevalue"/>
        </w:rPr>
        <w:t>"feature"</w:t>
      </w:r>
      <w:r>
        <w:t xml:space="preserve"> for a deliberately created feature on the surface (such as engraved artwork, high relief, or a seal attached directly to a copper plate, excluding binding holes, ascenders and descenders covered above), as in </w:t>
      </w:r>
      <w:r>
        <w:fldChar w:fldCharType="begin"/>
      </w:r>
      <w:r>
        <w:instrText xml:space="preserve"> REF _Ref226041197 \h </w:instrText>
      </w:r>
      <w:r>
        <w:fldChar w:fldCharType="separate"/>
      </w:r>
      <w:r>
        <w:t xml:space="preserve">Exhibit </w:t>
      </w:r>
      <w:r>
        <w:rPr>
          <w:noProof/>
        </w:rPr>
        <w:t>5.4</w:t>
      </w:r>
      <w:r>
        <w:t>.</w:t>
      </w:r>
      <w:r>
        <w:rPr>
          <w:noProof/>
        </w:rPr>
        <w:t>C</w:t>
      </w:r>
      <w:r>
        <w:fldChar w:fldCharType="end"/>
      </w:r>
    </w:p>
    <w:p>
      <w:pPr>
        <w:pStyle w:val="Lista2"/>
      </w:pPr>
      <w:r>
        <w:rPr>
          <w:rStyle w:val="Codevalue"/>
        </w:rPr>
        <w:t>"defect"</w:t>
      </w:r>
      <w:r>
        <w:t xml:space="preserve"> for a blemish of the surface that was not deliberately created (such as a natural crack or pit, or a fault in the creation of the writing surface)</w:t>
      </w:r>
    </w:p>
    <w:p>
      <w:pPr>
        <w:pStyle w:val="Lista"/>
      </w:pPr>
      <w:r>
        <w:t xml:space="preserve">imposed spaces shall always be encoded without further attributes, i.e. never use </w:t>
      </w:r>
      <w:r>
        <w:rPr>
          <w:rStyle w:val="Codeattribute"/>
        </w:rPr>
        <w:t>@quantity</w:t>
      </w:r>
      <w:r>
        <w:t xml:space="preserve"> and </w:t>
      </w:r>
      <w:r>
        <w:rPr>
          <w:rStyle w:val="Codeattribute"/>
        </w:rPr>
        <w:t>@unit</w:t>
      </w:r>
      <w:r>
        <w:t xml:space="preserve"> to encode their size, because the size of such spaces is determined by factors extraneous to the text</w:t>
      </w:r>
    </w:p>
    <w:p>
      <w:pPr>
        <w:pStyle w:val="Lista2"/>
      </w:pPr>
      <w:r>
        <w:t>the location and size of large surface irregularities, whether or not you have encoded them as space elements, may be described in your layout description (briefly), your commentary (when you wish to discuss them at some length), or an apparatus note (to discuss a specific imposed space)</w:t>
      </w:r>
    </w:p>
    <w:p>
      <w:pPr>
        <w:pStyle w:val="Lista"/>
      </w:pPr>
      <w:r>
        <w:t>unlike other encoded spaces, imposed space will frequently occur within a word, in which case you should not surround the element with editorial spaces (§</w:t>
      </w:r>
      <w:r>
        <w:fldChar w:fldCharType="begin"/>
      </w:r>
      <w:r>
        <w:instrText xml:space="preserve"> REF _Ref183011230 \r \h </w:instrText>
      </w:r>
      <w:r>
        <w:fldChar w:fldCharType="separate"/>
      </w:r>
      <w:r>
        <w:t>5.4.4</w:t>
      </w:r>
      <w:r>
        <w:fldChar w:fldCharType="end"/>
      </w:r>
      <w:r>
        <w:t>)</w:t>
      </w:r>
    </w:p>
    <w:p>
      <w:pPr>
        <w:pStyle w:val="Lista"/>
        <w:rPr>
          <w:rFonts w:ascii="Arial" w:hAnsi="Arial" w:cs="Arial"/>
        </w:rPr>
      </w:pPr>
      <w:r>
        <w:t>when a single surface irregularity affects more than one line in this way, separately encode an imposed space for every affected line</w:t>
      </w:r>
    </w:p>
    <w:p>
      <w:pPr>
        <w:pStyle w:val="Lista2"/>
        <w:rPr>
          <w:rFonts w:ascii="Arial" w:hAnsi="Arial" w:cs="Arial"/>
        </w:rPr>
      </w:pPr>
      <w:r>
        <w:lastRenderedPageBreak/>
        <w:t>we use no explicit encoding for the fact that these interruptions are due to a single irregularity (but this may be mentioned in your annotation)</w:t>
      </w:r>
    </w:p>
    <w:p>
      <w:pPr>
        <w:pStyle w:val="Lista"/>
      </w:pPr>
      <w:bookmarkStart w:id="449" w:name="_mo8ye4cvqr4s" w:colFirst="0" w:colLast="0"/>
      <w:bookmarkEnd w:id="449"/>
      <w:r>
        <w:t>when encoding binding holes, keep in mind that the occasion for encoding is not the presence of a binding hole, but the fact that such a hole has obliged the engraver to skip horizontally, therefore</w:t>
      </w:r>
    </w:p>
    <w:p>
      <w:pPr>
        <w:pStyle w:val="Lista2"/>
      </w:pPr>
      <w:r>
        <w:t xml:space="preserve">do not encode a space for a hole that is fully outside a margin line </w:t>
      </w:r>
      <w:r>
        <w:rPr>
          <w:noProof/>
        </w:rPr>
        <w:t>(</w:t>
      </w:r>
      <w:r>
        <w:t xml:space="preserve">in the area surrounding the text field), as in </w:t>
      </w:r>
      <w:r>
        <w:fldChar w:fldCharType="begin"/>
      </w:r>
      <w:r>
        <w:instrText xml:space="preserve"> REF _Ref44063881 \h  \* MERGEFORMAT </w:instrText>
      </w:r>
      <w:r>
        <w:fldChar w:fldCharType="separate"/>
      </w:r>
      <w:r>
        <w:t xml:space="preserve">Exhibit </w:t>
      </w:r>
      <w:r>
        <w:rPr>
          <w:noProof/>
        </w:rPr>
        <w:t>5.4.D</w:t>
      </w:r>
      <w:r>
        <w:fldChar w:fldCharType="end"/>
      </w:r>
      <w:r>
        <w:t>/1</w:t>
      </w:r>
    </w:p>
    <w:p>
      <w:pPr>
        <w:pStyle w:val="Lista2"/>
      </w:pPr>
      <w:r>
        <w:t xml:space="preserve">do not encode a space for a hole that lies within the text field, but between lines, as in </w:t>
      </w:r>
      <w:r>
        <w:fldChar w:fldCharType="begin"/>
      </w:r>
      <w:r>
        <w:instrText xml:space="preserve"> REF _Ref44063881 \h  \* MERGEFORMAT </w:instrText>
      </w:r>
      <w:r>
        <w:fldChar w:fldCharType="separate"/>
      </w:r>
      <w:r>
        <w:t xml:space="preserve">Exhibit </w:t>
      </w:r>
      <w:r>
        <w:rPr>
          <w:noProof/>
        </w:rPr>
        <w:t>5.4.D</w:t>
      </w:r>
      <w:r>
        <w:fldChar w:fldCharType="end"/>
      </w:r>
      <w:r>
        <w:t>/2</w:t>
      </w:r>
    </w:p>
    <w:p>
      <w:pPr>
        <w:pStyle w:val="Lista3"/>
      </w:pPr>
      <w:r>
        <w:t>this applies even if lines above/below the hole bend, or if glyphs in those lines are distorted in order to accommodate the hole</w:t>
      </w:r>
    </w:p>
    <w:p>
      <w:pPr>
        <w:pStyle w:val="Lista2"/>
      </w:pPr>
      <w:r>
        <w:t xml:space="preserve">optionally encode a space for a hole that is on or within the margin line, causing one or more text lines to begin with an indent, as in </w:t>
      </w:r>
      <w:r>
        <w:fldChar w:fldCharType="begin"/>
      </w:r>
      <w:r>
        <w:instrText xml:space="preserve"> REF _Ref44063881 \h  \* MERGEFORMAT </w:instrText>
      </w:r>
      <w:r>
        <w:fldChar w:fldCharType="separate"/>
      </w:r>
      <w:r>
        <w:t xml:space="preserve">Exhibit </w:t>
      </w:r>
      <w:r>
        <w:rPr>
          <w:noProof/>
        </w:rPr>
        <w:t>5.4.D</w:t>
      </w:r>
      <w:r>
        <w:fldChar w:fldCharType="end"/>
      </w:r>
      <w:r>
        <w:t>/3</w:t>
      </w:r>
    </w:p>
    <w:p>
      <w:pPr>
        <w:pStyle w:val="Lista2"/>
      </w:pPr>
      <w:r>
        <w:t xml:space="preserve">preferably encode a space for a hole that is fully within the text field, interrupting one or more text lines, as in </w:t>
      </w:r>
      <w:r>
        <w:fldChar w:fldCharType="begin"/>
      </w:r>
      <w:r>
        <w:instrText xml:space="preserve"> REF _Ref44063881 \h  \* MERGEFORMAT </w:instrText>
      </w:r>
      <w:r>
        <w:fldChar w:fldCharType="separate"/>
      </w:r>
      <w:r>
        <w:t xml:space="preserve">Exhibit </w:t>
      </w:r>
      <w:r>
        <w:rPr>
          <w:noProof/>
        </w:rPr>
        <w:t>5.4.D</w:t>
      </w:r>
      <w:r>
        <w:fldChar w:fldCharType="end"/>
      </w:r>
      <w:r>
        <w:t>/4</w:t>
      </w:r>
    </w:p>
    <w:p>
      <w:pPr>
        <w:pStyle w:val="Lista3"/>
      </w:pPr>
      <w:r>
        <w:t xml:space="preserve">this applies to all lines that skip some space around the hole, even if the hole itself does not penetrate into the area where a line’s text could have been inscribed, as in </w:t>
      </w:r>
      <w:r>
        <w:fldChar w:fldCharType="begin"/>
      </w:r>
      <w:r>
        <w:instrText xml:space="preserve"> REF _Ref44063881 \h  \* MERGEFORMAT </w:instrText>
      </w:r>
      <w:r>
        <w:fldChar w:fldCharType="separate"/>
      </w:r>
      <w:r>
        <w:t xml:space="preserve">Exhibit </w:t>
      </w:r>
      <w:r>
        <w:rPr>
          <w:noProof/>
        </w:rPr>
        <w:t>5.4.D</w:t>
      </w:r>
      <w:r>
        <w:fldChar w:fldCharType="end"/>
      </w:r>
      <w:r>
        <w:t>/5</w:t>
      </w:r>
    </w:p>
    <w:tbl>
      <w:tblPr>
        <w:tblStyle w:val="CodeSampleTable"/>
        <w:tblW w:w="5000" w:type="pct"/>
        <w:tblLook w:val="04A0" w:firstRow="1" w:lastRow="0" w:firstColumn="1" w:lastColumn="0" w:noHBand="0" w:noVBand="1"/>
      </w:tblPr>
      <w:tblGrid>
        <w:gridCol w:w="1925"/>
        <w:gridCol w:w="1925"/>
        <w:gridCol w:w="1926"/>
        <w:gridCol w:w="1926"/>
        <w:gridCol w:w="1926"/>
      </w:tblGrid>
      <w:tr>
        <w:trPr>
          <w:cnfStyle w:val="100000000000" w:firstRow="1" w:lastRow="0" w:firstColumn="0" w:lastColumn="0" w:oddVBand="0" w:evenVBand="0" w:oddHBand="0" w:evenHBand="0" w:firstRowFirstColumn="0" w:firstRowLastColumn="0" w:lastRowFirstColumn="0" w:lastRowLastColumn="0"/>
        </w:trPr>
        <w:tc>
          <w:tcPr>
            <w:tcW w:w="5000" w:type="pct"/>
            <w:gridSpan w:val="5"/>
            <w:tcBorders>
              <w:bottom w:val="single" w:sz="4" w:space="0" w:color="auto"/>
            </w:tcBorders>
          </w:tcPr>
          <w:p>
            <w:pPr>
              <w:pStyle w:val="Kpalrs"/>
              <w:keepLines/>
            </w:pPr>
            <w:bookmarkStart w:id="450" w:name="_Ref44063881"/>
            <w:bookmarkStart w:id="451" w:name="_Ref44063878"/>
            <w:r>
              <w:t xml:space="preserve">Exhibit </w:t>
            </w:r>
            <w:fldSimple w:instr=" STYLEREF 2 \s ">
              <w:r>
                <w:rPr>
                  <w:noProof/>
                </w:rPr>
                <w:t>5.4</w:t>
              </w:r>
            </w:fldSimple>
            <w:r>
              <w:t>.</w:t>
            </w:r>
            <w:fldSimple w:instr=" SEQ Exhibit \* ALPHABETIC \s 2 ">
              <w:r>
                <w:rPr>
                  <w:noProof/>
                </w:rPr>
                <w:t>D</w:t>
              </w:r>
            </w:fldSimple>
            <w:bookmarkEnd w:id="450"/>
            <w:r>
              <w:t>: positions of a binding hole relative to text</w:t>
            </w:r>
            <w:bookmarkEnd w:id="451"/>
          </w:p>
        </w:tc>
      </w:tr>
      <w:tr>
        <w:tc>
          <w:tcPr>
            <w:tcW w:w="1000" w:type="pct"/>
            <w:tcBorders>
              <w:right w:val="single" w:sz="4" w:space="0" w:color="auto"/>
            </w:tcBorders>
            <w:vAlign w:val="center"/>
          </w:tcPr>
          <w:p>
            <w:pPr>
              <w:pStyle w:val="Tabletext"/>
              <w:keepNext/>
              <w:jc w:val="center"/>
            </w:pPr>
            <w:r>
              <w:t>1</w:t>
            </w:r>
          </w:p>
        </w:tc>
        <w:tc>
          <w:tcPr>
            <w:tcW w:w="1000" w:type="pct"/>
            <w:tcBorders>
              <w:left w:val="single" w:sz="4" w:space="0" w:color="auto"/>
              <w:right w:val="single" w:sz="4" w:space="0" w:color="auto"/>
            </w:tcBorders>
            <w:vAlign w:val="center"/>
          </w:tcPr>
          <w:p>
            <w:pPr>
              <w:pStyle w:val="Tabletext"/>
              <w:keepNext/>
              <w:jc w:val="center"/>
            </w:pPr>
            <w:r>
              <w:t>2</w:t>
            </w:r>
          </w:p>
        </w:tc>
        <w:tc>
          <w:tcPr>
            <w:tcW w:w="1000" w:type="pct"/>
            <w:tcBorders>
              <w:left w:val="single" w:sz="4" w:space="0" w:color="auto"/>
              <w:right w:val="single" w:sz="4" w:space="0" w:color="auto"/>
            </w:tcBorders>
            <w:vAlign w:val="center"/>
          </w:tcPr>
          <w:p>
            <w:pPr>
              <w:pStyle w:val="Tabletext"/>
              <w:keepNext/>
              <w:jc w:val="center"/>
            </w:pPr>
            <w:r>
              <w:t>3</w:t>
            </w:r>
          </w:p>
        </w:tc>
        <w:tc>
          <w:tcPr>
            <w:tcW w:w="1000" w:type="pct"/>
            <w:tcBorders>
              <w:left w:val="single" w:sz="4" w:space="0" w:color="auto"/>
              <w:right w:val="single" w:sz="4" w:space="0" w:color="auto"/>
            </w:tcBorders>
            <w:vAlign w:val="center"/>
          </w:tcPr>
          <w:p>
            <w:pPr>
              <w:pStyle w:val="Tabletext"/>
              <w:keepNext/>
              <w:jc w:val="center"/>
            </w:pPr>
            <w:r>
              <w:t>4</w:t>
            </w:r>
          </w:p>
        </w:tc>
        <w:tc>
          <w:tcPr>
            <w:tcW w:w="1000" w:type="pct"/>
            <w:tcBorders>
              <w:left w:val="single" w:sz="4" w:space="0" w:color="auto"/>
            </w:tcBorders>
          </w:tcPr>
          <w:p>
            <w:pPr>
              <w:pStyle w:val="Tabletext"/>
              <w:keepNext/>
              <w:jc w:val="center"/>
            </w:pPr>
            <w:r>
              <w:t>5</w:t>
            </w:r>
          </w:p>
        </w:tc>
      </w:tr>
      <w:tr>
        <w:tc>
          <w:tcPr>
            <w:tcW w:w="1000" w:type="pct"/>
            <w:tcBorders>
              <w:right w:val="single" w:sz="4" w:space="0" w:color="auto"/>
            </w:tcBorders>
            <w:vAlign w:val="center"/>
          </w:tcPr>
          <w:p>
            <w:pPr>
              <w:pStyle w:val="Image"/>
              <w:keepNext w:val="0"/>
            </w:pPr>
            <w:r>
              <w:drawing>
                <wp:inline distT="0" distB="0" distL="0" distR="0">
                  <wp:extent cx="1170000" cy="990000"/>
                  <wp:effectExtent l="0" t="0" r="0" b="635"/>
                  <wp:docPr id="49" name="Kép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170000" cy="990000"/>
                          </a:xfrm>
                          <a:prstGeom prst="rect">
                            <a:avLst/>
                          </a:prstGeom>
                          <a:noFill/>
                          <a:ln>
                            <a:noFill/>
                          </a:ln>
                        </pic:spPr>
                      </pic:pic>
                    </a:graphicData>
                  </a:graphic>
                </wp:inline>
              </w:drawing>
            </w:r>
          </w:p>
        </w:tc>
        <w:tc>
          <w:tcPr>
            <w:tcW w:w="1000" w:type="pct"/>
            <w:tcBorders>
              <w:left w:val="single" w:sz="4" w:space="0" w:color="auto"/>
              <w:right w:val="single" w:sz="4" w:space="0" w:color="auto"/>
            </w:tcBorders>
            <w:vAlign w:val="center"/>
          </w:tcPr>
          <w:p>
            <w:pPr>
              <w:pStyle w:val="Image"/>
              <w:keepNext w:val="0"/>
            </w:pPr>
            <w:r>
              <w:drawing>
                <wp:inline distT="0" distB="0" distL="0" distR="0">
                  <wp:extent cx="1170000" cy="990000"/>
                  <wp:effectExtent l="0" t="0" r="0" b="635"/>
                  <wp:docPr id="51" name="Kép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170000" cy="990000"/>
                          </a:xfrm>
                          <a:prstGeom prst="rect">
                            <a:avLst/>
                          </a:prstGeom>
                          <a:noFill/>
                          <a:ln>
                            <a:noFill/>
                          </a:ln>
                        </pic:spPr>
                      </pic:pic>
                    </a:graphicData>
                  </a:graphic>
                </wp:inline>
              </w:drawing>
            </w:r>
          </w:p>
        </w:tc>
        <w:tc>
          <w:tcPr>
            <w:tcW w:w="1000" w:type="pct"/>
            <w:tcBorders>
              <w:left w:val="single" w:sz="4" w:space="0" w:color="auto"/>
              <w:right w:val="single" w:sz="4" w:space="0" w:color="auto"/>
            </w:tcBorders>
            <w:vAlign w:val="center"/>
          </w:tcPr>
          <w:p>
            <w:pPr>
              <w:pStyle w:val="Image"/>
              <w:keepNext w:val="0"/>
            </w:pPr>
            <w:r>
              <w:drawing>
                <wp:inline distT="0" distB="0" distL="0" distR="0">
                  <wp:extent cx="1170000" cy="990000"/>
                  <wp:effectExtent l="0" t="0" r="0" b="635"/>
                  <wp:docPr id="53"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170000" cy="990000"/>
                          </a:xfrm>
                          <a:prstGeom prst="rect">
                            <a:avLst/>
                          </a:prstGeom>
                          <a:noFill/>
                          <a:ln>
                            <a:noFill/>
                          </a:ln>
                        </pic:spPr>
                      </pic:pic>
                    </a:graphicData>
                  </a:graphic>
                </wp:inline>
              </w:drawing>
            </w:r>
          </w:p>
        </w:tc>
        <w:tc>
          <w:tcPr>
            <w:tcW w:w="1000" w:type="pct"/>
            <w:tcBorders>
              <w:left w:val="single" w:sz="4" w:space="0" w:color="auto"/>
              <w:right w:val="single" w:sz="4" w:space="0" w:color="auto"/>
            </w:tcBorders>
            <w:vAlign w:val="center"/>
          </w:tcPr>
          <w:p>
            <w:pPr>
              <w:pStyle w:val="Image"/>
              <w:keepNext w:val="0"/>
            </w:pPr>
            <w:r>
              <w:drawing>
                <wp:inline distT="0" distB="0" distL="0" distR="0">
                  <wp:extent cx="1170000" cy="990000"/>
                  <wp:effectExtent l="0" t="0" r="0" b="635"/>
                  <wp:docPr id="54" name="Kép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170000" cy="990000"/>
                          </a:xfrm>
                          <a:prstGeom prst="rect">
                            <a:avLst/>
                          </a:prstGeom>
                          <a:noFill/>
                          <a:ln>
                            <a:noFill/>
                          </a:ln>
                        </pic:spPr>
                      </pic:pic>
                    </a:graphicData>
                  </a:graphic>
                </wp:inline>
              </w:drawing>
            </w:r>
          </w:p>
        </w:tc>
        <w:tc>
          <w:tcPr>
            <w:tcW w:w="1000" w:type="pct"/>
            <w:tcBorders>
              <w:left w:val="single" w:sz="4" w:space="0" w:color="auto"/>
            </w:tcBorders>
          </w:tcPr>
          <w:p>
            <w:pPr>
              <w:pStyle w:val="Image"/>
              <w:keepNext w:val="0"/>
            </w:pPr>
            <w:r>
              <w:drawing>
                <wp:inline distT="0" distB="0" distL="0" distR="0">
                  <wp:extent cx="1170000" cy="990000"/>
                  <wp:effectExtent l="0" t="0" r="0" b="635"/>
                  <wp:docPr id="56"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170000" cy="990000"/>
                          </a:xfrm>
                          <a:prstGeom prst="rect">
                            <a:avLst/>
                          </a:prstGeom>
                          <a:noFill/>
                          <a:ln>
                            <a:noFill/>
                          </a:ln>
                        </pic:spPr>
                      </pic:pic>
                    </a:graphicData>
                  </a:graphic>
                </wp:inline>
              </w:drawing>
            </w:r>
          </w:p>
        </w:tc>
      </w:tr>
    </w:tbl>
    <w:p/>
    <w:p>
      <w:pPr>
        <w:pStyle w:val="Cmsor4"/>
      </w:pPr>
      <w:bookmarkStart w:id="452" w:name="_4ie6uwnthfaw" w:colFirst="0" w:colLast="0"/>
      <w:bookmarkStart w:id="453" w:name="_9qk9995s9cyz" w:colFirst="0" w:colLast="0"/>
      <w:bookmarkStart w:id="454" w:name="_Ref63674539"/>
      <w:bookmarkStart w:id="455" w:name="_Ref43985257"/>
      <w:bookmarkEnd w:id="452"/>
      <w:bookmarkEnd w:id="453"/>
      <w:r>
        <w:t>Unclassified space</w:t>
      </w:r>
      <w:bookmarkEnd w:id="454"/>
    </w:p>
    <w:p>
      <w:r>
        <w:t>This subsection concerns spaces which may be deemed significant even though they cannot be assigned to any of the types dealt with above.</w:t>
      </w:r>
    </w:p>
    <w:p>
      <w:pPr>
        <w:pStyle w:val="Lista"/>
      </w:pPr>
      <w:r>
        <w:t>spaces may, for instance, be unclassified because</w:t>
      </w:r>
    </w:p>
    <w:p>
      <w:pPr>
        <w:pStyle w:val="Lista2"/>
      </w:pPr>
      <w:r>
        <w:t>working without access to a good surrogate, you cannot decide if any of the classes apply, or</w:t>
      </w:r>
    </w:p>
    <w:p>
      <w:pPr>
        <w:pStyle w:val="Lista2"/>
      </w:pPr>
      <w:r>
        <w:t>none of these types correspond closely enough to your hypothesis of why the space is present</w:t>
      </w:r>
    </w:p>
    <w:p>
      <w:pPr>
        <w:pStyle w:val="Lista"/>
      </w:pPr>
      <w:r>
        <w:t xml:space="preserve">unclassified spaces shall be encoded using </w:t>
      </w:r>
      <w:r>
        <w:rPr>
          <w:rStyle w:val="Code"/>
        </w:rPr>
        <w:t>&lt;space/&gt;</w:t>
      </w:r>
      <w:r>
        <w:t xml:space="preserve"> with </w:t>
      </w:r>
      <w:r>
        <w:rPr>
          <w:rStyle w:val="Codeattribute"/>
        </w:rPr>
        <w:t>@type</w:t>
      </w:r>
      <w:r>
        <w:rPr>
          <w:rStyle w:val="Code"/>
        </w:rPr>
        <w:t>=</w:t>
      </w:r>
      <w:r>
        <w:rPr>
          <w:rStyle w:val="Codevalue"/>
        </w:rPr>
        <w:t>"unclassified"</w:t>
      </w:r>
    </w:p>
    <w:p>
      <w:pPr>
        <w:pStyle w:val="Lista2"/>
      </w:pPr>
      <w:r>
        <w:t>add no further attributes for normal-sized spaces</w:t>
      </w:r>
    </w:p>
    <w:p>
      <w:pPr>
        <w:pStyle w:val="Lista2"/>
      </w:pPr>
      <w:r>
        <w:t>for larger spaces, encode size as per §</w:t>
      </w:r>
      <w:r>
        <w:fldChar w:fldCharType="begin"/>
      </w:r>
      <w:r>
        <w:instrText xml:space="preserve"> REF _Ref183008428 \r \h </w:instrText>
      </w:r>
      <w:r>
        <w:fldChar w:fldCharType="separate"/>
      </w:r>
      <w:r>
        <w:t>5.4.2.4</w:t>
      </w:r>
      <w:r>
        <w:fldChar w:fldCharType="end"/>
      </w:r>
    </w:p>
    <w:p>
      <w:pPr>
        <w:pStyle w:val="Cmsor4"/>
      </w:pPr>
      <w:bookmarkStart w:id="456" w:name="_Ref227835279"/>
      <w:bookmarkStart w:id="457" w:name="_Ref183008428"/>
      <w:bookmarkStart w:id="458" w:name="_Ref182216826"/>
      <w:r>
        <w:t>Layout spacing</w:t>
      </w:r>
      <w:bookmarkEnd w:id="456"/>
    </w:p>
    <w:p>
      <w:r>
        <w:t>Space left blank in a document for the sake of visual layout should not, as a rule, be marked up as space. Such features should be mentioned in the annotation, and may be represented through encoding as follows:</w:t>
      </w:r>
    </w:p>
    <w:p>
      <w:pPr>
        <w:pStyle w:val="Lista"/>
      </w:pPr>
      <w:r>
        <w:t xml:space="preserve">for </w:t>
      </w:r>
      <w:r>
        <w:rPr>
          <w:b/>
          <w:bCs/>
        </w:rPr>
        <w:t>inline layout blanks</w:t>
      </w:r>
      <w:r>
        <w:t>: optionally encode specially aligned lines as per §</w:t>
      </w:r>
      <w:r>
        <w:fldChar w:fldCharType="begin"/>
      </w:r>
      <w:r>
        <w:instrText xml:space="preserve"> REF _Ref43987598 \r \h </w:instrText>
      </w:r>
      <w:r>
        <w:fldChar w:fldCharType="separate"/>
      </w:r>
      <w:r>
        <w:t>8.5.1</w:t>
      </w:r>
      <w:r>
        <w:fldChar w:fldCharType="end"/>
      </w:r>
      <w:r>
        <w:t xml:space="preserve"> when spaces appear</w:t>
      </w:r>
    </w:p>
    <w:p>
      <w:pPr>
        <w:pStyle w:val="Lista2"/>
      </w:pPr>
      <w:r>
        <w:t>at the end of a line that begins flush with the left margin</w:t>
      </w:r>
    </w:p>
    <w:p>
      <w:pPr>
        <w:pStyle w:val="Lista2"/>
      </w:pPr>
      <w:r>
        <w:t>at the beginning of a line that ends flush with the right margin</w:t>
      </w:r>
    </w:p>
    <w:p>
      <w:pPr>
        <w:pStyle w:val="Lista2"/>
      </w:pPr>
      <w:r>
        <w:t>at the beginning and end of a line that is centred between the two margins</w:t>
      </w:r>
    </w:p>
    <w:p>
      <w:pPr>
        <w:pStyle w:val="Lista2"/>
      </w:pPr>
      <w:r>
        <w:t>between words or glyphs throughout a line that is justified to both margins</w:t>
      </w:r>
    </w:p>
    <w:p>
      <w:pPr>
        <w:pStyle w:val="Lista"/>
      </w:pPr>
      <w:r>
        <w:t xml:space="preserve">for </w:t>
      </w:r>
      <w:r>
        <w:rPr>
          <w:b/>
          <w:bCs/>
        </w:rPr>
        <w:t>blank areas between lines</w:t>
      </w:r>
      <w:r>
        <w:t>: by default encode nothing</w:t>
      </w:r>
    </w:p>
    <w:p>
      <w:pPr>
        <w:pStyle w:val="Lista2"/>
      </w:pPr>
      <w:r>
        <w:t xml:space="preserve">create no </w:t>
      </w:r>
      <w:r>
        <w:rPr>
          <w:rStyle w:val="Code"/>
        </w:rPr>
        <w:t>&lt;lb/&gt;</w:t>
      </w:r>
      <w:r>
        <w:t xml:space="preserve"> elements for empty lines and insert no </w:t>
      </w:r>
      <w:r>
        <w:rPr>
          <w:rStyle w:val="Code"/>
        </w:rPr>
        <w:t>&lt;space/&gt;</w:t>
      </w:r>
      <w:r>
        <w:t xml:space="preserve"> elements to represent them</w:t>
      </w:r>
    </w:p>
    <w:p>
      <w:pPr>
        <w:pStyle w:val="Lista2"/>
      </w:pPr>
      <w:r>
        <w:t>the regular line spacing and any deviations from it should be described for human readers in the layout description</w:t>
      </w:r>
    </w:p>
    <w:p>
      <w:pPr>
        <w:pStyle w:val="Lista2"/>
      </w:pPr>
      <w:r>
        <w:t>opening passages (incipits) separated by space from the body of an inscription may be given special line numbers as per §</w:t>
      </w:r>
      <w:r>
        <w:fldChar w:fldCharType="begin"/>
      </w:r>
      <w:r>
        <w:instrText xml:space="preserve"> REF _Ref43978135 \r \h </w:instrText>
      </w:r>
      <w:r>
        <w:fldChar w:fldCharType="separate"/>
      </w:r>
      <w:r>
        <w:t>4.7.1.1</w:t>
      </w:r>
      <w:r>
        <w:fldChar w:fldCharType="end"/>
      </w:r>
    </w:p>
    <w:p>
      <w:pPr>
        <w:pStyle w:val="Lista"/>
      </w:pPr>
      <w:r>
        <w:t xml:space="preserve">for </w:t>
      </w:r>
      <w:r>
        <w:rPr>
          <w:b/>
          <w:bCs/>
        </w:rPr>
        <w:t>blank pages in copper plates</w:t>
      </w:r>
      <w:r>
        <w:t xml:space="preserve">: encode </w:t>
      </w:r>
      <w:r>
        <w:rPr>
          <w:rStyle w:val="Code"/>
        </w:rPr>
        <w:t>&lt;pb/&gt;</w:t>
      </w:r>
      <w:r>
        <w:t xml:space="preserve"> elements for each page as per §</w:t>
      </w:r>
      <w:r>
        <w:fldChar w:fldCharType="begin"/>
      </w:r>
      <w:r>
        <w:instrText xml:space="preserve"> REF _Ref182318940 \r \h </w:instrText>
      </w:r>
      <w:r>
        <w:fldChar w:fldCharType="separate"/>
      </w:r>
      <w:r>
        <w:t>4.4.2.2</w:t>
      </w:r>
      <w:r>
        <w:fldChar w:fldCharType="end"/>
      </w:r>
      <w:r>
        <w:t xml:space="preserve">, but insert no </w:t>
      </w:r>
      <w:r>
        <w:rPr>
          <w:rStyle w:val="Code"/>
        </w:rPr>
        <w:t>&lt;space/&gt;</w:t>
      </w:r>
      <w:r>
        <w:t xml:space="preserve"> elements to represent their content</w:t>
      </w:r>
    </w:p>
    <w:p>
      <w:pPr>
        <w:pStyle w:val="Cmsor3"/>
      </w:pPr>
      <w:bookmarkStart w:id="459" w:name="_Toc242976634"/>
      <w:r>
        <w:lastRenderedPageBreak/>
        <w:t>The size of spaces</w:t>
      </w:r>
      <w:bookmarkEnd w:id="457"/>
      <w:bookmarkEnd w:id="459"/>
    </w:p>
    <w:p>
      <w:pPr>
        <w:pStyle w:val="Lista"/>
      </w:pPr>
      <w:r>
        <w:t xml:space="preserve">to encode the size of a space, add both of the following attributes to the </w:t>
      </w:r>
      <w:r>
        <w:rPr>
          <w:rStyle w:val="Code"/>
        </w:rPr>
        <w:t>&lt;space/&gt;</w:t>
      </w:r>
      <w:r>
        <w:t xml:space="preserve"> element</w:t>
      </w:r>
    </w:p>
    <w:p>
      <w:pPr>
        <w:pStyle w:val="Lista2"/>
      </w:pPr>
      <w:r>
        <w:rPr>
          <w:rStyle w:val="Codeattribute"/>
        </w:rPr>
        <w:t>@quantity</w:t>
      </w:r>
      <w:r>
        <w:t xml:space="preserve">, whose value shall be the width of the space given as the number of characters that could fit into it </w:t>
      </w:r>
      <w:r>
        <w:rPr>
          <w:noProof/>
        </w:rPr>
        <w:t>(</w:t>
      </w:r>
      <w:r>
        <w:t xml:space="preserve">i.e., the number of widths of an average </w:t>
      </w:r>
      <w:r>
        <w:rPr>
          <w:rStyle w:val="Foreign"/>
        </w:rPr>
        <w:t>akṣara</w:t>
      </w:r>
      <w:r>
        <w:t>)</w:t>
      </w:r>
    </w:p>
    <w:p>
      <w:pPr>
        <w:pStyle w:val="Lista3"/>
      </w:pPr>
      <w:r>
        <w:t>this quantity is always understood to be approximate</w:t>
      </w:r>
    </w:p>
    <w:p>
      <w:pPr>
        <w:pStyle w:val="Lista2"/>
      </w:pPr>
      <w:r>
        <w:rPr>
          <w:rStyle w:val="Codeattribute"/>
        </w:rPr>
        <w:t>@unit</w:t>
      </w:r>
      <w:r>
        <w:t xml:space="preserve">, with the value </w:t>
      </w:r>
      <w:r>
        <w:rPr>
          <w:rStyle w:val="Codevalue"/>
        </w:rPr>
        <w:t>"character"</w:t>
      </w:r>
    </w:p>
    <w:p>
      <w:pPr>
        <w:pStyle w:val="Lista3"/>
      </w:pPr>
      <w:r>
        <w:t>our encoding does not use any other units for the size of spaces</w:t>
      </w:r>
    </w:p>
    <w:p>
      <w:pPr>
        <w:pStyle w:val="Lista"/>
      </w:pPr>
      <w:r>
        <w:t xml:space="preserve">when these attributes are not present, </w:t>
      </w:r>
      <w:r>
        <w:rPr>
          <w:rStyle w:val="Code"/>
        </w:rPr>
        <w:t>&lt;space/&gt;</w:t>
      </w:r>
      <w:r>
        <w:t xml:space="preserve"> is by default understood to represent a “normal” space such as that found between two words, which usually has a breadth no larger than two average characters</w:t>
      </w:r>
    </w:p>
    <w:p>
      <w:pPr>
        <w:pStyle w:val="Lista2"/>
      </w:pPr>
      <w:r>
        <w:t>it is therefore not necessary to explicitly encode the size of normal spaces</w:t>
      </w:r>
    </w:p>
    <w:p>
      <w:pPr>
        <w:pStyle w:val="Cmsor3"/>
      </w:pPr>
      <w:bookmarkStart w:id="460" w:name="_Ref183011230"/>
      <w:bookmarkStart w:id="461" w:name="_Ref227836913"/>
      <w:bookmarkStart w:id="462" w:name="_Ref183012048"/>
      <w:bookmarkStart w:id="463" w:name="_Toc242976635"/>
      <w:r>
        <w:t xml:space="preserve">Spaces </w:t>
      </w:r>
      <w:bookmarkEnd w:id="460"/>
      <w:r>
        <w:t>and their context</w:t>
      </w:r>
      <w:bookmarkEnd w:id="461"/>
      <w:bookmarkEnd w:id="463"/>
    </w:p>
    <w:p>
      <w:pPr>
        <w:pStyle w:val="Lista"/>
        <w:rPr>
          <w:lang w:eastAsia="en-US" w:bidi="ar-SA"/>
        </w:rPr>
      </w:pPr>
      <w:r>
        <w:t xml:space="preserve">the element </w:t>
      </w:r>
      <w:r>
        <w:rPr>
          <w:rStyle w:val="Code"/>
        </w:rPr>
        <w:t>&lt;space/&gt;</w:t>
      </w:r>
      <w:r>
        <w:t xml:space="preserve"> should normally be separated from surrounding text by editorial spaces in your file, except:</w:t>
      </w:r>
    </w:p>
    <w:p>
      <w:pPr>
        <w:pStyle w:val="Lista2"/>
        <w:rPr>
          <w:lang w:eastAsia="en-US" w:bidi="ar-SA"/>
        </w:rPr>
      </w:pPr>
      <w:r>
        <w:t xml:space="preserve">if a </w:t>
      </w:r>
      <w:r>
        <w:rPr>
          <w:rStyle w:val="Code"/>
        </w:rPr>
        <w:t>&lt;space/&gt;</w:t>
      </w:r>
      <w:r>
        <w:t xml:space="preserve"> occurs within a word of the text, no spaces must be added around the element; see §</w:t>
      </w:r>
      <w:r>
        <w:fldChar w:fldCharType="begin"/>
      </w:r>
      <w:r>
        <w:instrText xml:space="preserve"> REF _Ref43984944 \w \h  \* MERGEFORMAT </w:instrText>
      </w:r>
      <w:r>
        <w:fldChar w:fldCharType="separate"/>
      </w:r>
      <w:r>
        <w:t>7.8.1</w:t>
      </w:r>
      <w:r>
        <w:fldChar w:fldCharType="end"/>
      </w:r>
      <w:r>
        <w:t xml:space="preserve"> for more details.</w:t>
      </w:r>
    </w:p>
    <w:p>
      <w:pPr>
        <w:pStyle w:val="Lista3"/>
        <w:rPr>
          <w:lang w:eastAsia="en-US" w:bidi="ar-SA"/>
        </w:rPr>
      </w:pPr>
      <w:r>
        <w:rPr>
          <w:lang w:eastAsia="en-US" w:bidi="ar-SA"/>
        </w:rPr>
        <w:t>there is no explicit encoding for the fact that a space interrupts a word</w:t>
      </w:r>
    </w:p>
    <w:p>
      <w:pPr>
        <w:pStyle w:val="Lista2"/>
        <w:rPr>
          <w:lang w:eastAsia="en-US" w:bidi="ar-SA"/>
        </w:rPr>
      </w:pPr>
      <w:r>
        <w:t xml:space="preserve">if a </w:t>
      </w:r>
      <w:r>
        <w:rPr>
          <w:rStyle w:val="Code"/>
        </w:rPr>
        <w:t>&lt;space/&gt;</w:t>
      </w:r>
      <w:r>
        <w:t xml:space="preserve"> occurs at the boundary (beginning or end) of a structural container, do not add a space between the containing element’s tag and the </w:t>
      </w:r>
      <w:r>
        <w:rPr>
          <w:rStyle w:val="Code"/>
        </w:rPr>
        <w:t>&lt;space/&gt;</w:t>
      </w:r>
      <w:r>
        <w:t xml:space="preserve"> element</w:t>
      </w:r>
    </w:p>
    <w:p>
      <w:pPr>
        <w:pStyle w:val="Lista"/>
      </w:pPr>
      <w:r>
        <w:t>if a space appears in lieu of punctuation at the boundary of two block-level containers for intrinsic structure (§</w:t>
      </w:r>
      <w:r>
        <w:fldChar w:fldCharType="begin"/>
      </w:r>
      <w:r>
        <w:instrText xml:space="preserve"> REF _Ref43978632 \r \h </w:instrText>
      </w:r>
      <w:r>
        <w:fldChar w:fldCharType="separate"/>
      </w:r>
      <w:r>
        <w:t>3</w:t>
      </w:r>
      <w:r>
        <w:fldChar w:fldCharType="end"/>
      </w:r>
      <w:r>
        <w:t>), allocate it to the end of the earlier container unless you strongly feel that it belongs to the beginning of the latter container</w:t>
      </w:r>
    </w:p>
    <w:p>
      <w:pPr>
        <w:pStyle w:val="Lista"/>
      </w:pPr>
      <w:r>
        <w:t xml:space="preserve">as a special case, spaces may appear at an </w:t>
      </w:r>
      <w:r>
        <w:rPr>
          <w:rStyle w:val="Foreign"/>
        </w:rPr>
        <w:t>akṣara</w:t>
      </w:r>
      <w:r>
        <w:t xml:space="preserve"> boundary next to, but not coincident with, a word boundary (which would fall within the </w:t>
      </w:r>
      <w:r>
        <w:rPr>
          <w:rStyle w:val="Foreign"/>
        </w:rPr>
        <w:t>akṣara</w:t>
      </w:r>
      <w:r>
        <w:t>)</w:t>
      </w:r>
    </w:p>
    <w:p>
      <w:pPr>
        <w:pStyle w:val="Lista2"/>
      </w:pPr>
      <w:r>
        <w:t>such spaces must always be represented in the transliterated text at their actual location (and thus without editorial spacing)</w:t>
      </w:r>
    </w:p>
    <w:p>
      <w:pPr>
        <w:pStyle w:val="Lista2"/>
      </w:pPr>
      <w:r>
        <w:t>however, it is recommended that you flag this as non-standard usage and optionally also normalise the text (§</w:t>
      </w:r>
      <w:r>
        <w:fldChar w:fldCharType="begin"/>
      </w:r>
      <w:r>
        <w:instrText xml:space="preserve"> REF _Ref43978565 \r \h </w:instrText>
      </w:r>
      <w:r>
        <w:fldChar w:fldCharType="separate"/>
      </w:r>
      <w:r>
        <w:t>7</w:t>
      </w:r>
      <w:r>
        <w:fldChar w:fldCharType="end"/>
      </w:r>
      <w:r>
        <w:t xml:space="preserve">) by restoring the symbol at the word boundary and changing the sandhi and editorial spacing as applicable, as in </w:t>
      </w:r>
      <w:r>
        <w:fldChar w:fldCharType="begin"/>
      </w:r>
      <w:r>
        <w:instrText xml:space="preserve"> REF _Ref227838262 \h </w:instrText>
      </w:r>
      <w:r>
        <w:fldChar w:fldCharType="separate"/>
      </w:r>
      <w:r>
        <w:t xml:space="preserve">Exhibit </w:t>
      </w:r>
      <w:r>
        <w:rPr>
          <w:noProof/>
        </w:rPr>
        <w:t>5.4</w:t>
      </w:r>
      <w:r>
        <w:t>.</w:t>
      </w:r>
      <w:r>
        <w:rPr>
          <w:noProof/>
        </w:rPr>
        <w:t>E</w:t>
      </w:r>
      <w:r>
        <w:fldChar w:fldCharType="end"/>
      </w:r>
    </w:p>
    <w:p>
      <w:pPr>
        <w:pStyle w:val="Lista2"/>
      </w:pPr>
      <w:r>
        <w:t>when this happens at the end of a container element such as a verse line, encode the container boundary at its logical place (§</w:t>
      </w:r>
      <w:r>
        <w:fldChar w:fldCharType="begin"/>
      </w:r>
      <w:r>
        <w:instrText xml:space="preserve"> REF _Ref225328264 \r \h </w:instrText>
      </w:r>
      <w:r>
        <w:fldChar w:fldCharType="separate"/>
      </w:r>
      <w:r>
        <w:t>3.2.4.1</w:t>
      </w:r>
      <w:r>
        <w:fldChar w:fldCharType="end"/>
      </w:r>
      <w:r>
        <w:t xml:space="preserve">), disregarding the </w:t>
      </w:r>
      <w:r>
        <w:rPr>
          <w:rStyle w:val="Foreign"/>
        </w:rPr>
        <w:t>akṣara</w:t>
      </w:r>
      <w:r>
        <w:t xml:space="preserve"> boundary and the symbol</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464" w:name="_Ref227838262"/>
            <w:r>
              <w:t xml:space="preserve">Exhibit </w:t>
            </w:r>
            <w:fldSimple w:instr=" STYLEREF 2 \s ">
              <w:r>
                <w:rPr>
                  <w:noProof/>
                </w:rPr>
                <w:t>5.4</w:t>
              </w:r>
            </w:fldSimple>
            <w:r>
              <w:t>.</w:t>
            </w:r>
            <w:fldSimple w:instr=" SEQ Exhibit \* ALPHABETIC \s 2 ">
              <w:r>
                <w:rPr>
                  <w:noProof/>
                </w:rPr>
                <w:t>E</w:t>
              </w:r>
            </w:fldSimple>
            <w:bookmarkEnd w:id="464"/>
            <w:r>
              <w:t xml:space="preserve">: space at </w:t>
            </w:r>
            <w:r>
              <w:rPr>
                <w:rStyle w:val="Foreign"/>
              </w:rPr>
              <w:t>akṣara</w:t>
            </w:r>
            <w:r>
              <w:t xml:space="preserve"> boundary rather than word boundary</w:t>
            </w:r>
          </w:p>
        </w:tc>
      </w:tr>
      <w:tr>
        <w:tc>
          <w:tcPr>
            <w:tcW w:w="5000" w:type="pct"/>
          </w:tcPr>
          <w:p>
            <w:pPr>
              <w:pStyle w:val="TableNote"/>
              <w:rPr>
                <w:rFonts w:ascii="Consolas" w:hAnsi="Consolas" w:cs="Consolas"/>
                <w:noProof/>
                <w:color w:val="000000" w:themeColor="text1"/>
                <w:shd w:val="clear" w:color="auto" w:fill="F2F2F2" w:themeFill="background1" w:themeFillShade="F2"/>
              </w:rPr>
            </w:pPr>
            <w:r>
              <w:t xml:space="preserve">original: </w:t>
            </w:r>
            <w:r>
              <w:rPr>
                <w:rStyle w:val="Code"/>
              </w:rPr>
              <w:t xml:space="preserve">&lt;l </w:t>
            </w:r>
            <w:r>
              <w:rPr>
                <w:rStyle w:val="Codeattribute"/>
              </w:rPr>
              <w:t>n</w:t>
            </w:r>
            <w:r>
              <w:rPr>
                <w:rStyle w:val="Codetext"/>
              </w:rPr>
              <w:t>=</w:t>
            </w:r>
            <w:r>
              <w:rPr>
                <w:rStyle w:val="Codevalue"/>
              </w:rPr>
              <w:t>"a"</w:t>
            </w:r>
            <w:r>
              <w:rPr>
                <w:rStyle w:val="Code"/>
              </w:rPr>
              <w:t>&gt;</w:t>
            </w:r>
            <w:r>
              <w:rPr>
                <w:rStyle w:val="Codetext"/>
              </w:rPr>
              <w:t>jayatīndrādidevāsya</w:t>
            </w:r>
            <w:r>
              <w:rPr>
                <w:rStyle w:val="Code"/>
              </w:rPr>
              <w:t xml:space="preserve">&lt;space/&gt;ś&lt;/l&gt;&lt;l </w:t>
            </w:r>
            <w:r>
              <w:rPr>
                <w:rStyle w:val="Codeattribute"/>
              </w:rPr>
              <w:t>n</w:t>
            </w:r>
            <w:r>
              <w:rPr>
                <w:rStyle w:val="Codetext"/>
              </w:rPr>
              <w:t>=</w:t>
            </w:r>
            <w:r>
              <w:rPr>
                <w:rStyle w:val="Codevalue"/>
              </w:rPr>
              <w:t>"b"</w:t>
            </w:r>
            <w:r>
              <w:rPr>
                <w:rStyle w:val="Code"/>
              </w:rPr>
              <w:t>&gt;</w:t>
            </w:r>
            <w:r>
              <w:rPr>
                <w:rStyle w:val="Codetext"/>
              </w:rPr>
              <w:t>śrīmān yajñapatīśvaraḥ</w:t>
            </w:r>
            <w:r>
              <w:rPr>
                <w:rStyle w:val="Code"/>
              </w:rPr>
              <w:t>&lt;/l&gt;</w:t>
            </w:r>
          </w:p>
          <w:p>
            <w:pPr>
              <w:pStyle w:val="TableNote"/>
              <w:rPr>
                <w:rFonts w:ascii="Consolas" w:hAnsi="Consolas" w:cs="Consolas"/>
                <w:noProof/>
                <w:color w:val="000000" w:themeColor="text1"/>
                <w:shd w:val="clear" w:color="auto" w:fill="F2F2F2" w:themeFill="background1" w:themeFillShade="F2"/>
              </w:rPr>
            </w:pPr>
            <w:r>
              <w:t xml:space="preserve">flagged: </w:t>
            </w:r>
            <w:r>
              <w:rPr>
                <w:rStyle w:val="Code"/>
              </w:rPr>
              <w:t xml:space="preserve">&lt;l </w:t>
            </w:r>
            <w:r>
              <w:rPr>
                <w:rStyle w:val="Codeattribute"/>
              </w:rPr>
              <w:t>n</w:t>
            </w:r>
            <w:r>
              <w:rPr>
                <w:rStyle w:val="Codetext"/>
              </w:rPr>
              <w:t>=</w:t>
            </w:r>
            <w:r>
              <w:rPr>
                <w:rStyle w:val="Codevalue"/>
              </w:rPr>
              <w:t>"a"</w:t>
            </w:r>
            <w:r>
              <w:rPr>
                <w:rStyle w:val="Code"/>
              </w:rPr>
              <w:t>&gt;</w:t>
            </w:r>
            <w:r>
              <w:rPr>
                <w:rStyle w:val="Codetext"/>
              </w:rPr>
              <w:t>jayatīndrādidevāsya</w:t>
            </w:r>
            <w:r>
              <w:rPr>
                <w:rStyle w:val="Code"/>
              </w:rPr>
              <w:t xml:space="preserve">&lt;orig&gt;&lt;space/&gt;ś&lt;/orig&gt;&lt;/l&gt;&lt;l </w:t>
            </w:r>
            <w:r>
              <w:rPr>
                <w:rStyle w:val="Codeattribute"/>
              </w:rPr>
              <w:t>n</w:t>
            </w:r>
            <w:r>
              <w:rPr>
                <w:rStyle w:val="Codetext"/>
              </w:rPr>
              <w:t>=</w:t>
            </w:r>
            <w:r>
              <w:rPr>
                <w:rStyle w:val="Codevalue"/>
              </w:rPr>
              <w:t>"b"</w:t>
            </w:r>
            <w:r>
              <w:rPr>
                <w:rStyle w:val="Code"/>
              </w:rPr>
              <w:t>&gt;</w:t>
            </w:r>
            <w:r>
              <w:rPr>
                <w:rStyle w:val="Codetext"/>
              </w:rPr>
              <w:t>śrīmān yajñapatīśvaraḥ</w:t>
            </w:r>
            <w:r>
              <w:rPr>
                <w:rStyle w:val="Code"/>
              </w:rPr>
              <w:t>&lt;/l&gt;</w:t>
            </w:r>
          </w:p>
          <w:p>
            <w:pPr>
              <w:pStyle w:val="TableNote"/>
              <w:rPr>
                <w:rStyle w:val="Code"/>
              </w:rPr>
            </w:pPr>
            <w:r>
              <w:t xml:space="preserve">normalised: </w:t>
            </w:r>
            <w:r>
              <w:rPr>
                <w:rStyle w:val="Code"/>
              </w:rPr>
              <w:t xml:space="preserve">&lt;l </w:t>
            </w:r>
            <w:r>
              <w:rPr>
                <w:rStyle w:val="Codeattribute"/>
              </w:rPr>
              <w:t>n</w:t>
            </w:r>
            <w:r>
              <w:rPr>
                <w:rStyle w:val="Codetext"/>
              </w:rPr>
              <w:t>=</w:t>
            </w:r>
            <w:r>
              <w:rPr>
                <w:rStyle w:val="Codevalue"/>
              </w:rPr>
              <w:t>"a"</w:t>
            </w:r>
            <w:r>
              <w:rPr>
                <w:rStyle w:val="Code"/>
              </w:rPr>
              <w:t>&gt;</w:t>
            </w:r>
            <w:r>
              <w:rPr>
                <w:rStyle w:val="Codetext"/>
              </w:rPr>
              <w:t>jayatīndrādidevāsya</w:t>
            </w:r>
            <w:r>
              <w:rPr>
                <w:rStyle w:val="Code"/>
              </w:rPr>
              <w:t>&lt;choice&gt;&lt;orig&gt;&lt;space/&gt;ś&lt;/orig&gt;&lt;reg&gt;</w:t>
            </w:r>
            <w:r>
              <w:rPr>
                <w:rStyle w:val="Codetext"/>
              </w:rPr>
              <w:t>ḥ</w:t>
            </w:r>
            <w:r>
              <w:rPr>
                <w:rStyle w:val="Code"/>
              </w:rPr>
              <w:t xml:space="preserve">&lt;space/&gt;&lt;/reg&gt;&lt;/choice&gt;&lt;/l&gt;&lt;l </w:t>
            </w:r>
            <w:r>
              <w:rPr>
                <w:rStyle w:val="Codeattribute"/>
              </w:rPr>
              <w:t>n</w:t>
            </w:r>
            <w:r>
              <w:rPr>
                <w:rStyle w:val="Codetext"/>
              </w:rPr>
              <w:t>=</w:t>
            </w:r>
            <w:r>
              <w:rPr>
                <w:rStyle w:val="Codevalue"/>
              </w:rPr>
              <w:t>"b"</w:t>
            </w:r>
            <w:r>
              <w:rPr>
                <w:rStyle w:val="Code"/>
              </w:rPr>
              <w:t>&gt;</w:t>
            </w:r>
            <w:r>
              <w:rPr>
                <w:rStyle w:val="Codetext"/>
              </w:rPr>
              <w:t>śrīmān yajñapatīśvaraḥ</w:t>
            </w:r>
            <w:r>
              <w:rPr>
                <w:rStyle w:val="Code"/>
              </w:rPr>
              <w:t>&lt;/l&gt;</w:t>
            </w:r>
          </w:p>
        </w:tc>
      </w:tr>
      <w:tr>
        <w:tc>
          <w:tcPr>
            <w:tcW w:w="5000" w:type="pct"/>
          </w:tcPr>
          <w:p>
            <w:pPr>
              <w:pStyle w:val="TableNote"/>
            </w:pPr>
            <w:r>
              <w:t xml:space="preserve">the space belonging at the end of the word </w:t>
            </w:r>
            <w:r>
              <w:rPr>
                <w:rStyle w:val="Foreign"/>
              </w:rPr>
              <w:t xml:space="preserve">°āsyaḥ </w:t>
            </w:r>
            <w:r>
              <w:t xml:space="preserve">is placed after </w:t>
            </w:r>
            <w:r>
              <w:rPr>
                <w:rStyle w:val="Foreign"/>
              </w:rPr>
              <w:t>sya</w:t>
            </w:r>
            <w:r>
              <w:t xml:space="preserve">, because the end of this word has been merged in sandhi into conjunct </w:t>
            </w:r>
            <w:r>
              <w:rPr>
                <w:noProof/>
              </w:rPr>
              <w:t>(</w:t>
            </w:r>
            <w:r>
              <w:rPr>
                <w:rStyle w:val="Foreign"/>
              </w:rPr>
              <w:t>śśrī</w:t>
            </w:r>
            <w:r>
              <w:t>) with the beginning of the next word</w:t>
            </w:r>
          </w:p>
        </w:tc>
      </w:tr>
    </w:tbl>
    <w:p/>
    <w:p>
      <w:pPr>
        <w:pStyle w:val="Cmsor2"/>
      </w:pPr>
      <w:bookmarkStart w:id="465" w:name="_Ref228799393"/>
      <w:r>
        <w:t>Premodern scribal intervention</w:t>
      </w:r>
      <w:bookmarkEnd w:id="455"/>
      <w:bookmarkEnd w:id="458"/>
      <w:bookmarkEnd w:id="462"/>
      <w:bookmarkEnd w:id="465"/>
    </w:p>
    <w:p>
      <w:r>
        <w:t>The word ‘scribe’ refers in this Guide to any person who has made a purposeful and meaningful contribution to a written document before it became an object of modern study. Scribal intervention thus means a purposeful and meaningful change effected in an already written text, often by the original scribe and at or near the time of the original engraving, but in some cases by a different person and/or at a much later time. Scribal intervention is usually constructive (as in addition, discussed in §</w:t>
      </w:r>
      <w:r>
        <w:fldChar w:fldCharType="begin"/>
      </w:r>
      <w:r>
        <w:instrText xml:space="preserve"> REF _Ref43978471 \r \h </w:instrText>
      </w:r>
      <w:r>
        <w:fldChar w:fldCharType="separate"/>
      </w:r>
      <w:r>
        <w:t>5.5.2</w:t>
      </w:r>
      <w:r>
        <w:fldChar w:fldCharType="end"/>
      </w:r>
      <w:r>
        <w:t xml:space="preserve"> and correction, §</w:t>
      </w:r>
      <w:r>
        <w:fldChar w:fldCharType="begin"/>
      </w:r>
      <w:r>
        <w:instrText xml:space="preserve"> REF _Ref74727538 \r \h </w:instrText>
      </w:r>
      <w:r>
        <w:fldChar w:fldCharType="separate"/>
      </w:r>
      <w:r>
        <w:t>5.5.3</w:t>
      </w:r>
      <w:r>
        <w:fldChar w:fldCharType="end"/>
      </w:r>
      <w:r>
        <w:t xml:space="preserve">), but it </w:t>
      </w:r>
      <w:r>
        <w:lastRenderedPageBreak/>
        <w:t>may also be destructive in a deliberate and targeted manner (deletion, §</w:t>
      </w:r>
      <w:r>
        <w:fldChar w:fldCharType="begin"/>
      </w:r>
      <w:r>
        <w:instrText xml:space="preserve"> REF _Ref43985171 \r \h </w:instrText>
      </w:r>
      <w:r>
        <w:fldChar w:fldCharType="separate"/>
      </w:r>
      <w:r>
        <w:t>5.5.1</w:t>
      </w:r>
      <w:r>
        <w:fldChar w:fldCharType="end"/>
      </w:r>
      <w:r>
        <w:t>). Scribal intervention does not include the purposeful or accidental effacement of an entire inscription or random parts thereof, nor the engraving of a palimpsest over a pre-existing inscription.</w:t>
      </w:r>
    </w:p>
    <w:p>
      <w:pPr>
        <w:pStyle w:val="Cmsor3"/>
      </w:pPr>
      <w:bookmarkStart w:id="466" w:name="_an1iq23tb1j" w:colFirst="0" w:colLast="0"/>
      <w:bookmarkStart w:id="467" w:name="_Ref43985171"/>
      <w:bookmarkStart w:id="468" w:name="_Toc242976636"/>
      <w:bookmarkEnd w:id="466"/>
      <w:r>
        <w:t>Scribal deletion</w:t>
      </w:r>
      <w:bookmarkEnd w:id="467"/>
      <w:bookmarkEnd w:id="468"/>
    </w:p>
    <w:p>
      <w:r>
        <w:rPr>
          <w:lang w:eastAsia="en-US" w:bidi="ar-SA"/>
        </w:rPr>
        <w:t xml:space="preserve">Scribal deletion is the deliberate cancellation of one or more graphemes in a pre-written text by a scribe. Deletion is usually of an editorial nature, affecting parts of the text that were incorrectly or needlessly written. Deletion also </w:t>
      </w:r>
      <w:r>
        <w:t xml:space="preserve">includes the targeted removal of circumscribed sections of an inscription </w:t>
      </w:r>
      <w:r>
        <w:rPr>
          <w:noProof/>
        </w:rPr>
        <w:t>(</w:t>
      </w:r>
      <w:r>
        <w:t>e.g. of names). Deletion accompanied by a corrective or restitutive addition is correction, treated in §</w:t>
      </w:r>
      <w:r>
        <w:fldChar w:fldCharType="begin"/>
      </w:r>
      <w:r>
        <w:instrText xml:space="preserve"> REF _Ref74727538 \r \h </w:instrText>
      </w:r>
      <w:r>
        <w:fldChar w:fldCharType="separate"/>
      </w:r>
      <w:r>
        <w:t>5.5.3</w:t>
      </w:r>
      <w:r>
        <w:fldChar w:fldCharType="end"/>
      </w:r>
      <w:r>
        <w:t xml:space="preserve">. </w:t>
      </w:r>
      <w:r>
        <w:rPr>
          <w:lang w:eastAsia="en-US" w:bidi="ar-SA"/>
        </w:rPr>
        <w:t xml:space="preserve">Damage to the support is to be handled according to </w:t>
      </w:r>
      <w:r>
        <w:t>§</w:t>
      </w:r>
      <w:r>
        <w:fldChar w:fldCharType="begin"/>
      </w:r>
      <w:r>
        <w:instrText xml:space="preserve"> REF _Ref231895504 \r \h </w:instrText>
      </w:r>
      <w:r>
        <w:fldChar w:fldCharType="separate"/>
      </w:r>
      <w:r>
        <w:t>6</w:t>
      </w:r>
      <w:r>
        <w:fldChar w:fldCharType="end"/>
      </w:r>
      <w:r>
        <w:t>, while space left blank in an inscription is discussed in §</w:t>
      </w:r>
      <w:r>
        <w:fldChar w:fldCharType="begin"/>
      </w:r>
      <w:r>
        <w:instrText xml:space="preserve"> REF _Ref183075544 \r \h </w:instrText>
      </w:r>
      <w:r>
        <w:fldChar w:fldCharType="separate"/>
      </w:r>
      <w:r>
        <w:t>5.3.5</w:t>
      </w:r>
      <w:r>
        <w:fldChar w:fldCharType="end"/>
      </w:r>
      <w:r>
        <w:t>. When it is doubtful whether purposeful deletion has taken place, choose the encoding for the phenomenon you deem most likely, and discuss the matter in your annotation.</w:t>
      </w:r>
    </w:p>
    <w:p>
      <w:pPr>
        <w:pStyle w:val="Lista"/>
      </w:pPr>
      <w:r>
        <w:t xml:space="preserve">graphemes that were deleted in premodern time are to be wrapped in the element </w:t>
      </w:r>
      <w:r>
        <w:rPr>
          <w:rStyle w:val="Code"/>
        </w:rPr>
        <w:t>&lt;del&gt;</w:t>
      </w:r>
      <w:r>
        <w:t>, with the following attribute</w:t>
      </w:r>
    </w:p>
    <w:p>
      <w:pPr>
        <w:pStyle w:val="Lista2"/>
      </w:pPr>
      <w:r>
        <w:t xml:space="preserve">as applicable, </w:t>
      </w:r>
      <w:r>
        <w:rPr>
          <w:rStyle w:val="Codeattribute"/>
        </w:rPr>
        <w:t>@rend</w:t>
      </w:r>
      <w:r>
        <w:t xml:space="preserve"> for the manner of deletion as per §</w:t>
      </w:r>
      <w:r>
        <w:fldChar w:fldCharType="begin"/>
      </w:r>
      <w:r>
        <w:instrText xml:space="preserve"> REF _Ref227846179 \r \h </w:instrText>
      </w:r>
      <w:r>
        <w:fldChar w:fldCharType="separate"/>
      </w:r>
      <w:r>
        <w:t>5.5.1.1</w:t>
      </w:r>
      <w:r>
        <w:fldChar w:fldCharType="end"/>
      </w:r>
    </w:p>
    <w:p>
      <w:pPr>
        <w:pStyle w:val="Lista"/>
      </w:pPr>
      <w:r>
        <w:t>this element must always contain text or markup equivalent to text</w:t>
      </w:r>
    </w:p>
    <w:p>
      <w:pPr>
        <w:pStyle w:val="Lista2"/>
      </w:pPr>
      <w:r>
        <w:t>if the vestiges of the deleted text cannot be read with confidence, use the applicable markup (§</w:t>
      </w:r>
      <w:r>
        <w:fldChar w:fldCharType="begin"/>
      </w:r>
      <w:r>
        <w:instrText xml:space="preserve"> REF _Ref43987867 \r \h </w:instrText>
      </w:r>
      <w:r>
        <w:fldChar w:fldCharType="separate"/>
      </w:r>
      <w:r>
        <w:t>6.3.1.3</w:t>
      </w:r>
      <w:r>
        <w:fldChar w:fldCharType="end"/>
      </w:r>
      <w:r>
        <w:t xml:space="preserve">) within the </w:t>
      </w:r>
      <w:r>
        <w:rPr>
          <w:rStyle w:val="Code"/>
        </w:rPr>
        <w:t>&lt;del&gt;</w:t>
      </w:r>
      <w:r>
        <w:t xml:space="preserve"> element</w:t>
      </w:r>
    </w:p>
    <w:p>
      <w:pPr>
        <w:pStyle w:val="Lista3"/>
        <w:rPr>
          <w:rStyle w:val="Code"/>
          <w:rFonts w:ascii="Gentium Plus" w:hAnsi="Gentium Plus" w:cs="Arial Unicode MS"/>
          <w:noProof w:val="0"/>
          <w:color w:val="auto"/>
          <w:shd w:val="clear" w:color="auto" w:fill="auto"/>
        </w:rPr>
      </w:pPr>
      <w:r>
        <w:t>text that has been rendered illegible by deletion must be marked up as a lacuna (§</w:t>
      </w:r>
      <w:r>
        <w:fldChar w:fldCharType="begin"/>
      </w:r>
      <w:r>
        <w:instrText xml:space="preserve"> REF _Ref228460110 \r \h </w:instrText>
      </w:r>
      <w:r>
        <w:fldChar w:fldCharType="separate"/>
      </w:r>
      <w:r>
        <w:t>6.5</w:t>
      </w:r>
      <w:r>
        <w:fldChar w:fldCharType="end"/>
      </w:r>
      <w:r>
        <w:t xml:space="preserve">) within the deletion, e.g. </w:t>
      </w:r>
      <w:r>
        <w:rPr>
          <w:rStyle w:val="Code"/>
        </w:rPr>
        <w:t xml:space="preserve">&lt;del&gt;&lt;gap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"character"</w:t>
      </w:r>
      <w:r>
        <w:rPr>
          <w:rStyle w:val="Code"/>
        </w:rPr>
        <w:t>/&gt;&lt;/del&gt;</w:t>
      </w:r>
    </w:p>
    <w:p>
      <w:pPr>
        <w:pStyle w:val="Cmsor4"/>
      </w:pPr>
      <w:bookmarkStart w:id="469" w:name="_Ref227846179"/>
      <w:r>
        <w:t>Encoding the manner of deletion</w:t>
      </w:r>
      <w:bookmarkEnd w:id="469"/>
    </w:p>
    <w:p>
      <w:r>
        <w:t xml:space="preserve">In DHARMA usage, the </w:t>
      </w:r>
      <w:r>
        <w:rPr>
          <w:rStyle w:val="Code"/>
        </w:rPr>
        <w:t>&lt;del&gt;</w:t>
      </w:r>
      <w:r>
        <w:t xml:space="preserve"> element will by default be understood to represent text rendered illegible through erasure by means such as chiselling the stone, hammering the copper flat, or rubbing the surface smooth. Deletion by erasure needs no additional encoding. In some inscriptions, scribal cancellation marks are employed instead of, or in addition to, erasure. In both of these cases, encode the presence of such marks by adding the </w:t>
      </w:r>
      <w:r>
        <w:rPr>
          <w:noProof/>
        </w:rPr>
        <w:t>attribute</w:t>
      </w:r>
      <w:r>
        <w:t xml:space="preserve"> </w:t>
      </w:r>
      <w:r>
        <w:rPr>
          <w:rStyle w:val="Codeattribute"/>
        </w:rPr>
        <w:t>@rend</w:t>
      </w:r>
      <w:r>
        <w:t xml:space="preserve"> to the </w:t>
      </w:r>
      <w:r>
        <w:rPr>
          <w:rStyle w:val="Code"/>
        </w:rPr>
        <w:t>&lt;del&gt;</w:t>
      </w:r>
      <w:r>
        <w:t xml:space="preserve"> element, as in </w:t>
      </w:r>
      <w:r>
        <w:fldChar w:fldCharType="begin"/>
      </w:r>
      <w:r>
        <w:instrText xml:space="preserve"> REF _Ref183076770 \h </w:instrText>
      </w:r>
      <w:r>
        <w:fldChar w:fldCharType="separate"/>
      </w:r>
      <w:r>
        <w:t xml:space="preserve">Exhibit </w:t>
      </w:r>
      <w:r>
        <w:rPr>
          <w:noProof/>
        </w:rPr>
        <w:t>5.5</w:t>
      </w:r>
      <w:r>
        <w:t>.</w:t>
      </w:r>
      <w:r>
        <w:rPr>
          <w:noProof/>
        </w:rPr>
        <w:t>A</w:t>
      </w:r>
      <w:r>
        <w:fldChar w:fldCharType="end"/>
      </w:r>
      <w:r>
        <w:t>.</w:t>
      </w:r>
    </w:p>
    <w:p>
      <w:pPr>
        <w:pStyle w:val="Lista"/>
      </w:pPr>
      <w:r>
        <w:t xml:space="preserve">the following values are permitted for </w:t>
      </w:r>
      <w:r>
        <w:rPr>
          <w:rStyle w:val="Codeattribute"/>
        </w:rPr>
        <w:t>@rend</w:t>
      </w:r>
      <w:r>
        <w:t xml:space="preserve"> with </w:t>
      </w:r>
      <w:r>
        <w:rPr>
          <w:rStyle w:val="Code"/>
        </w:rPr>
        <w:t>&lt;del&gt;</w:t>
      </w:r>
      <w:r>
        <w:t>:</w:t>
      </w:r>
    </w:p>
    <w:p>
      <w:pPr>
        <w:pStyle w:val="Lista2"/>
      </w:pPr>
      <w:r>
        <w:rPr>
          <w:rStyle w:val="Codevalue"/>
        </w:rPr>
        <w:t>"strikeout"</w:t>
      </w:r>
      <w:r>
        <w:t xml:space="preserve"> for text struck through or cross-hatched</w:t>
      </w:r>
    </w:p>
    <w:p>
      <w:pPr>
        <w:pStyle w:val="Lista2"/>
      </w:pPr>
      <w:r>
        <w:rPr>
          <w:rStyle w:val="Codevalue"/>
        </w:rPr>
        <w:t>"ui"</w:t>
      </w:r>
      <w:r>
        <w:t xml:space="preserve"> for the combined application of vowel markers </w:t>
      </w:r>
      <w:r>
        <w:rPr>
          <w:rStyle w:val="Foreign"/>
        </w:rPr>
        <w:t>u</w:t>
      </w:r>
      <w:r>
        <w:t xml:space="preserve"> and </w:t>
      </w:r>
      <w:r>
        <w:rPr>
          <w:rStyle w:val="Foreign"/>
        </w:rPr>
        <w:t>i</w:t>
      </w:r>
      <w:r>
        <w:t xml:space="preserve"> to glyphs to be deleted</w:t>
      </w:r>
    </w:p>
    <w:p>
      <w:pPr>
        <w:pStyle w:val="Lista2"/>
      </w:pPr>
      <w:r>
        <w:rPr>
          <w:rStyle w:val="Codevalue"/>
        </w:rPr>
        <w:t>"other"</w:t>
      </w:r>
      <w:r>
        <w:t xml:space="preserve"> for any deletion marker other than those listed above </w:t>
      </w:r>
    </w:p>
    <w:p>
      <w:pPr>
        <w:pStyle w:val="Lista2"/>
      </w:pPr>
      <w:r>
        <w:rPr>
          <w:rStyle w:val="Codevalue"/>
        </w:rPr>
        <w:t>"corrected"</w:t>
      </w:r>
      <w:r>
        <w:t xml:space="preserve"> when neither erasure nor a cancellation mark is present, and deletion is implied by the presence of a correction written over the earlier text (to be encoded as per §</w:t>
      </w:r>
      <w:r>
        <w:fldChar w:fldCharType="begin"/>
      </w:r>
      <w:r>
        <w:instrText xml:space="preserve"> REF _Ref74727538 \r \h </w:instrText>
      </w:r>
      <w:r>
        <w:fldChar w:fldCharType="separate"/>
      </w:r>
      <w:r>
        <w:t>5.5.3</w:t>
      </w:r>
      <w:r>
        <w:fldChar w:fldCharType="end"/>
      </w:r>
      <w:r>
        <w:t>)</w:t>
      </w:r>
    </w:p>
    <w:p>
      <w:pPr>
        <w:pStyle w:val="Lista"/>
      </w:pPr>
      <w:r>
        <w:t>further details about the form and placement of deletion marks used in your inscription may be annotated</w:t>
      </w:r>
    </w:p>
    <w:tbl>
      <w:tblPr>
        <w:tblStyle w:val="CodeSampleTable"/>
        <w:tblW w:w="5000" w:type="pct"/>
        <w:tblLook w:val="04A0" w:firstRow="1" w:lastRow="0" w:firstColumn="1" w:lastColumn="0" w:noHBand="0" w:noVBand="1"/>
      </w:tblPr>
      <w:tblGrid>
        <w:gridCol w:w="5665"/>
        <w:gridCol w:w="3963"/>
      </w:tblGrid>
      <w:tr>
        <w:trPr>
          <w:cnfStyle w:val="100000000000" w:firstRow="1" w:lastRow="0" w:firstColumn="0" w:lastColumn="0" w:oddVBand="0" w:evenVBand="0" w:oddHBand="0" w:evenHBand="0" w:firstRowFirstColumn="0" w:firstRowLastColumn="0" w:lastRowFirstColumn="0" w:lastRowLastColumn="0"/>
        </w:trPr>
        <w:tc>
          <w:tcPr>
            <w:tcW w:w="5000" w:type="pct"/>
            <w:gridSpan w:val="2"/>
          </w:tcPr>
          <w:p>
            <w:pPr>
              <w:pStyle w:val="Kpalrs"/>
            </w:pPr>
            <w:bookmarkStart w:id="470" w:name="_Ref183076770"/>
            <w:r>
              <w:t xml:space="preserve">Exhibit </w:t>
            </w:r>
            <w:fldSimple w:instr=" STYLEREF 2 \s ">
              <w:r>
                <w:rPr>
                  <w:noProof/>
                </w:rPr>
                <w:t>5.5</w:t>
              </w:r>
            </w:fldSimple>
            <w:r>
              <w:t>.</w:t>
            </w:r>
            <w:fldSimple w:instr=" SEQ Exhibit \* ALPHABETIC \s 2 ">
              <w:r>
                <w:rPr>
                  <w:noProof/>
                </w:rPr>
                <w:t>A</w:t>
              </w:r>
            </w:fldSimple>
            <w:bookmarkEnd w:id="470"/>
            <w:r>
              <w:t>: premodern deletion with editorial marks</w:t>
            </w:r>
          </w:p>
        </w:tc>
      </w:tr>
      <w:tr>
        <w:tc>
          <w:tcPr>
            <w:tcW w:w="2942" w:type="pct"/>
          </w:tcPr>
          <w:p>
            <w:pPr>
              <w:pStyle w:val="TableNote"/>
            </w:pPr>
            <w:r>
              <w:t xml:space="preserve">the inscribed text </w:t>
            </w:r>
            <w:r>
              <w:rPr>
                <w:rStyle w:val="Foreign"/>
              </w:rPr>
              <w:t>naiḥ mas· su</w:t>
            </w:r>
            <w:r>
              <w:t xml:space="preserve"> has been marked for cancellation</w:t>
            </w:r>
          </w:p>
        </w:tc>
        <w:tc>
          <w:tcPr>
            <w:tcW w:w="2058" w:type="pct"/>
          </w:tcPr>
          <w:p>
            <w:pPr>
              <w:pStyle w:val="Image"/>
            </w:pPr>
            <w:r>
              <w:drawing>
                <wp:inline distT="0" distB="0" distL="0" distR="0">
                  <wp:extent cx="2329200" cy="720000"/>
                  <wp:effectExtent l="0" t="0" r="0" b="4445"/>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329200" cy="720000"/>
                          </a:xfrm>
                          <a:prstGeom prst="rect">
                            <a:avLst/>
                          </a:prstGeom>
                          <a:noFill/>
                          <a:ln>
                            <a:noFill/>
                          </a:ln>
                        </pic:spPr>
                      </pic:pic>
                    </a:graphicData>
                  </a:graphic>
                </wp:inline>
              </w:drawing>
            </w:r>
          </w:p>
        </w:tc>
      </w:tr>
      <w:tr>
        <w:tc>
          <w:tcPr>
            <w:tcW w:w="5000" w:type="pct"/>
            <w:gridSpan w:val="2"/>
          </w:tcPr>
          <w:p>
            <w:pPr>
              <w:pStyle w:val="CodeParagraph"/>
              <w:rPr>
                <w:rStyle w:val="Code"/>
              </w:rPr>
            </w:pPr>
            <w:r>
              <w:rPr>
                <w:rStyle w:val="Code"/>
              </w:rPr>
              <w:t xml:space="preserve">&lt;del </w:t>
            </w:r>
            <w:r>
              <w:rPr>
                <w:rStyle w:val="Codeattribute"/>
              </w:rPr>
              <w:t>rend</w:t>
            </w:r>
            <w:r>
              <w:rPr>
                <w:rStyle w:val="Codetext"/>
              </w:rPr>
              <w:t>=</w:t>
            </w:r>
            <w:r>
              <w:rPr>
                <w:rStyle w:val="Codevalue"/>
              </w:rPr>
              <w:t>"other"</w:t>
            </w:r>
            <w:r>
              <w:rPr>
                <w:rStyle w:val="Code"/>
              </w:rPr>
              <w:t>&gt;</w:t>
            </w:r>
            <w:r>
              <w:rPr>
                <w:rStyle w:val="Codetext"/>
              </w:rPr>
              <w:t>naiḥ mas· su</w:t>
            </w:r>
            <w:r>
              <w:rPr>
                <w:rStyle w:val="Code"/>
              </w:rPr>
              <w:t>&lt;/del&gt;</w:t>
            </w:r>
            <w:r>
              <w:rPr>
                <w:rStyle w:val="Codetext"/>
              </w:rPr>
              <w:t xml:space="preserve"> vḍihan·</w:t>
            </w:r>
          </w:p>
        </w:tc>
      </w:tr>
    </w:tbl>
    <w:p>
      <w:pPr>
        <w:pStyle w:val="Cmsor3"/>
      </w:pPr>
      <w:bookmarkStart w:id="471" w:name="_dvngk7b8udu7" w:colFirst="0" w:colLast="0"/>
      <w:bookmarkStart w:id="472" w:name="_Ref43978471"/>
      <w:bookmarkStart w:id="473" w:name="_Ref227850832"/>
      <w:bookmarkStart w:id="474" w:name="_Toc242976637"/>
      <w:bookmarkEnd w:id="471"/>
      <w:r>
        <w:t xml:space="preserve">Scribal </w:t>
      </w:r>
      <w:bookmarkEnd w:id="472"/>
      <w:r>
        <w:t>addition</w:t>
      </w:r>
      <w:bookmarkEnd w:id="473"/>
      <w:bookmarkEnd w:id="474"/>
    </w:p>
    <w:p>
      <w:r>
        <w:t>Scribal addition is the insertion of one or more graphemes into a pre-written text by a scribe. Addition is usually of an editorial nature, restoring parts of the text that were erroneously omitted. Addition for the correction of deleted text is correction, treated in §</w:t>
      </w:r>
      <w:r>
        <w:fldChar w:fldCharType="begin"/>
      </w:r>
      <w:r>
        <w:instrText xml:space="preserve"> REF _Ref74727538 \r \h </w:instrText>
      </w:r>
      <w:r>
        <w:fldChar w:fldCharType="separate"/>
      </w:r>
      <w:r>
        <w:t>5.5.3</w:t>
      </w:r>
      <w:r>
        <w:fldChar w:fldCharType="end"/>
      </w:r>
      <w:r>
        <w:t xml:space="preserve">. Additions supplementing a previously written text with content that was presumably not originally intended at the time of its writing, such as an additional clause appended to an inscription, are generally to be treated as organic parts of the document and not as scribal additions. However, small supplementary items written in interlinear or marginal space may be </w:t>
      </w:r>
      <w:r>
        <w:lastRenderedPageBreak/>
        <w:t>treated as additions at your discretion. Additions written in space originally left blank with the purpose of filling later (§</w:t>
      </w:r>
      <w:r>
        <w:fldChar w:fldCharType="begin"/>
      </w:r>
      <w:r>
        <w:instrText xml:space="preserve"> REF _Ref227847574 \r \h </w:instrText>
      </w:r>
      <w:r>
        <w:fldChar w:fldCharType="separate"/>
      </w:r>
      <w:r>
        <w:t>5.4.2.1</w:t>
      </w:r>
      <w:r>
        <w:fldChar w:fldCharType="end"/>
      </w:r>
      <w:r>
        <w:t>) can and should be encoded as scribal addition if you are certain that this is what happened.</w:t>
      </w:r>
    </w:p>
    <w:p>
      <w:pPr>
        <w:pStyle w:val="Lista"/>
      </w:pPr>
      <w:r>
        <w:t>in the digital edition, text added by the scribe must be placed at its logical location (where it was meant to be read), regardless of its physical location in the original</w:t>
      </w:r>
    </w:p>
    <w:p>
      <w:pPr>
        <w:pStyle w:val="Lista2"/>
      </w:pPr>
      <w:r>
        <w:t>in this subsection, we refer to an addition’s logical location as its locus, and its physical location as its place</w:t>
      </w:r>
    </w:p>
    <w:p>
      <w:pPr>
        <w:pStyle w:val="Lista2"/>
      </w:pPr>
      <w:r>
        <w:t>if you cannot confidently determine the intended locus of a piece of interpolated or marginal text, choose one of the following options at your discretion:</w:t>
      </w:r>
    </w:p>
    <w:p>
      <w:pPr>
        <w:pStyle w:val="Lista3"/>
      </w:pPr>
      <w:r>
        <w:t>put the added text at its most likely locus and describe the situation in your annotation</w:t>
      </w:r>
    </w:p>
    <w:p>
      <w:pPr>
        <w:pStyle w:val="Lista3"/>
      </w:pPr>
      <w:r>
        <w:t>put the added text at a plausible structural point near to its place, such as the beginning or end of a line, page, semantic unit or the entire inscription and describe the situation in your annotation</w:t>
      </w:r>
    </w:p>
    <w:p>
      <w:pPr>
        <w:pStyle w:val="Lista3"/>
      </w:pPr>
      <w:r>
        <w:t xml:space="preserve">encode the added text at or near its place as an additional line of the principal text </w:t>
      </w:r>
      <w:r>
        <w:rPr>
          <w:noProof/>
        </w:rPr>
        <w:t>(</w:t>
      </w:r>
      <w:r>
        <w:t>§</w:t>
      </w:r>
      <w:r>
        <w:fldChar w:fldCharType="begin"/>
      </w:r>
      <w:r>
        <w:instrText xml:space="preserve"> REF _Ref182233273 \r \h </w:instrText>
      </w:r>
      <w:r>
        <w:fldChar w:fldCharType="separate"/>
      </w:r>
      <w:r>
        <w:t>4.7.1.2</w:t>
      </w:r>
      <w:r>
        <w:fldChar w:fldCharType="end"/>
      </w:r>
      <w:r>
        <w:t>)</w:t>
      </w:r>
    </w:p>
    <w:p>
      <w:pPr>
        <w:pStyle w:val="Lista3"/>
      </w:pPr>
      <w:r>
        <w:t>for longer additions that do not obviously integrate into the semantic structure of the principal text, especially when consisting of multiple lines, you may opt to create a separate textpart division (§</w:t>
      </w:r>
      <w:r>
        <w:fldChar w:fldCharType="begin"/>
      </w:r>
      <w:r>
        <w:instrText xml:space="preserve"> REF _Ref225778181 \r \h </w:instrText>
      </w:r>
      <w:r>
        <w:fldChar w:fldCharType="separate"/>
      </w:r>
      <w:r>
        <w:t>4.2</w:t>
      </w:r>
      <w:r>
        <w:fldChar w:fldCharType="end"/>
      </w:r>
      <w:r>
        <w:t>)</w:t>
      </w:r>
    </w:p>
    <w:p>
      <w:pPr>
        <w:pStyle w:val="Lista"/>
      </w:pPr>
      <w:r>
        <w:t xml:space="preserve">graphemes that were added in premodern time are to be wrapped in the element </w:t>
      </w:r>
      <w:r>
        <w:rPr>
          <w:rStyle w:val="Code"/>
        </w:rPr>
        <w:t>&lt;add&gt;</w:t>
      </w:r>
      <w:r>
        <w:t>, with the following attributes</w:t>
      </w:r>
    </w:p>
    <w:p>
      <w:pPr>
        <w:pStyle w:val="Lista2"/>
      </w:pPr>
      <w:r>
        <w:t xml:space="preserve">mandatorily, </w:t>
      </w:r>
      <w:r>
        <w:rPr>
          <w:rStyle w:val="Codeattribute"/>
        </w:rPr>
        <w:t>@place</w:t>
      </w:r>
      <w:r>
        <w:t xml:space="preserve"> for the physical location of the added text as per §</w:t>
      </w:r>
      <w:r>
        <w:fldChar w:fldCharType="begin"/>
      </w:r>
      <w:r>
        <w:instrText xml:space="preserve"> REF _Ref227848664 \r \h </w:instrText>
      </w:r>
      <w:r>
        <w:fldChar w:fldCharType="separate"/>
      </w:r>
      <w:r>
        <w:t>5.5.2.1</w:t>
      </w:r>
      <w:r>
        <w:fldChar w:fldCharType="end"/>
      </w:r>
    </w:p>
    <w:p>
      <w:pPr>
        <w:pStyle w:val="Lista2"/>
      </w:pPr>
      <w:r>
        <w:t xml:space="preserve">as applicable, </w:t>
      </w:r>
      <w:r>
        <w:rPr>
          <w:rStyle w:val="Codeattribute"/>
        </w:rPr>
        <w:t>@rend</w:t>
      </w:r>
      <w:r>
        <w:t xml:space="preserve"> with the value </w:t>
      </w:r>
      <w:r>
        <w:rPr>
          <w:rStyle w:val="Codevalue"/>
        </w:rPr>
        <w:t>"mark"</w:t>
      </w:r>
      <w:r>
        <w:t xml:space="preserve"> to encode the involvement of a premodern scribal mark </w:t>
      </w:r>
      <w:r>
        <w:rPr>
          <w:noProof/>
        </w:rPr>
        <w:t>(</w:t>
      </w:r>
      <w:r>
        <w:t xml:space="preserve">Sanskrit </w:t>
      </w:r>
      <w:r>
        <w:rPr>
          <w:rStyle w:val="Foreign"/>
        </w:rPr>
        <w:t>kākapada</w:t>
      </w:r>
      <w:r>
        <w:t xml:space="preserve">), as illustrated in </w:t>
      </w:r>
      <w:r>
        <w:fldChar w:fldCharType="begin"/>
      </w:r>
      <w:r>
        <w:instrText xml:space="preserve"> REF _Ref44078703 \h  \* MERGEFORMAT </w:instrText>
      </w:r>
      <w:r>
        <w:fldChar w:fldCharType="separate"/>
      </w:r>
      <w:r>
        <w:t xml:space="preserve">Exhibit </w:t>
      </w:r>
      <w:r>
        <w:rPr>
          <w:noProof/>
        </w:rPr>
        <w:t>5.5.C</w:t>
      </w:r>
      <w:r>
        <w:fldChar w:fldCharType="end"/>
      </w:r>
      <w:r>
        <w:t xml:space="preserve"> and </w:t>
      </w:r>
      <w:r>
        <w:fldChar w:fldCharType="begin"/>
      </w:r>
      <w:r>
        <w:instrText xml:space="preserve"> REF _Ref227849782 \h </w:instrText>
      </w:r>
      <w:r>
        <w:fldChar w:fldCharType="separate"/>
      </w:r>
      <w:r>
        <w:t xml:space="preserve">Exhibit </w:t>
      </w:r>
      <w:r>
        <w:rPr>
          <w:noProof/>
        </w:rPr>
        <w:t>5.5</w:t>
      </w:r>
      <w:r>
        <w:t>.</w:t>
      </w:r>
      <w:r>
        <w:rPr>
          <w:noProof/>
        </w:rPr>
        <w:t>D</w:t>
      </w:r>
      <w:r>
        <w:fldChar w:fldCharType="end"/>
      </w:r>
    </w:p>
    <w:p>
      <w:pPr>
        <w:pStyle w:val="Lista3"/>
      </w:pPr>
      <w:r>
        <w:t xml:space="preserve">this encoding distinguishes neither the shape of such a mark, nor its location (e.g. at the locus of insertion, next to the inserted text, or at both places) </w:t>
      </w:r>
    </w:p>
    <w:p>
      <w:pPr>
        <w:pStyle w:val="Lista3"/>
      </w:pPr>
      <w:r>
        <w:t>the shape and location of the marks shall be described in an apparatus note (§</w:t>
      </w:r>
      <w:r>
        <w:fldChar w:fldCharType="begin"/>
      </w:r>
      <w:r>
        <w:instrText xml:space="preserve"> REF _Ref43988104 \w \h  \* MERGEFORMAT </w:instrText>
      </w:r>
      <w:r>
        <w:fldChar w:fldCharType="separate"/>
      </w:r>
      <w:r>
        <w:t>10.7</w:t>
      </w:r>
      <w:r>
        <w:fldChar w:fldCharType="end"/>
      </w:r>
      <w:r>
        <w:t>)</w:t>
      </w:r>
    </w:p>
    <w:p>
      <w:pPr>
        <w:pStyle w:val="Lista"/>
      </w:pPr>
      <w:r>
        <w:t>the inserted text may include additional markup when necessary</w:t>
      </w:r>
    </w:p>
    <w:p>
      <w:pPr>
        <w:pStyle w:val="Lista2"/>
      </w:pPr>
      <w:r>
        <w:t>for any text-containing elements whose scope begins or ends outside the addition, take care to avoid overlap and split elements according to their hierarchy (§</w:t>
      </w:r>
      <w:r>
        <w:fldChar w:fldCharType="begin"/>
      </w:r>
      <w:r>
        <w:instrText xml:space="preserve"> REF _Ref43978660 \r \h </w:instrText>
      </w:r>
      <w:r>
        <w:fldChar w:fldCharType="separate"/>
      </w:r>
      <w:r>
        <w:t>16.2</w:t>
      </w:r>
      <w:r>
        <w:fldChar w:fldCharType="end"/>
      </w:r>
      <w:r>
        <w:t xml:space="preserve">) </w:t>
      </w:r>
    </w:p>
    <w:p>
      <w:pPr>
        <w:pStyle w:val="Lista2"/>
      </w:pPr>
      <w:r>
        <w:t>empty structural elements (line beginnings, §</w:t>
      </w:r>
      <w:r>
        <w:fldChar w:fldCharType="begin"/>
      </w:r>
      <w:r>
        <w:instrText xml:space="preserve"> REF _Ref224720155 \r \h </w:instrText>
      </w:r>
      <w:r>
        <w:fldChar w:fldCharType="separate"/>
      </w:r>
      <w:r>
        <w:t>4.5</w:t>
      </w:r>
      <w:r>
        <w:fldChar w:fldCharType="end"/>
      </w:r>
      <w:r>
        <w:t>; and gridlike milestones, §</w:t>
      </w:r>
      <w:r>
        <w:fldChar w:fldCharType="begin"/>
      </w:r>
      <w:r>
        <w:instrText xml:space="preserve"> REF _Ref43984651 \r \h </w:instrText>
      </w:r>
      <w:r>
        <w:fldChar w:fldCharType="separate"/>
      </w:r>
      <w:r>
        <w:t>4.6</w:t>
      </w:r>
      <w:r>
        <w:fldChar w:fldCharType="end"/>
      </w:r>
      <w:r>
        <w:t xml:space="preserve">) should normally be placed outside the </w:t>
      </w:r>
      <w:r>
        <w:rPr>
          <w:rStyle w:val="Code"/>
        </w:rPr>
        <w:t>&lt;add&gt;</w:t>
      </w:r>
      <w:r>
        <w:t xml:space="preserve"> tags, but if an addition takes up the entirety of one or more physical lines (or stretches of text indicated by a gridlike milestone), then you may encode line beginnings and milestones within an addition at your discretion and number them as you deem appropriate; see </w:t>
      </w:r>
      <w:r>
        <w:fldChar w:fldCharType="begin"/>
      </w:r>
      <w:r>
        <w:instrText xml:space="preserve"> REF _Ref54603376 \h  \* MERGEFORMAT </w:instrText>
      </w:r>
      <w:r>
        <w:fldChar w:fldCharType="separate"/>
      </w:r>
      <w:r>
        <w:t xml:space="preserve">Exhibit </w:t>
      </w:r>
      <w:r>
        <w:rPr>
          <w:noProof/>
        </w:rPr>
        <w:t>3.2.D</w:t>
      </w:r>
      <w:r>
        <w:fldChar w:fldCharType="end"/>
      </w:r>
      <w:r>
        <w:t xml:space="preserve"> for an illustration</w:t>
      </w:r>
    </w:p>
    <w:p>
      <w:pPr>
        <w:pStyle w:val="Cmsor4"/>
      </w:pPr>
      <w:bookmarkStart w:id="475" w:name="_Ref227848664"/>
      <w:r>
        <w:t>Encoding the place of the addition</w:t>
      </w:r>
      <w:bookmarkEnd w:id="475"/>
    </w:p>
    <w:p>
      <w:pPr>
        <w:pStyle w:val="Lista"/>
      </w:pPr>
      <w:r>
        <w:t xml:space="preserve">the physical location of text added by the scribe is to be encoded with the attribute </w:t>
      </w:r>
      <w:r>
        <w:rPr>
          <w:rStyle w:val="Codeattribute"/>
        </w:rPr>
        <w:t>@place</w:t>
      </w:r>
      <w:r>
        <w:t xml:space="preserve"> on the </w:t>
      </w:r>
      <w:r>
        <w:rPr>
          <w:rStyle w:val="Code"/>
        </w:rPr>
        <w:t>&lt;add&gt;</w:t>
      </w:r>
      <w:r>
        <w:t xml:space="preserve"> element</w:t>
      </w:r>
    </w:p>
    <w:p>
      <w:pPr>
        <w:pStyle w:val="Lista2"/>
      </w:pPr>
      <w:r>
        <w:t xml:space="preserve">in DHARMA encoding practice, this attribute must always be explicitly present on </w:t>
      </w:r>
      <w:r>
        <w:rPr>
          <w:rStyle w:val="Code"/>
        </w:rPr>
        <w:t>&lt;add&gt;</w:t>
      </w:r>
    </w:p>
    <w:p>
      <w:pPr>
        <w:pStyle w:val="Lista"/>
      </w:pPr>
      <w:r>
        <w:t>the attribute may take the following values:</w:t>
      </w:r>
    </w:p>
    <w:p>
      <w:pPr>
        <w:pStyle w:val="Lista2"/>
      </w:pPr>
      <w:r>
        <w:rPr>
          <w:rStyle w:val="Codevalue"/>
        </w:rPr>
        <w:t>"unspecified"</w:t>
      </w:r>
      <w:r>
        <w:t xml:space="preserve"> for cases where your only source is a previous edition that does not specify the place of the inserted text</w:t>
      </w:r>
    </w:p>
    <w:p>
      <w:pPr>
        <w:pStyle w:val="Lista2"/>
      </w:pPr>
      <w:r>
        <w:rPr>
          <w:rStyle w:val="Codevalue"/>
        </w:rPr>
        <w:t>"inline"</w:t>
      </w:r>
      <w:r>
        <w:t xml:space="preserve"> for an addition inscribed within the same line in the immediate vicinity of the locus, including</w:t>
      </w:r>
    </w:p>
    <w:p>
      <w:pPr>
        <w:pStyle w:val="Lista3"/>
      </w:pPr>
      <w:r>
        <w:t>one or more glyphs inserted between two pre-engraved glyphs</w:t>
      </w:r>
    </w:p>
    <w:p>
      <w:pPr>
        <w:pStyle w:val="Lista3"/>
      </w:pPr>
      <w:r>
        <w:t xml:space="preserve">one or more glyphs inserted into a space previously left blank </w:t>
      </w:r>
      <w:r>
        <w:rPr>
          <w:noProof/>
        </w:rPr>
        <w:t>(</w:t>
      </w:r>
      <w:r>
        <w:t>§</w:t>
      </w:r>
      <w:r>
        <w:fldChar w:fldCharType="begin"/>
      </w:r>
      <w:r>
        <w:instrText xml:space="preserve"> REF _Ref43987728 \w \h  \* MERGEFORMAT </w:instrText>
      </w:r>
      <w:r>
        <w:fldChar w:fldCharType="separate"/>
      </w:r>
      <w:r>
        <w:t>5.4.2.1</w:t>
      </w:r>
      <w:r>
        <w:fldChar w:fldCharType="end"/>
      </w:r>
      <w:r>
        <w:t>)</w:t>
      </w:r>
    </w:p>
    <w:p>
      <w:pPr>
        <w:pStyle w:val="Lista3"/>
      </w:pPr>
      <w:r>
        <w:t>one or more graphs (e.g. a vowel marker or a subscript consonant) inserted into a pre-engraved glyph</w:t>
      </w:r>
    </w:p>
    <w:p>
      <w:pPr>
        <w:pStyle w:val="Lista2"/>
      </w:pPr>
      <w:r>
        <w:rPr>
          <w:rStyle w:val="Codevalue"/>
        </w:rPr>
        <w:t>"above"</w:t>
      </w:r>
      <w:r>
        <w:t xml:space="preserve"> for an interlinear addition above the locus (in any horizontal position)</w:t>
      </w:r>
    </w:p>
    <w:p>
      <w:pPr>
        <w:pStyle w:val="Lista2"/>
      </w:pPr>
      <w:r>
        <w:rPr>
          <w:rStyle w:val="Codevalue"/>
        </w:rPr>
        <w:t>"below"</w:t>
      </w:r>
      <w:r>
        <w:t xml:space="preserve"> for an interlinear addition below the locus (in any horizontal position), as in </w:t>
      </w:r>
      <w:r>
        <w:fldChar w:fldCharType="begin"/>
      </w:r>
      <w:r>
        <w:instrText xml:space="preserve"> REF _Ref227849711 \h </w:instrText>
      </w:r>
      <w:r>
        <w:fldChar w:fldCharType="separate"/>
      </w:r>
      <w:r>
        <w:t xml:space="preserve">Exhibit </w:t>
      </w:r>
      <w:r>
        <w:rPr>
          <w:noProof/>
        </w:rPr>
        <w:t>5.5</w:t>
      </w:r>
      <w:r>
        <w:t>.</w:t>
      </w:r>
      <w:r>
        <w:rPr>
          <w:noProof/>
        </w:rPr>
        <w:t>B</w:t>
      </w:r>
      <w:r>
        <w:fldChar w:fldCharType="end"/>
      </w:r>
    </w:p>
    <w:p>
      <w:pPr>
        <w:pStyle w:val="Lista2"/>
      </w:pPr>
      <w:r>
        <w:rPr>
          <w:rStyle w:val="Codevalue"/>
        </w:rPr>
        <w:t>"top"</w:t>
      </w:r>
      <w:r>
        <w:t xml:space="preserve"> for an addition in the top margin (in any horizontal position)</w:t>
      </w:r>
    </w:p>
    <w:p>
      <w:pPr>
        <w:pStyle w:val="Lista2"/>
      </w:pPr>
      <w:r>
        <w:rPr>
          <w:rStyle w:val="Codevalue"/>
        </w:rPr>
        <w:t>"bottom"</w:t>
      </w:r>
      <w:r>
        <w:t xml:space="preserve"> for an addition in the bottom margin (in any horizontal position)</w:t>
      </w:r>
    </w:p>
    <w:p>
      <w:pPr>
        <w:pStyle w:val="Lista2"/>
      </w:pPr>
      <w:r>
        <w:rPr>
          <w:rStyle w:val="Codevalue"/>
        </w:rPr>
        <w:t>"left"</w:t>
      </w:r>
      <w:r>
        <w:t xml:space="preserve"> for an addition in the left margin (in any vertical position)</w:t>
      </w:r>
    </w:p>
    <w:p>
      <w:pPr>
        <w:pStyle w:val="Lista2"/>
      </w:pPr>
      <w:r>
        <w:rPr>
          <w:rStyle w:val="Codevalue"/>
        </w:rPr>
        <w:t>"right"</w:t>
      </w:r>
      <w:r>
        <w:t xml:space="preserve"> for an addition in the right margin (in any vertical position)</w:t>
      </w:r>
    </w:p>
    <w:p>
      <w:pPr>
        <w:pStyle w:val="Lista2"/>
      </w:pPr>
      <w:r>
        <w:rPr>
          <w:rStyle w:val="Codevalue"/>
        </w:rPr>
        <w:lastRenderedPageBreak/>
        <w:t>"overstrike"</w:t>
      </w:r>
      <w:r>
        <w:t xml:space="preserve"> for an addition written over pre-existing text with the intent to replace (correct) it, discussed further in §</w:t>
      </w:r>
      <w:r>
        <w:fldChar w:fldCharType="begin"/>
      </w:r>
      <w:r>
        <w:instrText xml:space="preserve"> REF _Ref74727538 \r \h </w:instrText>
      </w:r>
      <w:r>
        <w:fldChar w:fldCharType="separate"/>
      </w:r>
      <w:r>
        <w:t>5.5.3</w:t>
      </w:r>
      <w:r>
        <w:fldChar w:fldCharType="end"/>
      </w:r>
    </w:p>
    <w:p>
      <w:pPr>
        <w:rPr>
          <w:lang w:eastAsia="en-US" w:bidi="ar-SA"/>
        </w:rPr>
      </w:pP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keepLines/>
            </w:pPr>
            <w:bookmarkStart w:id="476" w:name="_Ref227849711"/>
            <w:r>
              <w:t xml:space="preserve">Exhibit </w:t>
            </w:r>
            <w:fldSimple w:instr=" STYLEREF 2 \s ">
              <w:r>
                <w:rPr>
                  <w:noProof/>
                </w:rPr>
                <w:t>5.5</w:t>
              </w:r>
            </w:fldSimple>
            <w:r>
              <w:t>.</w:t>
            </w:r>
            <w:fldSimple w:instr=" SEQ Exhibit \* ALPHABETIC \s 2 ">
              <w:r>
                <w:rPr>
                  <w:noProof/>
                </w:rPr>
                <w:t>B</w:t>
              </w:r>
            </w:fldSimple>
            <w:bookmarkEnd w:id="476"/>
            <w:r>
              <w:t>: premodern interlinear addition</w:t>
            </w:r>
          </w:p>
        </w:tc>
      </w:tr>
      <w:tr>
        <w:tc>
          <w:tcPr>
            <w:tcW w:w="5000" w:type="pct"/>
          </w:tcPr>
          <w:p>
            <w:pPr>
              <w:pStyle w:val="TableNote"/>
              <w:keepNext/>
              <w:keepLines/>
            </w:pPr>
            <w:r>
              <w:t xml:space="preserve">an originally inscribed </w:t>
            </w:r>
            <w:r>
              <w:rPr>
                <w:rStyle w:val="Foreign"/>
              </w:rPr>
              <w:t>dīnāram</w:t>
            </w:r>
            <w:r>
              <w:t xml:space="preserve"> was corrected to </w:t>
            </w:r>
            <w:r>
              <w:rPr>
                <w:rStyle w:val="Foreign"/>
              </w:rPr>
              <w:t>dīnāra-dvayam</w:t>
            </w:r>
            <w:r>
              <w:t xml:space="preserve"> by adding </w:t>
            </w:r>
            <w:r>
              <w:rPr>
                <w:rStyle w:val="Foreign"/>
              </w:rPr>
              <w:t>dvaya</w:t>
            </w:r>
            <w:r>
              <w:t xml:space="preserve"> between lines below this word</w:t>
            </w:r>
          </w:p>
        </w:tc>
      </w:tr>
      <w:tr>
        <w:tc>
          <w:tcPr>
            <w:tcW w:w="5000" w:type="pct"/>
          </w:tcPr>
          <w:p>
            <w:pPr>
              <w:pStyle w:val="CodeParagraph"/>
              <w:rPr>
                <w:rStyle w:val="Code"/>
              </w:rPr>
            </w:pPr>
            <w:r>
              <w:rPr>
                <w:rStyle w:val="Codetext"/>
              </w:rPr>
              <w:t>dīnāra</w:t>
            </w:r>
            <w:r>
              <w:rPr>
                <w:rStyle w:val="Code"/>
              </w:rPr>
              <w:t xml:space="preserve">&lt;add </w:t>
            </w:r>
            <w:r>
              <w:rPr>
                <w:rStyle w:val="Codeattribute"/>
              </w:rPr>
              <w:t>place</w:t>
            </w:r>
            <w:r>
              <w:rPr>
                <w:rStyle w:val="Code"/>
              </w:rPr>
              <w:t>=</w:t>
            </w:r>
            <w:r>
              <w:rPr>
                <w:rStyle w:val="Codevalue"/>
              </w:rPr>
              <w:t>"below"</w:t>
            </w:r>
            <w:r>
              <w:rPr>
                <w:rStyle w:val="Code"/>
              </w:rPr>
              <w:t>&gt;</w:t>
            </w:r>
            <w:r>
              <w:rPr>
                <w:rStyle w:val="Codetext"/>
              </w:rPr>
              <w:t>-dvaya</w:t>
            </w:r>
            <w:r>
              <w:rPr>
                <w:rStyle w:val="Code"/>
              </w:rPr>
              <w:t>&lt;/add&gt;</w:t>
            </w:r>
            <w:r>
              <w:rPr>
                <w:rStyle w:val="Codetext"/>
              </w:rPr>
              <w:t>m</w:t>
            </w:r>
          </w:p>
        </w:tc>
      </w:tr>
    </w:tbl>
    <w:p/>
    <w:tbl>
      <w:tblPr>
        <w:tblStyle w:val="CodeSampleTable"/>
        <w:tblW w:w="5000" w:type="pct"/>
        <w:tblLook w:val="04A0" w:firstRow="1" w:lastRow="0" w:firstColumn="1" w:lastColumn="0" w:noHBand="0" w:noVBand="1"/>
      </w:tblPr>
      <w:tblGrid>
        <w:gridCol w:w="6833"/>
        <w:gridCol w:w="2795"/>
      </w:tblGrid>
      <w:tr>
        <w:trPr>
          <w:cnfStyle w:val="100000000000" w:firstRow="1" w:lastRow="0" w:firstColumn="0" w:lastColumn="0" w:oddVBand="0" w:evenVBand="0" w:oddHBand="0" w:evenHBand="0" w:firstRowFirstColumn="0" w:firstRowLastColumn="0" w:lastRowFirstColumn="0" w:lastRowLastColumn="0"/>
        </w:trPr>
        <w:tc>
          <w:tcPr>
            <w:tcW w:w="0" w:type="auto"/>
            <w:gridSpan w:val="2"/>
          </w:tcPr>
          <w:p>
            <w:pPr>
              <w:pStyle w:val="Kpalrs"/>
              <w:keepLines/>
            </w:pPr>
            <w:bookmarkStart w:id="477" w:name="_Ref44078703"/>
            <w:r>
              <w:t xml:space="preserve">Exhibit </w:t>
            </w:r>
            <w:fldSimple w:instr=" STYLEREF 2 \s ">
              <w:r>
                <w:rPr>
                  <w:noProof/>
                </w:rPr>
                <w:t>5.5</w:t>
              </w:r>
            </w:fldSimple>
            <w:r>
              <w:t>.</w:t>
            </w:r>
            <w:fldSimple w:instr=" SEQ Exhibit \* ALPHABETIC \s 2 ">
              <w:r>
                <w:rPr>
                  <w:noProof/>
                </w:rPr>
                <w:t>C</w:t>
              </w:r>
            </w:fldSimple>
            <w:bookmarkEnd w:id="477"/>
            <w:r>
              <w:t>: premodern addition with a scribal mark next to the added text</w:t>
            </w:r>
          </w:p>
        </w:tc>
      </w:tr>
      <w:tr>
        <w:tc>
          <w:tcPr>
            <w:tcW w:w="0" w:type="auto"/>
          </w:tcPr>
          <w:p>
            <w:pPr>
              <w:pStyle w:val="TableNote"/>
              <w:keepNext/>
              <w:keepLines/>
            </w:pPr>
            <w:r>
              <w:t xml:space="preserve">an originally inscribed </w:t>
            </w:r>
            <w:r>
              <w:rPr>
                <w:rStyle w:val="Foreign"/>
              </w:rPr>
              <w:t>maphalā</w:t>
            </w:r>
            <w:r>
              <w:t xml:space="preserve"> was corrected into </w:t>
            </w:r>
            <w:r>
              <w:rPr>
                <w:rStyle w:val="Foreign"/>
              </w:rPr>
              <w:t>makaphalā</w:t>
            </w:r>
            <w:r>
              <w:t xml:space="preserve"> by adding </w:t>
            </w:r>
            <w:r>
              <w:rPr>
                <w:rStyle w:val="Foreign"/>
              </w:rPr>
              <w:t>ka</w:t>
            </w:r>
            <w:r>
              <w:t xml:space="preserve"> between lines below this word </w:t>
            </w:r>
            <w:r>
              <w:rPr>
                <w:noProof/>
              </w:rPr>
              <w:t>(</w:t>
            </w:r>
            <w:r>
              <w:t>see the illustration)</w:t>
            </w:r>
          </w:p>
          <w:p>
            <w:pPr>
              <w:pStyle w:val="TableNote"/>
              <w:keepNext/>
              <w:keepLines/>
            </w:pPr>
            <w:r>
              <w:t xml:space="preserve">the scribal marks on the left and right of the added </w:t>
            </w:r>
            <w:r>
              <w:rPr>
                <w:rStyle w:val="Foreign"/>
              </w:rPr>
              <w:t>ka</w:t>
            </w:r>
            <w:r>
              <w:t xml:space="preserve"> look like punctuation marks, but the scribe’s intention was </w:t>
            </w:r>
            <w:r>
              <w:rPr>
                <w:b/>
                <w:bCs/>
              </w:rPr>
              <w:t>not</w:t>
            </w:r>
            <w:r>
              <w:t xml:space="preserve"> to write </w:t>
            </w:r>
            <w:r>
              <w:rPr>
                <w:rStyle w:val="Foreign"/>
              </w:rPr>
              <w:t>ma,ka,phalā</w:t>
            </w:r>
            <w:r>
              <w:t xml:space="preserve"> so we should not interpret these marks as punctuation marks</w:t>
            </w:r>
          </w:p>
        </w:tc>
        <w:tc>
          <w:tcPr>
            <w:tcW w:w="0" w:type="auto"/>
          </w:tcPr>
          <w:p>
            <w:pPr>
              <w:pStyle w:val="Image"/>
              <w:keepLines/>
              <w:widowControl/>
              <w:spacing w:after="0"/>
            </w:pPr>
            <w:r>
              <w:drawing>
                <wp:inline distT="0" distB="0" distL="0" distR="0">
                  <wp:extent cx="1771200" cy="1080000"/>
                  <wp:effectExtent l="0" t="0" r="635" b="635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7">
                            <a:extLst>
                              <a:ext uri="{28A0092B-C50C-407E-A947-70E740481C1C}">
                                <a14:useLocalDpi xmlns:a14="http://schemas.microsoft.com/office/drawing/2010/main" val="0"/>
                              </a:ext>
                            </a:extLst>
                          </a:blip>
                          <a:srcRect/>
                          <a:stretch>
                            <a:fillRect/>
                          </a:stretch>
                        </pic:blipFill>
                        <pic:spPr>
                          <a:xfrm>
                            <a:off x="0" y="0"/>
                            <a:ext cx="1771200" cy="1080000"/>
                          </a:xfrm>
                          <a:prstGeom prst="rect">
                            <a:avLst/>
                          </a:prstGeom>
                          <a:ln/>
                        </pic:spPr>
                      </pic:pic>
                    </a:graphicData>
                  </a:graphic>
                </wp:inline>
              </w:drawing>
            </w:r>
          </w:p>
        </w:tc>
      </w:tr>
      <w:tr>
        <w:tc>
          <w:tcPr>
            <w:tcW w:w="0" w:type="auto"/>
            <w:gridSpan w:val="2"/>
          </w:tcPr>
          <w:p>
            <w:pPr>
              <w:pStyle w:val="CodeParagraph"/>
              <w:rPr>
                <w:rStyle w:val="Code"/>
              </w:rPr>
            </w:pPr>
            <w:r>
              <w:rPr>
                <w:rStyle w:val="Codetext"/>
              </w:rPr>
              <w:t>ma</w:t>
            </w:r>
            <w:r>
              <w:rPr>
                <w:rStyle w:val="Code"/>
              </w:rPr>
              <w:t xml:space="preserve">&lt;add </w:t>
            </w:r>
            <w:r>
              <w:rPr>
                <w:rStyle w:val="Codeattribute"/>
              </w:rPr>
              <w:t>place</w:t>
            </w:r>
            <w:r>
              <w:rPr>
                <w:rStyle w:val="Code"/>
              </w:rPr>
              <w:t>=</w:t>
            </w:r>
            <w:r>
              <w:rPr>
                <w:rStyle w:val="Codevalue"/>
              </w:rPr>
              <w:t>"below"</w:t>
            </w:r>
            <w:r>
              <w:rPr>
                <w:rStyle w:val="Code"/>
              </w:rPr>
              <w:t xml:space="preserve"> </w:t>
            </w:r>
            <w:r>
              <w:rPr>
                <w:rStyle w:val="Codeattribute"/>
              </w:rPr>
              <w:t>rend</w:t>
            </w:r>
            <w:r>
              <w:rPr>
                <w:rStyle w:val="Code"/>
              </w:rPr>
              <w:t>=</w:t>
            </w:r>
            <w:r>
              <w:rPr>
                <w:rStyle w:val="Codevalue"/>
              </w:rPr>
              <w:t>"mark"</w:t>
            </w:r>
            <w:r>
              <w:rPr>
                <w:rStyle w:val="Code"/>
              </w:rPr>
              <w:t>&gt;</w:t>
            </w:r>
            <w:r>
              <w:rPr>
                <w:rStyle w:val="Codetext"/>
              </w:rPr>
              <w:t>ka</w:t>
            </w:r>
            <w:r>
              <w:rPr>
                <w:rStyle w:val="Code"/>
              </w:rPr>
              <w:t>&lt;/add&gt;</w:t>
            </w:r>
            <w:r>
              <w:rPr>
                <w:rStyle w:val="Codetext"/>
              </w:rPr>
              <w:t>phalā</w:t>
            </w:r>
          </w:p>
        </w:tc>
      </w:tr>
    </w:tbl>
    <w:p>
      <w:bookmarkStart w:id="478" w:name="_maecup4bnx3" w:colFirst="0" w:colLast="0"/>
      <w:bookmarkStart w:id="479" w:name="_Ref43987708"/>
      <w:bookmarkEnd w:id="478"/>
    </w:p>
    <w:tbl>
      <w:tblPr>
        <w:tblStyle w:val="CodeSampleTable"/>
        <w:tblW w:w="5000" w:type="pct"/>
        <w:tblLook w:val="04A0" w:firstRow="1" w:lastRow="0" w:firstColumn="1" w:lastColumn="0" w:noHBand="0" w:noVBand="1"/>
      </w:tblPr>
      <w:tblGrid>
        <w:gridCol w:w="6091"/>
        <w:gridCol w:w="3537"/>
      </w:tblGrid>
      <w:tr>
        <w:trPr>
          <w:cnfStyle w:val="100000000000" w:firstRow="1" w:lastRow="0" w:firstColumn="0" w:lastColumn="0" w:oddVBand="0" w:evenVBand="0" w:oddHBand="0" w:evenHBand="0" w:firstRowFirstColumn="0" w:firstRowLastColumn="0" w:lastRowFirstColumn="0" w:lastRowLastColumn="0"/>
        </w:trPr>
        <w:tc>
          <w:tcPr>
            <w:tcW w:w="5000" w:type="pct"/>
            <w:gridSpan w:val="2"/>
          </w:tcPr>
          <w:p>
            <w:pPr>
              <w:pStyle w:val="Kpalrs"/>
              <w:keepLines/>
            </w:pPr>
            <w:bookmarkStart w:id="480" w:name="_Ref227849782"/>
            <w:r>
              <w:t xml:space="preserve">Exhibit </w:t>
            </w:r>
            <w:fldSimple w:instr=" STYLEREF 2 \s ">
              <w:r>
                <w:rPr>
                  <w:noProof/>
                </w:rPr>
                <w:t>5.5</w:t>
              </w:r>
            </w:fldSimple>
            <w:r>
              <w:t>.</w:t>
            </w:r>
            <w:fldSimple w:instr=" SEQ Exhibit \* ALPHABETIC \s 2 ">
              <w:r>
                <w:rPr>
                  <w:noProof/>
                </w:rPr>
                <w:t>D</w:t>
              </w:r>
            </w:fldSimple>
            <w:bookmarkEnd w:id="480"/>
            <w:r>
              <w:t>: premodern addition with a scribal mark next to the place of addition</w:t>
            </w:r>
          </w:p>
        </w:tc>
      </w:tr>
      <w:tr>
        <w:tc>
          <w:tcPr>
            <w:tcW w:w="3163" w:type="pct"/>
          </w:tcPr>
          <w:p>
            <w:pPr>
              <w:pStyle w:val="TableNote"/>
              <w:keepNext/>
              <w:keepLines/>
            </w:pPr>
            <w:r>
              <w:t xml:space="preserve">the glyph </w:t>
            </w:r>
            <w:r>
              <w:rPr>
                <w:rStyle w:val="Foreign"/>
              </w:rPr>
              <w:t>va</w:t>
            </w:r>
            <w:r>
              <w:t xml:space="preserve"> was omitted from the text </w:t>
            </w:r>
            <w:r>
              <w:rPr>
                <w:rStyle w:val="Foreign"/>
              </w:rPr>
              <w:t>°r avadhāraṇayā</w:t>
            </w:r>
          </w:p>
          <w:p>
            <w:pPr>
              <w:pStyle w:val="TableNote"/>
              <w:keepNext/>
              <w:keepLines/>
            </w:pPr>
            <w:r>
              <w:t>subsequently inserted below the line</w:t>
            </w:r>
          </w:p>
          <w:p>
            <w:pPr>
              <w:pStyle w:val="TableNote"/>
              <w:keepNext/>
              <w:keepLines/>
            </w:pPr>
            <w:r>
              <w:t xml:space="preserve">with </w:t>
            </w:r>
            <w:r>
              <w:rPr>
                <w:rStyle w:val="Foreign"/>
              </w:rPr>
              <w:t>kākapada</w:t>
            </w:r>
            <w:r>
              <w:t xml:space="preserve"> marking the spot of addition</w:t>
            </w:r>
          </w:p>
        </w:tc>
        <w:tc>
          <w:tcPr>
            <w:tcW w:w="1837" w:type="pct"/>
          </w:tcPr>
          <w:p>
            <w:pPr>
              <w:pStyle w:val="Image"/>
              <w:keepLines/>
              <w:widowControl/>
              <w:spacing w:after="0"/>
            </w:pPr>
            <w:r>
              <w:rPr>
                <w:rStyle w:val="Codetext"/>
              </w:rPr>
              <w:drawing>
                <wp:inline distT="0" distB="0" distL="0" distR="0">
                  <wp:extent cx="2001600" cy="1080000"/>
                  <wp:effectExtent l="0" t="0" r="0" b="6350"/>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001600" cy="1080000"/>
                          </a:xfrm>
                          <a:prstGeom prst="rect">
                            <a:avLst/>
                          </a:prstGeom>
                          <a:noFill/>
                          <a:ln>
                            <a:noFill/>
                          </a:ln>
                        </pic:spPr>
                      </pic:pic>
                    </a:graphicData>
                  </a:graphic>
                </wp:inline>
              </w:drawing>
            </w:r>
          </w:p>
        </w:tc>
      </w:tr>
      <w:tr>
        <w:tc>
          <w:tcPr>
            <w:tcW w:w="5000" w:type="pct"/>
            <w:gridSpan w:val="2"/>
          </w:tcPr>
          <w:p>
            <w:pPr>
              <w:pStyle w:val="CodeParagraph"/>
              <w:rPr>
                <w:rStyle w:val="Code"/>
              </w:rPr>
            </w:pPr>
            <w:r>
              <w:rPr>
                <w:rStyle w:val="Code"/>
              </w:rPr>
              <w:t xml:space="preserve">r a&lt;add </w:t>
            </w:r>
            <w:r>
              <w:rPr>
                <w:rStyle w:val="Codeattribute"/>
              </w:rPr>
              <w:t>place</w:t>
            </w:r>
            <w:r>
              <w:rPr>
                <w:rStyle w:val="Code"/>
              </w:rPr>
              <w:t>=</w:t>
            </w:r>
            <w:r>
              <w:rPr>
                <w:rStyle w:val="Codevalue"/>
              </w:rPr>
              <w:t xml:space="preserve">"below" </w:t>
            </w:r>
            <w:r>
              <w:rPr>
                <w:rStyle w:val="Codeattribute"/>
              </w:rPr>
              <w:t>rend</w:t>
            </w:r>
            <w:r>
              <w:rPr>
                <w:rStyle w:val="Code"/>
              </w:rPr>
              <w:t>=</w:t>
            </w:r>
            <w:r>
              <w:rPr>
                <w:rStyle w:val="Codevalue"/>
              </w:rPr>
              <w:t>"mark"</w:t>
            </w:r>
            <w:r>
              <w:rPr>
                <w:rStyle w:val="Code"/>
              </w:rPr>
              <w:t>&gt;</w:t>
            </w:r>
            <w:r>
              <w:rPr>
                <w:rStyle w:val="Codetext"/>
              </w:rPr>
              <w:t>va</w:t>
            </w:r>
            <w:r>
              <w:rPr>
                <w:rStyle w:val="Code"/>
              </w:rPr>
              <w:t>&lt;/add&gt;&lt;/subst&gt;</w:t>
            </w:r>
            <w:r>
              <w:rPr>
                <w:rStyle w:val="Codetext"/>
              </w:rPr>
              <w:t>dhāraṇayā</w:t>
            </w:r>
          </w:p>
        </w:tc>
      </w:tr>
    </w:tbl>
    <w:p/>
    <w:p>
      <w:pPr>
        <w:pStyle w:val="Cmsor3"/>
      </w:pPr>
      <w:bookmarkStart w:id="481" w:name="_Ref74727538"/>
      <w:bookmarkStart w:id="482" w:name="_Toc242976638"/>
      <w:r>
        <w:t>Scribal correction</w:t>
      </w:r>
      <w:bookmarkEnd w:id="479"/>
      <w:bookmarkEnd w:id="481"/>
      <w:bookmarkEnd w:id="482"/>
    </w:p>
    <w:p>
      <w:r>
        <w:t xml:space="preserve">Scribal correction is the deliberate cancellation of one or more graphemes in a pre-written text by a scribe, accompanied by the restitution of (not necessarily the same number of) other graphemes. Scribal correction is usually of editorial nature, replacing text deemed erroneous with text deemed correct, but may also be an amendment of the content. </w:t>
      </w:r>
    </w:p>
    <w:p>
      <w:pPr>
        <w:pStyle w:val="Lista"/>
      </w:pPr>
      <w:r>
        <w:t xml:space="preserve">when a correction is inscribed over previously engraved text which was rendered altogether illegible in the process and cannot be restored with any confidence, encode the correction as an addition with </w:t>
      </w:r>
      <w:r>
        <w:rPr>
          <w:rStyle w:val="Codeattribute"/>
        </w:rPr>
        <w:t>@place</w:t>
      </w:r>
      <w:r>
        <w:rPr>
          <w:rStyle w:val="Code"/>
        </w:rPr>
        <w:t>=</w:t>
      </w:r>
      <w:r>
        <w:rPr>
          <w:rStyle w:val="Codevalue"/>
        </w:rPr>
        <w:t>"overstrike"</w:t>
      </w:r>
      <w:r>
        <w:t xml:space="preserve">, as in </w:t>
      </w:r>
      <w:r>
        <w:fldChar w:fldCharType="begin"/>
      </w:r>
      <w:r>
        <w:instrText xml:space="preserve"> REF _Ref227852073 \h </w:instrText>
      </w:r>
      <w:r>
        <w:fldChar w:fldCharType="separate"/>
      </w:r>
      <w:r>
        <w:t xml:space="preserve">Exhibit </w:t>
      </w:r>
      <w:r>
        <w:rPr>
          <w:noProof/>
        </w:rPr>
        <w:t>5.5</w:t>
      </w:r>
      <w:r>
        <w:t>.</w:t>
      </w:r>
      <w:r>
        <w:rPr>
          <w:noProof/>
        </w:rPr>
        <w:t>E</w:t>
      </w:r>
      <w:r>
        <w:fldChar w:fldCharType="end"/>
      </w:r>
    </w:p>
    <w:p>
      <w:pPr>
        <w:pStyle w:val="Lista2"/>
      </w:pPr>
      <w:r>
        <w:t>in this case, the presence of cancelled pre-correction text is merely implied by the special value of this attribute</w:t>
      </w:r>
    </w:p>
    <w:p>
      <w:pPr>
        <w:pStyle w:val="Lista"/>
      </w:pPr>
      <w:r>
        <w:t xml:space="preserve">whenever any of the pre-correction text can be read or restored, with high or low confidence, scribal correction must be encoded as a combination of scribal deletion and scribal addition, wrapped in the element </w:t>
      </w:r>
      <w:r>
        <w:rPr>
          <w:rStyle w:val="Code"/>
        </w:rPr>
        <w:t>&lt;subst&gt;</w:t>
      </w:r>
      <w:r>
        <w:t xml:space="preserve"> to show that one is meant to be substituted by the other</w:t>
      </w:r>
    </w:p>
    <w:p>
      <w:pPr>
        <w:pStyle w:val="Lista2"/>
      </w:pPr>
      <w:r>
        <w:t xml:space="preserve">within this element, use </w:t>
      </w:r>
      <w:r>
        <w:rPr>
          <w:rStyle w:val="Code"/>
        </w:rPr>
        <w:t>&lt;del&gt;</w:t>
      </w:r>
      <w:r>
        <w:t xml:space="preserve"> (§</w:t>
      </w:r>
      <w:r>
        <w:fldChar w:fldCharType="begin"/>
      </w:r>
      <w:r>
        <w:instrText xml:space="preserve"> REF _Ref43985171 \r \h </w:instrText>
      </w:r>
      <w:r>
        <w:fldChar w:fldCharType="separate"/>
      </w:r>
      <w:r>
        <w:t>5.5.1</w:t>
      </w:r>
      <w:r>
        <w:fldChar w:fldCharType="end"/>
      </w:r>
      <w:r>
        <w:t xml:space="preserve">) and </w:t>
      </w:r>
      <w:r>
        <w:rPr>
          <w:rStyle w:val="Code"/>
        </w:rPr>
        <w:t>&lt;add&gt;</w:t>
      </w:r>
      <w:r>
        <w:t xml:space="preserve"> (§</w:t>
      </w:r>
      <w:r>
        <w:fldChar w:fldCharType="begin"/>
      </w:r>
      <w:r>
        <w:instrText xml:space="preserve"> REF _Ref227850832 \r \h </w:instrText>
      </w:r>
      <w:r>
        <w:fldChar w:fldCharType="separate"/>
      </w:r>
      <w:r>
        <w:t>5.5.2</w:t>
      </w:r>
      <w:r>
        <w:fldChar w:fldCharType="end"/>
      </w:r>
      <w:r>
        <w:t>) as instructed above and with any applicable attributes, with the following additional considerations</w:t>
      </w:r>
    </w:p>
    <w:p>
      <w:pPr>
        <w:pStyle w:val="Lista3"/>
      </w:pPr>
      <w:r>
        <w:t xml:space="preserve">use the attribute </w:t>
      </w:r>
      <w:r>
        <w:rPr>
          <w:rStyle w:val="Codeattribute"/>
        </w:rPr>
        <w:t>@rend=</w:t>
      </w:r>
      <w:r>
        <w:rPr>
          <w:rStyle w:val="Codevalue"/>
        </w:rPr>
        <w:t>"corrected"</w:t>
      </w:r>
      <w:r>
        <w:t xml:space="preserve"> on </w:t>
      </w:r>
      <w:r>
        <w:rPr>
          <w:rStyle w:val="Code"/>
        </w:rPr>
        <w:t>&lt;add&gt;</w:t>
      </w:r>
      <w:r>
        <w:t xml:space="preserve"> if the text to be replaced was neither erased nor marked for cancellation</w:t>
      </w:r>
    </w:p>
    <w:p>
      <w:pPr>
        <w:pStyle w:val="Lista4"/>
      </w:pPr>
      <w:r>
        <w:t xml:space="preserve">either because it was overwritten with the post-correction text, as in </w:t>
      </w:r>
      <w:r>
        <w:fldChar w:fldCharType="begin"/>
      </w:r>
      <w:r>
        <w:instrText xml:space="preserve"> REF _Ref227852073 \h </w:instrText>
      </w:r>
      <w:r>
        <w:fldChar w:fldCharType="separate"/>
      </w:r>
      <w:r>
        <w:t xml:space="preserve">Exhibit </w:t>
      </w:r>
      <w:r>
        <w:rPr>
          <w:noProof/>
        </w:rPr>
        <w:t>5.5</w:t>
      </w:r>
      <w:r>
        <w:t>.</w:t>
      </w:r>
      <w:r>
        <w:rPr>
          <w:noProof/>
        </w:rPr>
        <w:t>E</w:t>
      </w:r>
      <w:r>
        <w:fldChar w:fldCharType="end"/>
      </w:r>
    </w:p>
    <w:p>
      <w:pPr>
        <w:pStyle w:val="Lista4"/>
      </w:pPr>
      <w:r>
        <w:t xml:space="preserve">or because it was left in place without any apparent alteration and the post-correction text was inscribed nearby, as in </w:t>
      </w:r>
      <w:r>
        <w:fldChar w:fldCharType="begin"/>
      </w:r>
      <w:r>
        <w:instrText xml:space="preserve"> REF _Ref227852091 \h </w:instrText>
      </w:r>
      <w:r>
        <w:fldChar w:fldCharType="separate"/>
      </w:r>
      <w:r>
        <w:t xml:space="preserve">Exhibit </w:t>
      </w:r>
      <w:r>
        <w:rPr>
          <w:noProof/>
        </w:rPr>
        <w:t>5.5</w:t>
      </w:r>
      <w:r>
        <w:t>.</w:t>
      </w:r>
      <w:r>
        <w:rPr>
          <w:noProof/>
        </w:rPr>
        <w:t>F</w:t>
      </w:r>
      <w:r>
        <w:fldChar w:fldCharType="end"/>
      </w:r>
    </w:p>
    <w:p>
      <w:pPr>
        <w:pStyle w:val="Lista3"/>
      </w:pPr>
      <w:r>
        <w:t xml:space="preserve">use the attribute the attribute </w:t>
      </w:r>
      <w:r>
        <w:rPr>
          <w:rStyle w:val="Codeattribute"/>
        </w:rPr>
        <w:t>@place=</w:t>
      </w:r>
      <w:r>
        <w:rPr>
          <w:rStyle w:val="Codevalue"/>
        </w:rPr>
        <w:t>"overstrike"</w:t>
      </w:r>
      <w:r>
        <w:t xml:space="preserve"> on </w:t>
      </w:r>
      <w:r>
        <w:rPr>
          <w:rStyle w:val="Code"/>
        </w:rPr>
        <w:t>&lt;add&gt;</w:t>
      </w:r>
      <w:r>
        <w:t xml:space="preserve"> if the replacement text is inscribed right over the pre-correction text </w:t>
      </w:r>
      <w:r>
        <w:rPr>
          <w:noProof/>
        </w:rPr>
        <w:t>(</w:t>
      </w:r>
      <w:r>
        <w:t xml:space="preserve">rather than at some other position), as in </w:t>
      </w:r>
      <w:r>
        <w:fldChar w:fldCharType="begin"/>
      </w:r>
      <w:r>
        <w:instrText xml:space="preserve"> REF _Ref227852073 \h </w:instrText>
      </w:r>
      <w:r>
        <w:fldChar w:fldCharType="separate"/>
      </w:r>
      <w:r>
        <w:t xml:space="preserve">Exhibit </w:t>
      </w:r>
      <w:r>
        <w:rPr>
          <w:noProof/>
        </w:rPr>
        <w:t>5.5</w:t>
      </w:r>
      <w:r>
        <w:t>.</w:t>
      </w:r>
      <w:r>
        <w:rPr>
          <w:noProof/>
        </w:rPr>
        <w:t>E</w:t>
      </w:r>
      <w:r>
        <w:fldChar w:fldCharType="end"/>
      </w:r>
    </w:p>
    <w:p>
      <w:pPr>
        <w:pStyle w:val="Lista"/>
      </w:pPr>
      <w:r>
        <w:lastRenderedPageBreak/>
        <w:t xml:space="preserve">occasionally, scribal correction may take place without explicit addition, when the correction consists in changing the order of the already inscribed glyphs, and this is indicated by a mark rather than by re-inscribing the glyphs in the correct order, as in </w:t>
      </w:r>
      <w:r>
        <w:fldChar w:fldCharType="begin"/>
      </w:r>
      <w:r>
        <w:instrText xml:space="preserve"> REF _Ref227853363 \h </w:instrText>
      </w:r>
      <w:r>
        <w:fldChar w:fldCharType="separate"/>
      </w:r>
      <w:r>
        <w:t xml:space="preserve">Exhibit </w:t>
      </w:r>
      <w:r>
        <w:rPr>
          <w:noProof/>
        </w:rPr>
        <w:t>5.5</w:t>
      </w:r>
      <w:r>
        <w:t>.</w:t>
      </w:r>
      <w:r>
        <w:rPr>
          <w:noProof/>
        </w:rPr>
        <w:t>H</w:t>
      </w:r>
      <w:r>
        <w:fldChar w:fldCharType="end"/>
      </w:r>
    </w:p>
    <w:p>
      <w:pPr>
        <w:pStyle w:val="Lista2"/>
      </w:pPr>
      <w:r>
        <w:t xml:space="preserve">if you are confident in your interpretation of such a situation, encode scribal correction normally, putting the presumably intended corrected reading in </w:t>
      </w:r>
      <w:r>
        <w:rPr>
          <w:rStyle w:val="Code"/>
        </w:rPr>
        <w:t>&lt;add&gt;</w:t>
      </w:r>
    </w:p>
    <w:p/>
    <w:tbl>
      <w:tblPr>
        <w:tblStyle w:val="CodeSampleTable"/>
        <w:tblW w:w="5000" w:type="pct"/>
        <w:tblLook w:val="04A0" w:firstRow="1" w:lastRow="0" w:firstColumn="1" w:lastColumn="0" w:noHBand="0" w:noVBand="1"/>
      </w:tblPr>
      <w:tblGrid>
        <w:gridCol w:w="5665"/>
        <w:gridCol w:w="3963"/>
      </w:tblGrid>
      <w:tr>
        <w:trPr>
          <w:cnfStyle w:val="100000000000" w:firstRow="1" w:lastRow="0" w:firstColumn="0" w:lastColumn="0" w:oddVBand="0" w:evenVBand="0" w:oddHBand="0" w:evenHBand="0" w:firstRowFirstColumn="0" w:firstRowLastColumn="0" w:lastRowFirstColumn="0" w:lastRowLastColumn="0"/>
        </w:trPr>
        <w:tc>
          <w:tcPr>
            <w:tcW w:w="5000" w:type="pct"/>
            <w:gridSpan w:val="2"/>
          </w:tcPr>
          <w:p>
            <w:pPr>
              <w:pStyle w:val="Kpalrs"/>
            </w:pPr>
            <w:bookmarkStart w:id="483" w:name="_Ref227852073"/>
            <w:r>
              <w:t xml:space="preserve">Exhibit </w:t>
            </w:r>
            <w:fldSimple w:instr=" STYLEREF 2 \s ">
              <w:r>
                <w:rPr>
                  <w:noProof/>
                </w:rPr>
                <w:t>5.5</w:t>
              </w:r>
            </w:fldSimple>
            <w:r>
              <w:t>.</w:t>
            </w:r>
            <w:fldSimple w:instr=" SEQ Exhibit \* ALPHABETIC \s 2 ">
              <w:r>
                <w:rPr>
                  <w:noProof/>
                </w:rPr>
                <w:t>E</w:t>
              </w:r>
            </w:fldSimple>
            <w:bookmarkEnd w:id="483"/>
            <w:r>
              <w:t>: scribal correction by overwriting</w:t>
            </w:r>
          </w:p>
        </w:tc>
      </w:tr>
      <w:tr>
        <w:tc>
          <w:tcPr>
            <w:tcW w:w="2942" w:type="pct"/>
          </w:tcPr>
          <w:p>
            <w:pPr>
              <w:pStyle w:val="TableNote"/>
              <w:keepNext/>
            </w:pPr>
            <w:r>
              <w:t xml:space="preserve">the glyphs </w:t>
            </w:r>
            <w:r>
              <w:rPr>
                <w:rStyle w:val="Foreign"/>
              </w:rPr>
              <w:t>tuṣṭa</w:t>
            </w:r>
            <w:r>
              <w:t xml:space="preserve"> were overwritten with </w:t>
            </w:r>
            <w:r>
              <w:rPr>
                <w:rStyle w:val="Foreign"/>
              </w:rPr>
              <w:t>catu</w:t>
            </w:r>
            <w:r>
              <w:t xml:space="preserve"> because the scribe had omitted the first </w:t>
            </w:r>
            <w:r>
              <w:rPr>
                <w:rStyle w:val="Foreign"/>
              </w:rPr>
              <w:t>akṣara</w:t>
            </w:r>
            <w:r>
              <w:t xml:space="preserve"> of the word </w:t>
            </w:r>
            <w:r>
              <w:rPr>
                <w:rStyle w:val="Foreign"/>
              </w:rPr>
              <w:t>catuṣṭayaṁ</w:t>
            </w:r>
            <w:r>
              <w:t>, but noticed and corrected the mistake immediately</w:t>
            </w:r>
          </w:p>
          <w:p>
            <w:pPr>
              <w:pStyle w:val="TableNote"/>
              <w:keepNext/>
            </w:pPr>
            <w:r>
              <w:t>the pre-correction glyphs are not deleted (</w:t>
            </w:r>
            <w:r>
              <w:rPr>
                <w:rStyle w:val="Codeattribute"/>
                <w:sz w:val="18"/>
                <w:szCs w:val="18"/>
              </w:rPr>
              <w:t>@rend</w:t>
            </w:r>
            <w:r>
              <w:rPr>
                <w:rStyle w:val="Codetext"/>
              </w:rPr>
              <w:t>=</w:t>
            </w:r>
            <w:r>
              <w:rPr>
                <w:rStyle w:val="Codevalue"/>
                <w:sz w:val="18"/>
                <w:szCs w:val="18"/>
              </w:rPr>
              <w:t>"corrected"</w:t>
            </w:r>
            <w:r>
              <w:t xml:space="preserve"> on </w:t>
            </w:r>
            <w:r>
              <w:rPr>
                <w:rStyle w:val="Code"/>
                <w:sz w:val="18"/>
                <w:szCs w:val="18"/>
              </w:rPr>
              <w:t>&lt;del&gt;</w:t>
            </w:r>
            <w:r>
              <w:t>)</w:t>
            </w:r>
          </w:p>
          <w:p>
            <w:pPr>
              <w:pStyle w:val="TableNote"/>
              <w:keepNext/>
            </w:pPr>
            <w:r>
              <w:t>the post-correction glyphs are written over the pre-correction text (</w:t>
            </w:r>
            <w:r>
              <w:rPr>
                <w:rStyle w:val="Codeattribute"/>
                <w:sz w:val="18"/>
                <w:szCs w:val="18"/>
              </w:rPr>
              <w:t>@place</w:t>
            </w:r>
            <w:r>
              <w:rPr>
                <w:rStyle w:val="Codetext"/>
              </w:rPr>
              <w:t>=</w:t>
            </w:r>
            <w:r>
              <w:rPr>
                <w:rStyle w:val="Codevalue"/>
                <w:sz w:val="18"/>
                <w:szCs w:val="18"/>
              </w:rPr>
              <w:t>"overstrike"</w:t>
            </w:r>
            <w:r>
              <w:t xml:space="preserve"> on </w:t>
            </w:r>
            <w:r>
              <w:rPr>
                <w:rStyle w:val="Code"/>
                <w:sz w:val="18"/>
                <w:szCs w:val="18"/>
              </w:rPr>
              <w:t>&lt;add&gt;</w:t>
            </w:r>
            <w:r>
              <w:t>)</w:t>
            </w:r>
          </w:p>
        </w:tc>
        <w:tc>
          <w:tcPr>
            <w:tcW w:w="2058" w:type="pct"/>
          </w:tcPr>
          <w:p>
            <w:pPr>
              <w:pStyle w:val="Image"/>
            </w:pPr>
            <w:r>
              <w:drawing>
                <wp:inline distT="0" distB="0" distL="0" distR="0">
                  <wp:extent cx="2365200" cy="1080000"/>
                  <wp:effectExtent l="0" t="0" r="0" b="6350"/>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365200" cy="1080000"/>
                          </a:xfrm>
                          <a:prstGeom prst="rect">
                            <a:avLst/>
                          </a:prstGeom>
                          <a:noFill/>
                          <a:ln>
                            <a:noFill/>
                          </a:ln>
                        </pic:spPr>
                      </pic:pic>
                    </a:graphicData>
                  </a:graphic>
                </wp:inline>
              </w:drawing>
            </w:r>
          </w:p>
        </w:tc>
      </w:tr>
      <w:tr>
        <w:tc>
          <w:tcPr>
            <w:tcW w:w="5000" w:type="pct"/>
            <w:gridSpan w:val="2"/>
          </w:tcPr>
          <w:p>
            <w:pPr>
              <w:pStyle w:val="CodeParagraph"/>
              <w:rPr>
                <w:rStyle w:val="Code"/>
              </w:rPr>
            </w:pPr>
            <w:r>
              <w:rPr>
                <w:rStyle w:val="Code"/>
              </w:rPr>
              <w:t xml:space="preserve">&lt;subst&gt;&lt;del </w:t>
            </w:r>
            <w:r>
              <w:rPr>
                <w:rStyle w:val="Codeattribute"/>
              </w:rPr>
              <w:t>rend</w:t>
            </w:r>
            <w:r>
              <w:rPr>
                <w:rStyle w:val="Code"/>
              </w:rPr>
              <w:t>=</w:t>
            </w:r>
            <w:r>
              <w:rPr>
                <w:rStyle w:val="Codevalue"/>
              </w:rPr>
              <w:t>"corrected"</w:t>
            </w:r>
            <w:r>
              <w:rPr>
                <w:rStyle w:val="Code"/>
              </w:rPr>
              <w:t>&gt;</w:t>
            </w:r>
            <w:r>
              <w:rPr>
                <w:rStyle w:val="Codetext"/>
              </w:rPr>
              <w:t>tuṣṭa</w:t>
            </w:r>
            <w:r>
              <w:rPr>
                <w:rStyle w:val="Code"/>
              </w:rPr>
              <w:t>&lt;/del&gt;&lt;add p</w:t>
            </w:r>
            <w:r>
              <w:rPr>
                <w:rStyle w:val="Codeattribute"/>
              </w:rPr>
              <w:t>lace</w:t>
            </w:r>
            <w:r>
              <w:rPr>
                <w:rStyle w:val="Code"/>
              </w:rPr>
              <w:t>=</w:t>
            </w:r>
            <w:r>
              <w:rPr>
                <w:rStyle w:val="Codevalue"/>
              </w:rPr>
              <w:t>"overstrike"</w:t>
            </w:r>
            <w:r>
              <w:rPr>
                <w:rStyle w:val="Code"/>
              </w:rPr>
              <w:t>&gt;</w:t>
            </w:r>
            <w:r>
              <w:rPr>
                <w:rStyle w:val="Codetext"/>
              </w:rPr>
              <w:t>catu</w:t>
            </w:r>
            <w:r>
              <w:rPr>
                <w:rStyle w:val="Code"/>
              </w:rPr>
              <w:t>&lt;/add&gt;&lt;/subst&gt;</w:t>
            </w:r>
            <w:r>
              <w:rPr>
                <w:rStyle w:val="Codetext"/>
              </w:rPr>
              <w:t>ṣṭayaṁ</w:t>
            </w:r>
          </w:p>
        </w:tc>
      </w:tr>
    </w:tbl>
    <w:p/>
    <w:tbl>
      <w:tblPr>
        <w:tblStyle w:val="CodeSampleTable"/>
        <w:tblW w:w="5000" w:type="pct"/>
        <w:tblLook w:val="04A0" w:firstRow="1" w:lastRow="0" w:firstColumn="1" w:lastColumn="0" w:noHBand="0" w:noVBand="1"/>
      </w:tblPr>
      <w:tblGrid>
        <w:gridCol w:w="5808"/>
        <w:gridCol w:w="3820"/>
      </w:tblGrid>
      <w:tr>
        <w:trPr>
          <w:cnfStyle w:val="100000000000" w:firstRow="1" w:lastRow="0" w:firstColumn="0" w:lastColumn="0" w:oddVBand="0" w:evenVBand="0" w:oddHBand="0" w:evenHBand="0" w:firstRowFirstColumn="0" w:firstRowLastColumn="0" w:lastRowFirstColumn="0" w:lastRowLastColumn="0"/>
        </w:trPr>
        <w:tc>
          <w:tcPr>
            <w:tcW w:w="5000" w:type="pct"/>
            <w:gridSpan w:val="2"/>
          </w:tcPr>
          <w:p>
            <w:pPr>
              <w:pStyle w:val="Kpalrs"/>
            </w:pPr>
            <w:bookmarkStart w:id="484" w:name="_Ref227852091"/>
            <w:r>
              <w:t xml:space="preserve">Exhibit </w:t>
            </w:r>
            <w:fldSimple w:instr=" STYLEREF 2 \s ">
              <w:r>
                <w:rPr>
                  <w:noProof/>
                </w:rPr>
                <w:t>5.5</w:t>
              </w:r>
            </w:fldSimple>
            <w:r>
              <w:t>.</w:t>
            </w:r>
            <w:fldSimple w:instr=" SEQ Exhibit \* ALPHABETIC \s 2 ">
              <w:r>
                <w:rPr>
                  <w:noProof/>
                </w:rPr>
                <w:t>F</w:t>
              </w:r>
            </w:fldSimple>
            <w:bookmarkEnd w:id="484"/>
            <w:r>
              <w:t>: scribal correction written inline</w:t>
            </w:r>
          </w:p>
        </w:tc>
      </w:tr>
      <w:tr>
        <w:trPr>
          <w:trHeight w:val="1830"/>
        </w:trPr>
        <w:tc>
          <w:tcPr>
            <w:tcW w:w="3016" w:type="pct"/>
          </w:tcPr>
          <w:p>
            <w:pPr>
              <w:pStyle w:val="TableNote"/>
              <w:keepNext/>
            </w:pPr>
            <w:r>
              <w:t xml:space="preserve">an originally inscribed </w:t>
            </w:r>
            <w:r>
              <w:rPr>
                <w:rStyle w:val="Foreign"/>
              </w:rPr>
              <w:t>dvau</w:t>
            </w:r>
            <w:r>
              <w:t xml:space="preserve"> was corrected to </w:t>
            </w:r>
            <w:r>
              <w:rPr>
                <w:rStyle w:val="Foreign"/>
              </w:rPr>
              <w:t>dve</w:t>
            </w:r>
            <w:r>
              <w:t xml:space="preserve"> immediately</w:t>
            </w:r>
          </w:p>
          <w:p>
            <w:pPr>
              <w:pStyle w:val="TableNote"/>
              <w:keepNext/>
            </w:pPr>
            <w:r>
              <w:t>the correction is placed after the pre-correction glyph (</w:t>
            </w:r>
            <w:r>
              <w:rPr>
                <w:rStyle w:val="Codeattribute"/>
                <w:sz w:val="18"/>
                <w:szCs w:val="18"/>
              </w:rPr>
              <w:t>@place</w:t>
            </w:r>
            <w:r>
              <w:rPr>
                <w:rStyle w:val="Codetext"/>
              </w:rPr>
              <w:t>=</w:t>
            </w:r>
            <w:r>
              <w:rPr>
                <w:rStyle w:val="Codevalue"/>
                <w:sz w:val="18"/>
                <w:szCs w:val="18"/>
              </w:rPr>
              <w:t>"inline"</w:t>
            </w:r>
            <w:r>
              <w:t xml:space="preserve"> on </w:t>
            </w:r>
            <w:r>
              <w:rPr>
                <w:rStyle w:val="Code"/>
                <w:sz w:val="18"/>
                <w:szCs w:val="18"/>
              </w:rPr>
              <w:t>&lt;add&gt;</w:t>
            </w:r>
            <w:r>
              <w:t>)</w:t>
            </w:r>
          </w:p>
          <w:p>
            <w:pPr>
              <w:pStyle w:val="TableNote"/>
              <w:keepNext/>
            </w:pPr>
            <w:r>
              <w:t xml:space="preserve">the incorrect </w:t>
            </w:r>
            <w:r>
              <w:rPr>
                <w:rStyle w:val="Foreign"/>
              </w:rPr>
              <w:t>dvau</w:t>
            </w:r>
            <w:r>
              <w:t xml:space="preserve"> was not explicitly cancelled (</w:t>
            </w:r>
            <w:r>
              <w:rPr>
                <w:rStyle w:val="Codeattribute"/>
                <w:sz w:val="18"/>
                <w:szCs w:val="18"/>
              </w:rPr>
              <w:t>@rend</w:t>
            </w:r>
            <w:r>
              <w:rPr>
                <w:rStyle w:val="Codetext"/>
              </w:rPr>
              <w:t>=</w:t>
            </w:r>
            <w:r>
              <w:rPr>
                <w:rStyle w:val="Codevalue"/>
                <w:sz w:val="18"/>
                <w:szCs w:val="18"/>
              </w:rPr>
              <w:t>"corrected"</w:t>
            </w:r>
            <w:r>
              <w:t xml:space="preserve"> on </w:t>
            </w:r>
            <w:r>
              <w:rPr>
                <w:rStyle w:val="Code"/>
                <w:sz w:val="18"/>
                <w:szCs w:val="18"/>
              </w:rPr>
              <w:t>&lt;del&gt;</w:t>
            </w:r>
            <w:r>
              <w:t>)</w:t>
            </w:r>
          </w:p>
        </w:tc>
        <w:tc>
          <w:tcPr>
            <w:tcW w:w="1984" w:type="pct"/>
          </w:tcPr>
          <w:p>
            <w:pPr>
              <w:pStyle w:val="Image"/>
            </w:pPr>
            <w:r>
              <w:rPr>
                <w:rStyle w:val="Codevalue"/>
              </w:rPr>
              <w:drawing>
                <wp:inline distT="0" distB="0" distL="0" distR="0">
                  <wp:extent cx="2347200" cy="1080000"/>
                  <wp:effectExtent l="0" t="0" r="0" b="635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347200" cy="1080000"/>
                          </a:xfrm>
                          <a:prstGeom prst="rect">
                            <a:avLst/>
                          </a:prstGeom>
                          <a:noFill/>
                          <a:ln>
                            <a:noFill/>
                          </a:ln>
                        </pic:spPr>
                      </pic:pic>
                    </a:graphicData>
                  </a:graphic>
                </wp:inline>
              </w:drawing>
            </w:r>
          </w:p>
        </w:tc>
      </w:tr>
      <w:tr>
        <w:tc>
          <w:tcPr>
            <w:tcW w:w="5000" w:type="pct"/>
            <w:gridSpan w:val="2"/>
          </w:tcPr>
          <w:p>
            <w:pPr>
              <w:pStyle w:val="CodeParagraph"/>
              <w:rPr>
                <w:rStyle w:val="Code"/>
              </w:rPr>
            </w:pPr>
            <w:r>
              <w:rPr>
                <w:rStyle w:val="Codetext"/>
              </w:rPr>
              <w:t xml:space="preserve">devakule </w:t>
            </w:r>
            <w:r>
              <w:rPr>
                <w:rStyle w:val="Code"/>
              </w:rPr>
              <w:t xml:space="preserve">&lt;subst&gt;&lt;del </w:t>
            </w:r>
            <w:r>
              <w:rPr>
                <w:rStyle w:val="Codeattribute"/>
              </w:rPr>
              <w:t>rend</w:t>
            </w:r>
            <w:r>
              <w:rPr>
                <w:rStyle w:val="Codetext"/>
              </w:rPr>
              <w:t>=</w:t>
            </w:r>
            <w:r>
              <w:rPr>
                <w:rStyle w:val="Codevalue"/>
              </w:rPr>
              <w:t>"corrected"</w:t>
            </w:r>
            <w:r>
              <w:rPr>
                <w:rStyle w:val="Code"/>
              </w:rPr>
              <w:t>&gt;</w:t>
            </w:r>
            <w:r>
              <w:rPr>
                <w:rStyle w:val="Codetext"/>
              </w:rPr>
              <w:t>dvau</w:t>
            </w:r>
            <w:r>
              <w:rPr>
                <w:rStyle w:val="Code"/>
              </w:rPr>
              <w:t xml:space="preserve">&lt;/del&gt;&lt;add </w:t>
            </w:r>
            <w:r>
              <w:rPr>
                <w:rStyle w:val="Codeattribute"/>
              </w:rPr>
              <w:t>place</w:t>
            </w:r>
            <w:r>
              <w:rPr>
                <w:rStyle w:val="Codetext"/>
              </w:rPr>
              <w:t>=</w:t>
            </w:r>
            <w:r>
              <w:rPr>
                <w:rStyle w:val="Codevalue"/>
              </w:rPr>
              <w:t>"inline"</w:t>
            </w:r>
            <w:r>
              <w:rPr>
                <w:rStyle w:val="Code"/>
              </w:rPr>
              <w:t>&gt;</w:t>
            </w:r>
            <w:r>
              <w:rPr>
                <w:rStyle w:val="Codetext"/>
              </w:rPr>
              <w:t>dve</w:t>
            </w:r>
            <w:r>
              <w:rPr>
                <w:rStyle w:val="Code"/>
              </w:rPr>
              <w:t>&lt;/add&gt;&lt;/subst&gt;</w:t>
            </w:r>
          </w:p>
        </w:tc>
      </w:tr>
    </w:tbl>
    <w:p/>
    <w:tbl>
      <w:tblPr>
        <w:tblStyle w:val="CodeSampleTable"/>
        <w:tblW w:w="5000" w:type="pct"/>
        <w:tblLook w:val="04A0" w:firstRow="1" w:lastRow="0" w:firstColumn="1" w:lastColumn="0" w:noHBand="0" w:noVBand="1"/>
      </w:tblPr>
      <w:tblGrid>
        <w:gridCol w:w="6659"/>
        <w:gridCol w:w="2969"/>
      </w:tblGrid>
      <w:tr>
        <w:trPr>
          <w:cnfStyle w:val="100000000000" w:firstRow="1" w:lastRow="0" w:firstColumn="0" w:lastColumn="0" w:oddVBand="0" w:evenVBand="0" w:oddHBand="0" w:evenHBand="0" w:firstRowFirstColumn="0" w:firstRowLastColumn="0" w:lastRowFirstColumn="0" w:lastRowLastColumn="0"/>
        </w:trPr>
        <w:tc>
          <w:tcPr>
            <w:tcW w:w="5000" w:type="pct"/>
            <w:gridSpan w:val="2"/>
          </w:tcPr>
          <w:p>
            <w:pPr>
              <w:pStyle w:val="Kpalrs"/>
              <w:keepLines/>
            </w:pPr>
            <w:bookmarkStart w:id="485" w:name="_Ref44078634"/>
            <w:r>
              <w:t xml:space="preserve">Exhibit </w:t>
            </w:r>
            <w:fldSimple w:instr=" STYLEREF 2 \s ">
              <w:r>
                <w:rPr>
                  <w:noProof/>
                </w:rPr>
                <w:t>5.5</w:t>
              </w:r>
            </w:fldSimple>
            <w:r>
              <w:t>.</w:t>
            </w:r>
            <w:fldSimple w:instr=" SEQ Exhibit \* ALPHABETIC \s 2 ">
              <w:r>
                <w:rPr>
                  <w:noProof/>
                </w:rPr>
                <w:t>G</w:t>
              </w:r>
            </w:fldSimple>
            <w:bookmarkEnd w:id="485"/>
            <w:r>
              <w:t>: scribal correction by striking out a component</w:t>
            </w:r>
          </w:p>
        </w:tc>
      </w:tr>
      <w:tr>
        <w:tc>
          <w:tcPr>
            <w:tcW w:w="3458" w:type="pct"/>
          </w:tcPr>
          <w:p>
            <w:pPr>
              <w:pStyle w:val="TableNote"/>
              <w:keepNext/>
              <w:keepLines/>
            </w:pPr>
            <w:r>
              <w:t xml:space="preserve">an originally inscribed </w:t>
            </w:r>
            <w:r>
              <w:rPr>
                <w:rStyle w:val="Foreign"/>
              </w:rPr>
              <w:t>prisaṅgi</w:t>
            </w:r>
            <w:r>
              <w:t xml:space="preserve"> was corrected to </w:t>
            </w:r>
            <w:r>
              <w:rPr>
                <w:rStyle w:val="Foreign"/>
              </w:rPr>
              <w:t>prasaṅgi</w:t>
            </w:r>
            <w:r>
              <w:t xml:space="preserve"> by striking out the superfluous </w:t>
            </w:r>
            <w:r>
              <w:rPr>
                <w:rStyle w:val="Foreign"/>
              </w:rPr>
              <w:t xml:space="preserve">i </w:t>
            </w:r>
            <w:r>
              <w:t>marker</w:t>
            </w:r>
          </w:p>
          <w:p>
            <w:pPr>
              <w:pStyle w:val="TableNote"/>
              <w:keepNext/>
              <w:keepLines/>
            </w:pPr>
            <w:r>
              <w:rPr>
                <w:rStyle w:val="Codeattribute"/>
              </w:rPr>
              <w:t>@rend</w:t>
            </w:r>
            <w:r>
              <w:t xml:space="preserve"> is not used on </w:t>
            </w:r>
            <w:r>
              <w:rPr>
                <w:rStyle w:val="Code"/>
              </w:rPr>
              <w:t>&lt;del&gt;</w:t>
            </w:r>
            <w:r>
              <w:t xml:space="preserve">, since the </w:t>
            </w:r>
            <w:r>
              <w:rPr>
                <w:rStyle w:val="Foreign"/>
              </w:rPr>
              <w:t>i</w:t>
            </w:r>
            <w:r>
              <w:t xml:space="preserve"> was erased, which is the default method of deletion </w:t>
            </w:r>
          </w:p>
          <w:p>
            <w:pPr>
              <w:pStyle w:val="TableNote"/>
              <w:keepNext/>
              <w:keepLines/>
            </w:pPr>
            <w:r>
              <w:t xml:space="preserve">although no explicit </w:t>
            </w:r>
            <w:r>
              <w:rPr>
                <w:rStyle w:val="Foreign"/>
              </w:rPr>
              <w:t>a</w:t>
            </w:r>
            <w:r>
              <w:t xml:space="preserve"> was engraved, the deletion of </w:t>
            </w:r>
            <w:r>
              <w:rPr>
                <w:rStyle w:val="Foreign"/>
              </w:rPr>
              <w:t>i</w:t>
            </w:r>
            <w:r>
              <w:t xml:space="preserve"> entails the replacement of that grapheme by </w:t>
            </w:r>
            <w:r>
              <w:rPr>
                <w:rStyle w:val="Foreign"/>
              </w:rPr>
              <w:t>a</w:t>
            </w:r>
            <w:r>
              <w:t>, so this must be encoded as correction rather than deletion (§</w:t>
            </w:r>
            <w:r>
              <w:fldChar w:fldCharType="begin"/>
            </w:r>
            <w:r>
              <w:instrText xml:space="preserve"> REF _Ref228890328 \r \h </w:instrText>
            </w:r>
            <w:r>
              <w:fldChar w:fldCharType="separate"/>
            </w:r>
            <w:r>
              <w:t>5.5.4</w:t>
            </w:r>
            <w:r>
              <w:fldChar w:fldCharType="end"/>
            </w:r>
            <w:r>
              <w:t>)</w:t>
            </w:r>
          </w:p>
          <w:p>
            <w:pPr>
              <w:pStyle w:val="TableNote"/>
              <w:keepNext/>
              <w:keepLines/>
            </w:pPr>
            <w:r>
              <w:t xml:space="preserve">the addition is encoded with </w:t>
            </w:r>
            <w:r>
              <w:rPr>
                <w:rStyle w:val="Codeattribute"/>
              </w:rPr>
              <w:t>@place</w:t>
            </w:r>
            <w:r>
              <w:rPr>
                <w:rStyle w:val="Code"/>
              </w:rPr>
              <w:t>=</w:t>
            </w:r>
            <w:r>
              <w:rPr>
                <w:rStyle w:val="Codevalue"/>
              </w:rPr>
              <w:t>"overstrike"</w:t>
            </w:r>
            <w:r>
              <w:t xml:space="preserve"> because the post-correction reading is in the same place as the pre-correction reading</w:t>
            </w:r>
          </w:p>
        </w:tc>
        <w:tc>
          <w:tcPr>
            <w:tcW w:w="1542" w:type="pct"/>
          </w:tcPr>
          <w:p>
            <w:pPr>
              <w:pStyle w:val="Image"/>
              <w:keepLines/>
              <w:widowControl/>
            </w:pPr>
            <w:r>
              <w:drawing>
                <wp:inline distT="0" distB="0" distL="0" distR="0">
                  <wp:extent cx="1742400" cy="1080000"/>
                  <wp:effectExtent l="0" t="0" r="0" b="6350"/>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742400" cy="1080000"/>
                          </a:xfrm>
                          <a:prstGeom prst="rect">
                            <a:avLst/>
                          </a:prstGeom>
                          <a:noFill/>
                          <a:ln>
                            <a:noFill/>
                          </a:ln>
                        </pic:spPr>
                      </pic:pic>
                    </a:graphicData>
                  </a:graphic>
                </wp:inline>
              </w:drawing>
            </w:r>
          </w:p>
        </w:tc>
      </w:tr>
      <w:tr>
        <w:tc>
          <w:tcPr>
            <w:tcW w:w="5000" w:type="pct"/>
            <w:gridSpan w:val="2"/>
          </w:tcPr>
          <w:p>
            <w:pPr>
              <w:pStyle w:val="CodeParagraph"/>
              <w:rPr>
                <w:rStyle w:val="Code"/>
              </w:rPr>
            </w:pPr>
            <w:r>
              <w:rPr>
                <w:rStyle w:val="Codetext"/>
              </w:rPr>
              <w:t>pr</w:t>
            </w:r>
            <w:r>
              <w:rPr>
                <w:rStyle w:val="Code"/>
              </w:rPr>
              <w:t>&lt;subst&gt;&lt;del&gt;</w:t>
            </w:r>
            <w:r>
              <w:rPr>
                <w:rStyle w:val="Codetext"/>
              </w:rPr>
              <w:t>i</w:t>
            </w:r>
            <w:r>
              <w:rPr>
                <w:rStyle w:val="Code"/>
              </w:rPr>
              <w:t xml:space="preserve">&lt;/del&gt;&lt;add </w:t>
            </w:r>
            <w:r>
              <w:rPr>
                <w:rStyle w:val="Codeattribute"/>
              </w:rPr>
              <w:t>place</w:t>
            </w:r>
            <w:r>
              <w:rPr>
                <w:rStyle w:val="Code"/>
              </w:rPr>
              <w:t>=</w:t>
            </w:r>
            <w:r>
              <w:rPr>
                <w:rStyle w:val="Codevalue"/>
              </w:rPr>
              <w:t>"overstrike"</w:t>
            </w:r>
            <w:r>
              <w:rPr>
                <w:rStyle w:val="Code"/>
              </w:rPr>
              <w:t>&gt;</w:t>
            </w:r>
            <w:r>
              <w:rPr>
                <w:rStyle w:val="Codetext"/>
              </w:rPr>
              <w:t>a</w:t>
            </w:r>
            <w:r>
              <w:rPr>
                <w:rStyle w:val="Code"/>
              </w:rPr>
              <w:t>&lt;/add&gt;&lt;/subst&gt;</w:t>
            </w:r>
            <w:r>
              <w:rPr>
                <w:rStyle w:val="Codetext"/>
              </w:rPr>
              <w:t>saṅgi</w:t>
            </w:r>
          </w:p>
        </w:tc>
      </w:tr>
    </w:tbl>
    <w:p/>
    <w:tbl>
      <w:tblPr>
        <w:tblStyle w:val="CodeSampleTable"/>
        <w:tblW w:w="5000" w:type="pct"/>
        <w:tblLook w:val="04A0" w:firstRow="1" w:lastRow="0" w:firstColumn="1" w:lastColumn="0" w:noHBand="0" w:noVBand="1"/>
      </w:tblPr>
      <w:tblGrid>
        <w:gridCol w:w="5280"/>
        <w:gridCol w:w="4348"/>
      </w:tblGrid>
      <w:tr>
        <w:trPr>
          <w:cnfStyle w:val="100000000000" w:firstRow="1" w:lastRow="0" w:firstColumn="0" w:lastColumn="0" w:oddVBand="0" w:evenVBand="0" w:oddHBand="0" w:evenHBand="0" w:firstRowFirstColumn="0" w:firstRowLastColumn="0" w:lastRowFirstColumn="0" w:lastRowLastColumn="0"/>
        </w:trPr>
        <w:tc>
          <w:tcPr>
            <w:tcW w:w="5000" w:type="pct"/>
            <w:gridSpan w:val="2"/>
          </w:tcPr>
          <w:p>
            <w:pPr>
              <w:pStyle w:val="Kpalrs"/>
            </w:pPr>
            <w:bookmarkStart w:id="486" w:name="_Ref227853363"/>
            <w:r>
              <w:t xml:space="preserve">Exhibit </w:t>
            </w:r>
            <w:fldSimple w:instr=" STYLEREF 2 \s ">
              <w:r>
                <w:rPr>
                  <w:noProof/>
                </w:rPr>
                <w:t>5.5</w:t>
              </w:r>
            </w:fldSimple>
            <w:r>
              <w:t>.</w:t>
            </w:r>
            <w:fldSimple w:instr=" SEQ Exhibit \* ALPHABETIC \s 2 ">
              <w:r>
                <w:rPr>
                  <w:noProof/>
                </w:rPr>
                <w:t>H</w:t>
              </w:r>
            </w:fldSimple>
            <w:bookmarkEnd w:id="486"/>
            <w:r>
              <w:t>: implied scribal transposition</w:t>
            </w:r>
          </w:p>
        </w:tc>
      </w:tr>
      <w:tr>
        <w:trPr>
          <w:trHeight w:val="1260"/>
        </w:trPr>
        <w:tc>
          <w:tcPr>
            <w:tcW w:w="2742" w:type="pct"/>
          </w:tcPr>
          <w:p>
            <w:pPr>
              <w:pStyle w:val="TableNote"/>
              <w:keepNext/>
            </w:pPr>
            <w:r>
              <w:t xml:space="preserve">an originally inscribed </w:t>
            </w:r>
            <w:r>
              <w:rPr>
                <w:rStyle w:val="Foreign"/>
              </w:rPr>
              <w:t>ri lata</w:t>
            </w:r>
            <w:r>
              <w:t xml:space="preserve"> was corrected to </w:t>
            </w:r>
            <w:r>
              <w:rPr>
                <w:rStyle w:val="Foreign"/>
              </w:rPr>
              <w:t>ri tala</w:t>
            </w:r>
            <w:r>
              <w:t xml:space="preserve"> in a manuscript by adding a scribal mark</w:t>
            </w:r>
          </w:p>
        </w:tc>
        <w:tc>
          <w:tcPr>
            <w:tcW w:w="2258" w:type="pct"/>
          </w:tcPr>
          <w:p>
            <w:pPr>
              <w:pStyle w:val="Image"/>
            </w:pPr>
            <w:r>
              <w:drawing>
                <wp:inline distT="0" distB="0" distL="0" distR="0">
                  <wp:extent cx="2592000" cy="720000"/>
                  <wp:effectExtent l="0" t="0" r="0" b="4445"/>
                  <wp:docPr id="18"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72">
                            <a:extLst>
                              <a:ext uri="{28A0092B-C50C-407E-A947-70E740481C1C}">
                                <a14:useLocalDpi xmlns:a14="http://schemas.microsoft.com/office/drawing/2010/main" val="0"/>
                              </a:ext>
                            </a:extLst>
                          </a:blip>
                          <a:srcRect/>
                          <a:stretch>
                            <a:fillRect/>
                          </a:stretch>
                        </pic:blipFill>
                        <pic:spPr>
                          <a:xfrm>
                            <a:off x="0" y="0"/>
                            <a:ext cx="2592000" cy="720000"/>
                          </a:xfrm>
                          <a:prstGeom prst="rect">
                            <a:avLst/>
                          </a:prstGeom>
                          <a:ln/>
                        </pic:spPr>
                      </pic:pic>
                    </a:graphicData>
                  </a:graphic>
                </wp:inline>
              </w:drawing>
            </w:r>
          </w:p>
        </w:tc>
      </w:tr>
      <w:tr>
        <w:tc>
          <w:tcPr>
            <w:tcW w:w="5000" w:type="pct"/>
            <w:gridSpan w:val="2"/>
          </w:tcPr>
          <w:p>
            <w:pPr>
              <w:pStyle w:val="CodeParagraph"/>
            </w:pPr>
            <w:r>
              <w:rPr>
                <w:rStyle w:val="Codetext"/>
              </w:rPr>
              <w:t>ri</w:t>
            </w:r>
            <w:r>
              <w:rPr>
                <w:rStyle w:val="Code"/>
              </w:rPr>
              <w:t xml:space="preserve">&lt;subst&gt;&lt;del </w:t>
            </w:r>
            <w:r>
              <w:rPr>
                <w:rStyle w:val="Codeattribute"/>
              </w:rPr>
              <w:t>rend</w:t>
            </w:r>
            <w:r>
              <w:rPr>
                <w:rStyle w:val="Code"/>
              </w:rPr>
              <w:t>=</w:t>
            </w:r>
            <w:r>
              <w:rPr>
                <w:rStyle w:val="Codevalue"/>
              </w:rPr>
              <w:t>"corrected"</w:t>
            </w:r>
            <w:r>
              <w:rPr>
                <w:rStyle w:val="Code"/>
              </w:rPr>
              <w:t>&gt;</w:t>
            </w:r>
            <w:r>
              <w:rPr>
                <w:rStyle w:val="Codetext"/>
              </w:rPr>
              <w:t>lata</w:t>
            </w:r>
            <w:r>
              <w:rPr>
                <w:rStyle w:val="Code"/>
              </w:rPr>
              <w:t xml:space="preserve">&lt;/del&gt;&lt;add </w:t>
            </w:r>
            <w:r>
              <w:rPr>
                <w:rStyle w:val="Codeattribute"/>
              </w:rPr>
              <w:t>place</w:t>
            </w:r>
            <w:r>
              <w:rPr>
                <w:rStyle w:val="Code"/>
              </w:rPr>
              <w:t>=</w:t>
            </w:r>
            <w:r>
              <w:rPr>
                <w:rStyle w:val="Codevalue"/>
              </w:rPr>
              <w:t xml:space="preserve">"overstrike" </w:t>
            </w:r>
            <w:r>
              <w:rPr>
                <w:rStyle w:val="Codeattribute"/>
              </w:rPr>
              <w:t>rend</w:t>
            </w:r>
            <w:r>
              <w:rPr>
                <w:rStyle w:val="Code"/>
              </w:rPr>
              <w:t>=</w:t>
            </w:r>
            <w:r>
              <w:rPr>
                <w:rStyle w:val="Codevalue"/>
              </w:rPr>
              <w:t>"mark"</w:t>
            </w:r>
            <w:r>
              <w:rPr>
                <w:rStyle w:val="Code"/>
              </w:rPr>
              <w:t>&gt;</w:t>
            </w:r>
            <w:r>
              <w:rPr>
                <w:rStyle w:val="Codetext"/>
              </w:rPr>
              <w:t>tala</w:t>
            </w:r>
            <w:r>
              <w:rPr>
                <w:rStyle w:val="Code"/>
              </w:rPr>
              <w:t>&lt;/add&gt;&lt;/subst&gt;</w:t>
            </w:r>
          </w:p>
        </w:tc>
      </w:tr>
      <w:tr>
        <w:tc>
          <w:tcPr>
            <w:tcW w:w="5000" w:type="pct"/>
            <w:gridSpan w:val="2"/>
          </w:tcPr>
          <w:p>
            <w:pPr>
              <w:pStyle w:val="TableNote"/>
            </w:pPr>
            <w:r>
              <w:t>although the intended correction is not explicitly written anywhere, the intent was clear to the editor, so the encoding records implied correction with the details that can be represented in our encoding scheme:</w:t>
            </w:r>
          </w:p>
          <w:p>
            <w:pPr>
              <w:pStyle w:val="TableNote"/>
            </w:pPr>
            <w:r>
              <w:t xml:space="preserve">that the pre-correction text is not explicitly deleted, but overruled by the correction </w:t>
            </w:r>
            <w:r>
              <w:rPr>
                <w:noProof/>
              </w:rPr>
              <w:t>(</w:t>
            </w:r>
            <w:r>
              <w:rPr>
                <w:rStyle w:val="Codeattribute"/>
              </w:rPr>
              <w:t>@rend</w:t>
            </w:r>
            <w:r>
              <w:rPr>
                <w:rStyle w:val="Code"/>
              </w:rPr>
              <w:t>=</w:t>
            </w:r>
            <w:r>
              <w:rPr>
                <w:rStyle w:val="Codevalue"/>
              </w:rPr>
              <w:t>"corrected"</w:t>
            </w:r>
            <w:r>
              <w:t xml:space="preserve"> on </w:t>
            </w:r>
            <w:r>
              <w:rPr>
                <w:rStyle w:val="Code"/>
              </w:rPr>
              <w:t>&lt;del&gt;</w:t>
            </w:r>
            <w:r>
              <w:t>)</w:t>
            </w:r>
          </w:p>
          <w:p>
            <w:pPr>
              <w:pStyle w:val="TableNote"/>
            </w:pPr>
            <w:r>
              <w:t xml:space="preserve">that the post-correction text is right there and not somewhere else on the support </w:t>
            </w:r>
            <w:r>
              <w:rPr>
                <w:noProof/>
              </w:rPr>
              <w:t>(</w:t>
            </w:r>
            <w:r>
              <w:rPr>
                <w:rStyle w:val="Codeattribute"/>
              </w:rPr>
              <w:t>@place</w:t>
            </w:r>
            <w:r>
              <w:rPr>
                <w:rStyle w:val="Code"/>
              </w:rPr>
              <w:t>=</w:t>
            </w:r>
            <w:r>
              <w:rPr>
                <w:rStyle w:val="Codevalue"/>
              </w:rPr>
              <w:t>"overstrike"</w:t>
            </w:r>
            <w:r>
              <w:t xml:space="preserve"> on </w:t>
            </w:r>
            <w:r>
              <w:rPr>
                <w:rStyle w:val="Code"/>
              </w:rPr>
              <w:t>&lt;add&gt;</w:t>
            </w:r>
            <w:r>
              <w:t>)</w:t>
            </w:r>
          </w:p>
          <w:p>
            <w:pPr>
              <w:pStyle w:val="TableNote"/>
              <w:rPr>
                <w:rStyle w:val="Code"/>
              </w:rPr>
            </w:pPr>
            <w:r>
              <w:t xml:space="preserve">that a scribal mark is present </w:t>
            </w:r>
            <w:r>
              <w:rPr>
                <w:noProof/>
              </w:rPr>
              <w:t>(</w:t>
            </w:r>
            <w:r>
              <w:rPr>
                <w:rStyle w:val="Codeattribute"/>
              </w:rPr>
              <w:t>@rend</w:t>
            </w:r>
            <w:r>
              <w:rPr>
                <w:rStyle w:val="Code"/>
              </w:rPr>
              <w:t>=</w:t>
            </w:r>
            <w:r>
              <w:rPr>
                <w:rStyle w:val="Codevalue"/>
              </w:rPr>
              <w:t>"mark"</w:t>
            </w:r>
            <w:r>
              <w:t xml:space="preserve"> on </w:t>
            </w:r>
            <w:r>
              <w:rPr>
                <w:rStyle w:val="Code"/>
              </w:rPr>
              <w:t>&lt;add&gt;</w:t>
            </w:r>
            <w:r>
              <w:t>)</w:t>
            </w:r>
          </w:p>
        </w:tc>
      </w:tr>
    </w:tbl>
    <w:p/>
    <w:p>
      <w:pPr>
        <w:pStyle w:val="Cmsor3"/>
      </w:pPr>
      <w:bookmarkStart w:id="487" w:name="_Ref228890328"/>
      <w:bookmarkStart w:id="488" w:name="_Toc242976639"/>
      <w:r>
        <w:lastRenderedPageBreak/>
        <w:t>Good practice in encoding scribal intervention</w:t>
      </w:r>
      <w:bookmarkEnd w:id="487"/>
      <w:bookmarkEnd w:id="488"/>
    </w:p>
    <w:p>
      <w:r>
        <w:t>Since the units to which all our encoding applies are the source graphemes (for which see also §</w:t>
      </w:r>
      <w:r>
        <w:fldChar w:fldCharType="begin"/>
      </w:r>
      <w:r>
        <w:instrText xml:space="preserve"> REF _Ref227844670 \r \h </w:instrText>
      </w:r>
      <w:r>
        <w:fldChar w:fldCharType="separate"/>
      </w:r>
      <w:r>
        <w:t>16.3</w:t>
      </w:r>
      <w:r>
        <w:fldChar w:fldCharType="end"/>
      </w:r>
      <w:r>
        <w:t xml:space="preserve">), scribal intervention can only be, and must always be, represented in our editions in terms of graphemes, and not in terms of </w:t>
      </w:r>
      <w:r>
        <w:rPr>
          <w:rStyle w:val="Foreign"/>
        </w:rPr>
        <w:t>akṣara</w:t>
      </w:r>
      <w:r>
        <w:rPr>
          <w:rStyle w:val="Foreign"/>
          <w:i w:val="0"/>
          <w:iCs w:val="0"/>
        </w:rPr>
        <w:t>s</w:t>
      </w:r>
      <w:r>
        <w:t>, graphs, elements or any other unit. This has the following important implications.</w:t>
      </w:r>
    </w:p>
    <w:p>
      <w:pPr>
        <w:pStyle w:val="Lista"/>
      </w:pPr>
      <w:r>
        <w:t xml:space="preserve">scribal intervention </w:t>
      </w:r>
      <w:r>
        <w:rPr>
          <w:i/>
          <w:iCs/>
        </w:rPr>
        <w:t>can</w:t>
      </w:r>
      <w:r>
        <w:t xml:space="preserve"> apply to a unit smaller than the </w:t>
      </w:r>
      <w:r>
        <w:rPr>
          <w:rStyle w:val="Foreign"/>
        </w:rPr>
        <w:t>akṣara</w:t>
      </w:r>
      <w:r>
        <w:t xml:space="preserve">, so if one or more component graphs of a complex glyph have been changed by the scribe, this is to be encoded as a specific change of the corresponding graphemes, and not as a correction of the entire </w:t>
      </w:r>
      <w:r>
        <w:rPr>
          <w:rStyle w:val="Foreign"/>
        </w:rPr>
        <w:t>akṣara</w:t>
      </w:r>
      <w:r>
        <w:t xml:space="preserve"> (as it would usually be shown in an edition printed in an Indic script), for example</w:t>
      </w:r>
    </w:p>
    <w:p>
      <w:pPr>
        <w:pStyle w:val="Lista3"/>
      </w:pPr>
      <w:r>
        <w:t xml:space="preserve">in deletion, </w:t>
      </w:r>
      <w:r>
        <w:rPr>
          <w:rStyle w:val="Codetext"/>
        </w:rPr>
        <w:t>ś</w:t>
      </w:r>
      <w:r>
        <w:rPr>
          <w:rStyle w:val="Code"/>
        </w:rPr>
        <w:t>&lt;del&gt;</w:t>
      </w:r>
      <w:r>
        <w:rPr>
          <w:rStyle w:val="Codetext"/>
        </w:rPr>
        <w:t>r</w:t>
      </w:r>
      <w:r>
        <w:rPr>
          <w:rStyle w:val="Code"/>
        </w:rPr>
        <w:t>&lt;/del&gt;</w:t>
      </w:r>
      <w:r>
        <w:rPr>
          <w:rStyle w:val="Codetext"/>
        </w:rPr>
        <w:t>āpa</w:t>
      </w:r>
    </w:p>
    <w:p>
      <w:pPr>
        <w:pStyle w:val="Lista4"/>
      </w:pPr>
      <w:r>
        <w:rPr>
          <w:b/>
          <w:bCs/>
        </w:rPr>
        <w:t>not</w:t>
      </w:r>
      <w:r>
        <w:t xml:space="preserve"> </w:t>
      </w:r>
      <w:r>
        <w:rPr>
          <w:rStyle w:val="Code"/>
        </w:rPr>
        <w:t>&lt;subst&gt;&lt;del&gt;</w:t>
      </w:r>
      <w:r>
        <w:rPr>
          <w:rStyle w:val="Codetext"/>
        </w:rPr>
        <w:t>śrā</w:t>
      </w:r>
      <w:r>
        <w:rPr>
          <w:rStyle w:val="Code"/>
        </w:rPr>
        <w:t>&lt;/del&gt;&lt;add&gt;</w:t>
      </w:r>
      <w:r>
        <w:rPr>
          <w:rStyle w:val="Codetext"/>
        </w:rPr>
        <w:t>śā</w:t>
      </w:r>
      <w:r>
        <w:rPr>
          <w:rStyle w:val="Code"/>
        </w:rPr>
        <w:t>&lt;/add&gt;&lt;/subst&gt;</w:t>
      </w:r>
      <w:r>
        <w:rPr>
          <w:rStyle w:val="Codetext"/>
        </w:rPr>
        <w:t>pa</w:t>
      </w:r>
    </w:p>
    <w:p>
      <w:pPr>
        <w:pStyle w:val="Lista3"/>
        <w:rPr>
          <w:rStyle w:val="Codetext"/>
          <w:rFonts w:ascii="Gentium" w:hAnsi="Gentium" w:cs="Tiro Devanagari Sanskrit"/>
          <w:noProof w:val="0"/>
          <w:color w:val="auto"/>
          <w:shd w:val="clear" w:color="auto" w:fill="auto"/>
        </w:rPr>
      </w:pPr>
      <w:r>
        <w:t xml:space="preserve">in addition, </w:t>
      </w:r>
      <w:r>
        <w:rPr>
          <w:rStyle w:val="Codetext"/>
        </w:rPr>
        <w:t>tārkṣ</w:t>
      </w:r>
      <w:r>
        <w:rPr>
          <w:rStyle w:val="Code"/>
        </w:rPr>
        <w:t>&lt;add&gt;</w:t>
      </w:r>
      <w:r>
        <w:rPr>
          <w:rStyle w:val="Codetext"/>
        </w:rPr>
        <w:t>y</w:t>
      </w:r>
      <w:r>
        <w:rPr>
          <w:rStyle w:val="Code"/>
        </w:rPr>
        <w:t>&lt;/add&gt;</w:t>
      </w:r>
      <w:r>
        <w:rPr>
          <w:rStyle w:val="Codetext"/>
        </w:rPr>
        <w:t>a</w:t>
      </w:r>
    </w:p>
    <w:p>
      <w:pPr>
        <w:pStyle w:val="Lista4"/>
        <w:rPr>
          <w:rStyle w:val="Code"/>
          <w:rFonts w:ascii="Gentium" w:hAnsi="Gentium" w:cs="Tiro Devanagari Sanskrit"/>
          <w:noProof w:val="0"/>
          <w:color w:val="auto"/>
          <w:shd w:val="clear" w:color="auto" w:fill="auto"/>
        </w:rPr>
      </w:pPr>
      <w:r>
        <w:rPr>
          <w:b/>
          <w:bCs/>
        </w:rPr>
        <w:t>not</w:t>
      </w:r>
      <w:r>
        <w:t xml:space="preserve"> </w:t>
      </w:r>
      <w:r>
        <w:rPr>
          <w:rStyle w:val="Codetext"/>
        </w:rPr>
        <w:t>tā</w:t>
      </w:r>
      <w:r>
        <w:rPr>
          <w:rStyle w:val="Code"/>
        </w:rPr>
        <w:t>&lt;subst&gt;&lt;del&gt;</w:t>
      </w:r>
      <w:r>
        <w:rPr>
          <w:rStyle w:val="Codetext"/>
        </w:rPr>
        <w:t>rkṣa</w:t>
      </w:r>
      <w:r>
        <w:rPr>
          <w:rStyle w:val="Code"/>
        </w:rPr>
        <w:t>&lt;/del&gt;&lt;add&gt;</w:t>
      </w:r>
      <w:r>
        <w:rPr>
          <w:rStyle w:val="Codetext"/>
        </w:rPr>
        <w:t>rkṣya</w:t>
      </w:r>
      <w:r>
        <w:rPr>
          <w:rStyle w:val="Code"/>
        </w:rPr>
        <w:t>&lt;/add&gt;&lt;/subst&gt;</w:t>
      </w:r>
    </w:p>
    <w:p>
      <w:pPr>
        <w:pStyle w:val="Lista3"/>
        <w:rPr>
          <w:rStyle w:val="Codetext"/>
          <w:rFonts w:ascii="Gentium" w:hAnsi="Gentium" w:cs="Tiro Devanagari Sanskrit"/>
          <w:noProof w:val="0"/>
          <w:color w:val="auto"/>
          <w:shd w:val="clear" w:color="auto" w:fill="auto"/>
        </w:rPr>
      </w:pPr>
      <w:r>
        <w:t xml:space="preserve">in correction, </w:t>
      </w:r>
      <w:r>
        <w:rPr>
          <w:rStyle w:val="Codetext"/>
        </w:rPr>
        <w:t>pa</w:t>
      </w:r>
      <w:r>
        <w:rPr>
          <w:rStyle w:val="Code"/>
        </w:rPr>
        <w:t>&lt;subst&gt;&lt;del&gt;</w:t>
      </w:r>
      <w:r>
        <w:rPr>
          <w:rStyle w:val="Codetext"/>
        </w:rPr>
        <w:t>t</w:t>
      </w:r>
      <w:r>
        <w:rPr>
          <w:rStyle w:val="Code"/>
        </w:rPr>
        <w:t>&lt;/del&gt;&lt;add&gt;</w:t>
      </w:r>
      <w:r>
        <w:rPr>
          <w:rStyle w:val="Codetext"/>
        </w:rPr>
        <w:t>d</w:t>
      </w:r>
      <w:r>
        <w:rPr>
          <w:rStyle w:val="Code"/>
        </w:rPr>
        <w:t>&lt;/add&gt;&lt;/subst&gt;</w:t>
      </w:r>
      <w:r>
        <w:rPr>
          <w:rStyle w:val="Codetext"/>
        </w:rPr>
        <w:t>ma</w:t>
      </w:r>
    </w:p>
    <w:p>
      <w:pPr>
        <w:pStyle w:val="Lista4"/>
        <w:rPr>
          <w:rStyle w:val="Code"/>
          <w:rFonts w:ascii="Gentium" w:hAnsi="Gentium" w:cs="Tiro Devanagari Sanskrit"/>
          <w:noProof w:val="0"/>
          <w:color w:val="auto"/>
          <w:shd w:val="clear" w:color="auto" w:fill="auto"/>
        </w:rPr>
      </w:pPr>
      <w:r>
        <w:rPr>
          <w:b/>
          <w:bCs/>
        </w:rPr>
        <w:t>not</w:t>
      </w:r>
      <w:r>
        <w:t xml:space="preserve"> </w:t>
      </w:r>
      <w:r>
        <w:rPr>
          <w:rStyle w:val="Codetext"/>
        </w:rPr>
        <w:t>pa</w:t>
      </w:r>
      <w:r>
        <w:rPr>
          <w:rStyle w:val="Code"/>
        </w:rPr>
        <w:t>&lt;subst&gt;&lt;del&gt;</w:t>
      </w:r>
      <w:r>
        <w:rPr>
          <w:rStyle w:val="Codetext"/>
        </w:rPr>
        <w:t>tma</w:t>
      </w:r>
      <w:r>
        <w:rPr>
          <w:rStyle w:val="Code"/>
        </w:rPr>
        <w:t>&lt;/del&gt;&lt;add&gt;</w:t>
      </w:r>
      <w:r>
        <w:rPr>
          <w:rStyle w:val="Codetext"/>
        </w:rPr>
        <w:t>dma</w:t>
      </w:r>
      <w:r>
        <w:rPr>
          <w:rStyle w:val="Code"/>
        </w:rPr>
        <w:t>&lt;/add&gt;&lt;/subst&gt;</w:t>
      </w:r>
    </w:p>
    <w:p>
      <w:pPr>
        <w:pStyle w:val="Lista2"/>
      </w:pPr>
      <w:r>
        <w:t xml:space="preserve">note that these examples show no attributes on </w:t>
      </w:r>
      <w:r>
        <w:rPr>
          <w:rStyle w:val="Code"/>
        </w:rPr>
        <w:t>&lt;del&gt;</w:t>
      </w:r>
      <w:r>
        <w:t xml:space="preserve"> and </w:t>
      </w:r>
      <w:r>
        <w:rPr>
          <w:rStyle w:val="Code"/>
        </w:rPr>
        <w:t>&lt;add&gt;</w:t>
      </w:r>
      <w:r>
        <w:t>, because they illustrate hypothetical scenarios that may be implemented differently in the source, but the encoding of actual instances of scribal intervention may require the use of attributes as per §</w:t>
      </w:r>
      <w:r>
        <w:fldChar w:fldCharType="begin"/>
      </w:r>
      <w:r>
        <w:instrText xml:space="preserve"> REF _Ref227846179 \r \h </w:instrText>
      </w:r>
      <w:r>
        <w:fldChar w:fldCharType="separate"/>
      </w:r>
      <w:r>
        <w:t>5.5.1.1</w:t>
      </w:r>
      <w:r>
        <w:fldChar w:fldCharType="end"/>
      </w:r>
      <w:r>
        <w:t xml:space="preserve"> and §</w:t>
      </w:r>
      <w:r>
        <w:fldChar w:fldCharType="begin"/>
      </w:r>
      <w:r>
        <w:instrText xml:space="preserve"> REF _Ref227848664 \r \h </w:instrText>
      </w:r>
      <w:r>
        <w:fldChar w:fldCharType="separate"/>
      </w:r>
      <w:r>
        <w:t>5.5.2.1</w:t>
      </w:r>
      <w:r>
        <w:fldChar w:fldCharType="end"/>
      </w:r>
    </w:p>
    <w:p>
      <w:pPr>
        <w:pStyle w:val="Lista"/>
      </w:pPr>
      <w:r>
        <w:t xml:space="preserve">scribal intervention </w:t>
      </w:r>
      <w:r>
        <w:rPr>
          <w:i/>
          <w:iCs/>
        </w:rPr>
        <w:t>cannot</w:t>
      </w:r>
      <w:r>
        <w:t xml:space="preserve"> apply to a unit smaller than the grapheme, so the deletion (or, when this can be discerned, the addition) of a graphic element cannot be encoded as such; instead,</w:t>
      </w:r>
    </w:p>
    <w:p>
      <w:pPr>
        <w:pStyle w:val="Lista2"/>
      </w:pPr>
      <w:r>
        <w:t>the scribal alteration of a non-distinctive element (such as an ornamental curlicue or a superfluous stroke) can be annotated if desired, but not represented in markup</w:t>
      </w:r>
    </w:p>
    <w:p>
      <w:pPr>
        <w:pStyle w:val="Lista2"/>
      </w:pPr>
      <w:r>
        <w:t>the deletion (or addition) of a distinctive element must be encoded as correction of one grapheme to another, for example</w:t>
      </w:r>
    </w:p>
    <w:p>
      <w:pPr>
        <w:pStyle w:val="Lista3"/>
      </w:pPr>
      <w:r>
        <w:t xml:space="preserve">in a script where </w:t>
      </w:r>
      <w:r>
        <w:rPr>
          <w:rStyle w:val="Foreign"/>
        </w:rPr>
        <w:t>śa</w:t>
      </w:r>
      <w:r>
        <w:t xml:space="preserve"> differs from </w:t>
      </w:r>
      <w:r>
        <w:rPr>
          <w:rStyle w:val="Foreign"/>
        </w:rPr>
        <w:t>ga</w:t>
      </w:r>
      <w:r>
        <w:t xml:space="preserve"> only in that the former has a cross-stroke, and the scribe erroneously engraved </w:t>
      </w:r>
      <w:r>
        <w:rPr>
          <w:rStyle w:val="Foreign"/>
        </w:rPr>
        <w:t>śuṇa</w:t>
      </w:r>
      <w:r>
        <w:t xml:space="preserve"> instead of </w:t>
      </w:r>
      <w:r>
        <w:rPr>
          <w:rStyle w:val="Foreign"/>
        </w:rPr>
        <w:t>guṇa</w:t>
      </w:r>
      <w:r>
        <w:t xml:space="preserve">, then corrected this by erasing the cross-stroke, this is a correction of </w:t>
      </w:r>
      <w:r>
        <w:rPr>
          <w:rStyle w:val="Foreign"/>
        </w:rPr>
        <w:t>ś</w:t>
      </w:r>
      <w:r>
        <w:t xml:space="preserve"> to </w:t>
      </w:r>
      <w:r>
        <w:rPr>
          <w:rStyle w:val="Foreign"/>
        </w:rPr>
        <w:t>g</w:t>
      </w:r>
      <w:r>
        <w:t xml:space="preserve">: </w:t>
      </w:r>
      <w:r>
        <w:rPr>
          <w:rStyle w:val="Code"/>
        </w:rPr>
        <w:t>&lt;subst&gt;&lt;del</w:t>
      </w:r>
      <w:r>
        <w:rPr>
          <w:rStyle w:val="Codeattribute"/>
        </w:rPr>
        <w:t xml:space="preserve"> rend=</w:t>
      </w:r>
      <w:r>
        <w:rPr>
          <w:rStyle w:val="Codevalue"/>
        </w:rPr>
        <w:t>"corrected"</w:t>
      </w:r>
      <w:r>
        <w:rPr>
          <w:rStyle w:val="Code"/>
        </w:rPr>
        <w:t>&gt;</w:t>
      </w:r>
      <w:r>
        <w:rPr>
          <w:rStyle w:val="Codetext"/>
        </w:rPr>
        <w:t>ś</w:t>
      </w:r>
      <w:r>
        <w:rPr>
          <w:rStyle w:val="Code"/>
        </w:rPr>
        <w:t xml:space="preserve">&lt;/del&gt;&lt;add </w:t>
      </w:r>
      <w:r>
        <w:rPr>
          <w:rStyle w:val="Codeattribute"/>
        </w:rPr>
        <w:t>place=</w:t>
      </w:r>
      <w:r>
        <w:rPr>
          <w:rStyle w:val="Codevalue"/>
        </w:rPr>
        <w:t>"overstrike"</w:t>
      </w:r>
      <w:r>
        <w:rPr>
          <w:rStyle w:val="Code"/>
        </w:rPr>
        <w:t>&gt;</w:t>
      </w:r>
      <w:r>
        <w:rPr>
          <w:rStyle w:val="Codetext"/>
        </w:rPr>
        <w:t>g</w:t>
      </w:r>
      <w:r>
        <w:rPr>
          <w:rStyle w:val="Code"/>
        </w:rPr>
        <w:t>&lt;/add&gt;&lt;/choice&gt;</w:t>
      </w:r>
      <w:r>
        <w:rPr>
          <w:rStyle w:val="Codetext"/>
        </w:rPr>
        <w:t>u</w:t>
      </w:r>
      <w:r>
        <w:rPr>
          <w:rStyle w:val="Code"/>
        </w:rPr>
        <w:t>ṇ</w:t>
      </w:r>
      <w:r>
        <w:rPr>
          <w:rStyle w:val="Codetext"/>
        </w:rPr>
        <w:t>a</w:t>
      </w:r>
    </w:p>
    <w:p>
      <w:pPr>
        <w:pStyle w:val="Lista4"/>
      </w:pPr>
      <w:r>
        <w:t xml:space="preserve">although the scribe actually erased the cross-stroke, on the level of graphemes the </w:t>
      </w:r>
      <w:r>
        <w:rPr>
          <w:rStyle w:val="Foreign"/>
        </w:rPr>
        <w:t>ś</w:t>
      </w:r>
      <w:r>
        <w:t xml:space="preserve"> itself was not physically deleted (hence </w:t>
      </w:r>
      <w:r>
        <w:rPr>
          <w:rStyle w:val="Codeattribute"/>
        </w:rPr>
        <w:t>@rend=</w:t>
      </w:r>
      <w:r>
        <w:rPr>
          <w:rStyle w:val="Codevalue"/>
        </w:rPr>
        <w:t>"corrected"</w:t>
      </w:r>
      <w:r>
        <w:t xml:space="preserve"> on the </w:t>
      </w:r>
      <w:r>
        <w:rPr>
          <w:rStyle w:val="Code"/>
        </w:rPr>
        <w:t>&lt;del&gt;</w:t>
      </w:r>
      <w:r>
        <w:t xml:space="preserve"> element, §</w:t>
      </w:r>
      <w:r>
        <w:fldChar w:fldCharType="begin"/>
      </w:r>
      <w:r>
        <w:instrText xml:space="preserve"> REF _Ref227846179 \r \h </w:instrText>
      </w:r>
      <w:r>
        <w:fldChar w:fldCharType="separate"/>
      </w:r>
      <w:r>
        <w:t>5.5.1.1</w:t>
      </w:r>
      <w:r>
        <w:fldChar w:fldCharType="end"/>
      </w:r>
      <w:r>
        <w:t xml:space="preserve">), while the </w:t>
      </w:r>
      <w:r>
        <w:rPr>
          <w:rStyle w:val="Foreign"/>
        </w:rPr>
        <w:t>g</w:t>
      </w:r>
      <w:r>
        <w:t xml:space="preserve"> was created in the same place (hence </w:t>
      </w:r>
      <w:r>
        <w:rPr>
          <w:rStyle w:val="Codeattribute"/>
        </w:rPr>
        <w:t>@place=</w:t>
      </w:r>
      <w:r>
        <w:rPr>
          <w:rStyle w:val="Codevalue"/>
        </w:rPr>
        <w:t>"overstrike"</w:t>
      </w:r>
      <w:r>
        <w:t xml:space="preserve"> on the </w:t>
      </w:r>
      <w:r>
        <w:rPr>
          <w:rStyle w:val="Code"/>
        </w:rPr>
        <w:t>&lt;add&gt;</w:t>
      </w:r>
      <w:r>
        <w:t xml:space="preserve"> element, §</w:t>
      </w:r>
      <w:r>
        <w:fldChar w:fldCharType="begin"/>
      </w:r>
      <w:r>
        <w:instrText xml:space="preserve"> REF _Ref227848664 \r \h </w:instrText>
      </w:r>
      <w:r>
        <w:fldChar w:fldCharType="separate"/>
      </w:r>
      <w:r>
        <w:t>5.5.2.1</w:t>
      </w:r>
      <w:r>
        <w:fldChar w:fldCharType="end"/>
      </w:r>
      <w:r>
        <w:t>)</w:t>
      </w:r>
    </w:p>
    <w:p>
      <w:pPr>
        <w:pStyle w:val="Lista"/>
      </w:pPr>
      <w:r>
        <w:t xml:space="preserve">due to the nature of aksharic writing, the deletion or addition of certain graphs (namely of a vowel marker or </w:t>
      </w:r>
      <w:r>
        <w:rPr>
          <w:rStyle w:val="Foreign"/>
        </w:rPr>
        <w:t>virāma</w:t>
      </w:r>
      <w:r>
        <w:t xml:space="preserve">) may result in the </w:t>
      </w:r>
      <w:r>
        <w:rPr>
          <w:i/>
          <w:iCs/>
        </w:rPr>
        <w:t>substitution</w:t>
      </w:r>
      <w:r>
        <w:t xml:space="preserve"> of one grapheme by another (viz. of the marked vowel or </w:t>
      </w:r>
      <w:r>
        <w:rPr>
          <w:rStyle w:val="Foreign"/>
        </w:rPr>
        <w:t>virāma</w:t>
      </w:r>
      <w:r>
        <w:t xml:space="preserve"> by the default vowel, or vice versa), which must be encoded as scribal correction rather than scribal deletion or addition, for example</w:t>
      </w:r>
    </w:p>
    <w:p>
      <w:pPr>
        <w:pStyle w:val="Lista2"/>
      </w:pPr>
      <w:r>
        <w:t xml:space="preserve">if the vowel marker </w:t>
      </w:r>
      <w:r>
        <w:rPr>
          <w:rStyle w:val="Foreign"/>
        </w:rPr>
        <w:t>u</w:t>
      </w:r>
      <w:r>
        <w:t xml:space="preserve"> is erased from the word </w:t>
      </w:r>
      <w:r>
        <w:rPr>
          <w:rStyle w:val="Foreign"/>
        </w:rPr>
        <w:t>jñātum</w:t>
      </w:r>
      <w:r>
        <w:t xml:space="preserve">, this changes the reading to </w:t>
      </w:r>
      <w:r>
        <w:rPr>
          <w:rStyle w:val="Foreign"/>
        </w:rPr>
        <w:t>jñātam</w:t>
      </w:r>
    </w:p>
    <w:p>
      <w:pPr>
        <w:pStyle w:val="Lista3"/>
      </w:pPr>
      <w:r>
        <w:t xml:space="preserve">which must be encoded as  </w:t>
      </w:r>
      <w:r>
        <w:rPr>
          <w:rStyle w:val="Codetext"/>
        </w:rPr>
        <w:t>jñāt</w:t>
      </w:r>
      <w:r>
        <w:rPr>
          <w:rStyle w:val="Code"/>
        </w:rPr>
        <w:t>&lt;subst&gt;&lt;del&gt;</w:t>
      </w:r>
      <w:r>
        <w:rPr>
          <w:rStyle w:val="Codetext"/>
        </w:rPr>
        <w:t>u</w:t>
      </w:r>
      <w:r>
        <w:rPr>
          <w:rStyle w:val="Code"/>
        </w:rPr>
        <w:t xml:space="preserve">&lt;/del&gt;&lt;add </w:t>
      </w:r>
      <w:r>
        <w:rPr>
          <w:rStyle w:val="Codeattribute"/>
        </w:rPr>
        <w:t>place=</w:t>
      </w:r>
      <w:r>
        <w:rPr>
          <w:rStyle w:val="Codevalue"/>
        </w:rPr>
        <w:t>"overstrike"</w:t>
      </w:r>
      <w:r>
        <w:rPr>
          <w:rStyle w:val="Code"/>
        </w:rPr>
        <w:t>&gt;</w:t>
      </w:r>
      <w:r>
        <w:rPr>
          <w:rStyle w:val="Codetext"/>
        </w:rPr>
        <w:t>a</w:t>
      </w:r>
      <w:r>
        <w:rPr>
          <w:rStyle w:val="Code"/>
        </w:rPr>
        <w:t>&lt;/add&gt;&lt;/subst&gt;</w:t>
      </w:r>
      <w:r>
        <w:rPr>
          <w:rStyle w:val="Codetext"/>
        </w:rPr>
        <w:t>m</w:t>
      </w:r>
    </w:p>
    <w:p>
      <w:pPr>
        <w:pStyle w:val="Lista4"/>
      </w:pPr>
      <w:r>
        <w:rPr>
          <w:b/>
          <w:bCs/>
        </w:rPr>
        <w:t>not</w:t>
      </w:r>
      <w:r>
        <w:t xml:space="preserve"> </w:t>
      </w:r>
      <w:r>
        <w:rPr>
          <w:rStyle w:val="Codetext"/>
        </w:rPr>
        <w:t>jñāt</w:t>
      </w:r>
      <w:r>
        <w:rPr>
          <w:rStyle w:val="Code"/>
        </w:rPr>
        <w:t>&lt;del&gt;</w:t>
      </w:r>
      <w:r>
        <w:rPr>
          <w:rStyle w:val="Codetext"/>
        </w:rPr>
        <w:t>u</w:t>
      </w:r>
      <w:r>
        <w:rPr>
          <w:rStyle w:val="Code"/>
        </w:rPr>
        <w:t>&lt;/del&gt;</w:t>
      </w:r>
      <w:r>
        <w:rPr>
          <w:rStyle w:val="Codetext"/>
        </w:rPr>
        <w:t>m</w:t>
      </w:r>
      <w:r>
        <w:t xml:space="preserve"> (which would mean that the post-correction reading is </w:t>
      </w:r>
      <w:r>
        <w:rPr>
          <w:rStyle w:val="Foreign"/>
        </w:rPr>
        <w:t>jñātm</w:t>
      </w:r>
      <w:r>
        <w:t>)</w:t>
      </w:r>
    </w:p>
    <w:p>
      <w:pPr>
        <w:pStyle w:val="Lista4"/>
      </w:pPr>
      <w:r>
        <w:t xml:space="preserve">even though the scribe did not actually add anything, on the level of graphemes the </w:t>
      </w:r>
      <w:r>
        <w:rPr>
          <w:rStyle w:val="Foreign"/>
        </w:rPr>
        <w:t>u</w:t>
      </w:r>
      <w:r>
        <w:t xml:space="preserve"> was physically deleted (hence no </w:t>
      </w:r>
      <w:r>
        <w:rPr>
          <w:rStyle w:val="Codeattribute"/>
        </w:rPr>
        <w:t>@rend</w:t>
      </w:r>
      <w:r>
        <w:t xml:space="preserve"> on the </w:t>
      </w:r>
      <w:r>
        <w:rPr>
          <w:rStyle w:val="Code"/>
        </w:rPr>
        <w:t>&lt;del&gt;</w:t>
      </w:r>
      <w:r>
        <w:t xml:space="preserve"> element, §</w:t>
      </w:r>
      <w:r>
        <w:fldChar w:fldCharType="begin"/>
      </w:r>
      <w:r>
        <w:instrText xml:space="preserve"> REF _Ref227846179 \r \h </w:instrText>
      </w:r>
      <w:r>
        <w:fldChar w:fldCharType="separate"/>
      </w:r>
      <w:r>
        <w:t>5.5.1.1</w:t>
      </w:r>
      <w:r>
        <w:fldChar w:fldCharType="end"/>
      </w:r>
      <w:r>
        <w:t xml:space="preserve">), while the grapheme </w:t>
      </w:r>
      <w:r>
        <w:rPr>
          <w:rStyle w:val="Foreign"/>
        </w:rPr>
        <w:t>a</w:t>
      </w:r>
      <w:r>
        <w:t xml:space="preserve"> was created in the same place (hence </w:t>
      </w:r>
      <w:r>
        <w:rPr>
          <w:rStyle w:val="Codeattribute"/>
        </w:rPr>
        <w:t>@place=</w:t>
      </w:r>
      <w:r>
        <w:rPr>
          <w:rStyle w:val="Codevalue"/>
        </w:rPr>
        <w:t>"overstrike"</w:t>
      </w:r>
      <w:r>
        <w:t xml:space="preserve"> on the </w:t>
      </w:r>
      <w:r>
        <w:rPr>
          <w:rStyle w:val="Code"/>
        </w:rPr>
        <w:t>&lt;add&gt;</w:t>
      </w:r>
      <w:r>
        <w:t xml:space="preserve"> element, §</w:t>
      </w:r>
      <w:r>
        <w:fldChar w:fldCharType="begin"/>
      </w:r>
      <w:r>
        <w:instrText xml:space="preserve"> REF _Ref227848664 \r \h </w:instrText>
      </w:r>
      <w:r>
        <w:fldChar w:fldCharType="separate"/>
      </w:r>
      <w:r>
        <w:t>5.5.2.1</w:t>
      </w:r>
      <w:r>
        <w:fldChar w:fldCharType="end"/>
      </w:r>
      <w:r>
        <w:t>)</w:t>
      </w:r>
    </w:p>
    <w:p>
      <w:pPr>
        <w:pStyle w:val="Lista3"/>
      </w:pPr>
      <w:r>
        <w:t xml:space="preserve">see </w:t>
      </w:r>
      <w:r>
        <w:fldChar w:fldCharType="begin"/>
      </w:r>
      <w:r>
        <w:instrText xml:space="preserve"> REF _Ref44078634 \h  \* MERGEFORMAT </w:instrText>
      </w:r>
      <w:r>
        <w:fldChar w:fldCharType="separate"/>
      </w:r>
      <w:r>
        <w:t xml:space="preserve">Exhibit </w:t>
      </w:r>
      <w:r>
        <w:rPr>
          <w:noProof/>
        </w:rPr>
        <w:t>5.5.G</w:t>
      </w:r>
      <w:r>
        <w:fldChar w:fldCharType="end"/>
      </w:r>
      <w:r>
        <w:t xml:space="preserve"> for a fully encoded example of such deletion</w:t>
      </w:r>
    </w:p>
    <w:p>
      <w:pPr>
        <w:pStyle w:val="Lista2"/>
        <w:rPr>
          <w:rStyle w:val="Foreign"/>
          <w:i w:val="0"/>
          <w:iCs w:val="0"/>
          <w:noProof w:val="0"/>
        </w:rPr>
      </w:pPr>
      <w:r>
        <w:t xml:space="preserve">if the vowel marker </w:t>
      </w:r>
      <w:r>
        <w:rPr>
          <w:rStyle w:val="Foreign"/>
        </w:rPr>
        <w:t>ā</w:t>
      </w:r>
      <w:r>
        <w:t xml:space="preserve"> is added to the second </w:t>
      </w:r>
      <w:r>
        <w:rPr>
          <w:rStyle w:val="Foreign"/>
        </w:rPr>
        <w:t>akṣara</w:t>
      </w:r>
      <w:r>
        <w:t xml:space="preserve"> of the word </w:t>
      </w:r>
      <w:r>
        <w:rPr>
          <w:rStyle w:val="Foreign"/>
        </w:rPr>
        <w:t>putraḥ</w:t>
      </w:r>
      <w:r>
        <w:t xml:space="preserve">, this changes the reading to </w:t>
      </w:r>
      <w:r>
        <w:rPr>
          <w:rStyle w:val="Foreign"/>
        </w:rPr>
        <w:t>putrāḥ</w:t>
      </w:r>
    </w:p>
    <w:p>
      <w:pPr>
        <w:pStyle w:val="Lista3"/>
      </w:pPr>
      <w:r>
        <w:t xml:space="preserve">which must be encoded as  </w:t>
      </w:r>
      <w:r>
        <w:rPr>
          <w:rStyle w:val="Codetext"/>
        </w:rPr>
        <w:t>putr</w:t>
      </w:r>
      <w:r>
        <w:rPr>
          <w:rStyle w:val="Code"/>
        </w:rPr>
        <w:t xml:space="preserve">&lt;subst&gt;&lt;del </w:t>
      </w:r>
      <w:r>
        <w:rPr>
          <w:rStyle w:val="Codeattribute"/>
        </w:rPr>
        <w:t>rend=</w:t>
      </w:r>
      <w:r>
        <w:rPr>
          <w:rStyle w:val="Codevalue"/>
        </w:rPr>
        <w:t>"corrected"</w:t>
      </w:r>
      <w:r>
        <w:rPr>
          <w:rStyle w:val="Code"/>
        </w:rPr>
        <w:t xml:space="preserve">&gt;a&lt;/del&gt;&lt;add </w:t>
      </w:r>
      <w:r>
        <w:rPr>
          <w:rStyle w:val="Codeattribute"/>
        </w:rPr>
        <w:t>place=</w:t>
      </w:r>
      <w:r>
        <w:rPr>
          <w:rStyle w:val="Codevalue"/>
        </w:rPr>
        <w:t>"overstrike"</w:t>
      </w:r>
      <w:r>
        <w:rPr>
          <w:rStyle w:val="Code"/>
        </w:rPr>
        <w:t>&gt;</w:t>
      </w:r>
      <w:r>
        <w:rPr>
          <w:rStyle w:val="Codetext"/>
        </w:rPr>
        <w:t>ā</w:t>
      </w:r>
      <w:r>
        <w:rPr>
          <w:rStyle w:val="Code"/>
        </w:rPr>
        <w:t>&lt;/add&gt;&lt;/subst&gt;</w:t>
      </w:r>
      <w:r>
        <w:rPr>
          <w:rStyle w:val="Codetext"/>
        </w:rPr>
        <w:t>ḥ</w:t>
      </w:r>
    </w:p>
    <w:p>
      <w:pPr>
        <w:pStyle w:val="Lista4"/>
      </w:pPr>
      <w:r>
        <w:rPr>
          <w:b/>
          <w:bCs/>
        </w:rPr>
        <w:t>not</w:t>
      </w:r>
      <w:r>
        <w:t xml:space="preserve"> </w:t>
      </w:r>
      <w:r>
        <w:rPr>
          <w:rStyle w:val="Codetext"/>
        </w:rPr>
        <w:t>putr</w:t>
      </w:r>
      <w:r>
        <w:rPr>
          <w:rStyle w:val="Code"/>
        </w:rPr>
        <w:t>&lt;add&gt;</w:t>
      </w:r>
      <w:r>
        <w:rPr>
          <w:rStyle w:val="Codetext"/>
        </w:rPr>
        <w:t>ā</w:t>
      </w:r>
      <w:r>
        <w:rPr>
          <w:rStyle w:val="Code"/>
        </w:rPr>
        <w:t>&lt;/add&gt;</w:t>
      </w:r>
      <w:r>
        <w:rPr>
          <w:rStyle w:val="Codetext"/>
        </w:rPr>
        <w:t>ḥ</w:t>
      </w:r>
      <w:r>
        <w:t xml:space="preserve"> (which would mean that the pre-correction reading is </w:t>
      </w:r>
      <w:r>
        <w:rPr>
          <w:rStyle w:val="Foreign"/>
        </w:rPr>
        <w:t>putrḥ</w:t>
      </w:r>
      <w:r>
        <w:t>)</w:t>
      </w:r>
    </w:p>
    <w:p>
      <w:pPr>
        <w:pStyle w:val="Lista4"/>
        <w:rPr>
          <w:lang w:eastAsia="en-US" w:bidi="ar-SA"/>
        </w:rPr>
      </w:pPr>
      <w:r>
        <w:t xml:space="preserve">even though the scribe did not actually delete anything, on the level of graphemes the </w:t>
      </w:r>
      <w:r>
        <w:rPr>
          <w:rStyle w:val="Foreign"/>
        </w:rPr>
        <w:t>a</w:t>
      </w:r>
      <w:r>
        <w:t xml:space="preserve"> was cancelled without physical deletion (hence </w:t>
      </w:r>
      <w:r>
        <w:rPr>
          <w:rStyle w:val="Codeattribute"/>
        </w:rPr>
        <w:t>@rend=</w:t>
      </w:r>
      <w:r>
        <w:rPr>
          <w:rStyle w:val="Codevalue"/>
        </w:rPr>
        <w:t>"corrected"</w:t>
      </w:r>
      <w:r>
        <w:t xml:space="preserve"> on the </w:t>
      </w:r>
      <w:r>
        <w:rPr>
          <w:rStyle w:val="Code"/>
        </w:rPr>
        <w:t>&lt;del&gt;</w:t>
      </w:r>
      <w:r>
        <w:t xml:space="preserve"> element, §</w:t>
      </w:r>
      <w:r>
        <w:fldChar w:fldCharType="begin"/>
      </w:r>
      <w:r>
        <w:instrText xml:space="preserve"> REF _Ref227846179 \r \h </w:instrText>
      </w:r>
      <w:r>
        <w:fldChar w:fldCharType="separate"/>
      </w:r>
      <w:r>
        <w:t>5.5.1.1</w:t>
      </w:r>
      <w:r>
        <w:fldChar w:fldCharType="end"/>
      </w:r>
      <w:r>
        <w:t xml:space="preserve">), while the </w:t>
      </w:r>
      <w:r>
        <w:rPr>
          <w:rStyle w:val="Foreign"/>
        </w:rPr>
        <w:t>ā</w:t>
      </w:r>
      <w:r>
        <w:t xml:space="preserve"> was created in the same place (hence </w:t>
      </w:r>
      <w:r>
        <w:rPr>
          <w:rStyle w:val="Codeattribute"/>
        </w:rPr>
        <w:t>@place=</w:t>
      </w:r>
      <w:r>
        <w:rPr>
          <w:rStyle w:val="Codevalue"/>
        </w:rPr>
        <w:t>"overstrike"</w:t>
      </w:r>
      <w:r>
        <w:t xml:space="preserve"> on the </w:t>
      </w:r>
      <w:r>
        <w:rPr>
          <w:rStyle w:val="Code"/>
        </w:rPr>
        <w:t>&lt;add&gt;</w:t>
      </w:r>
      <w:r>
        <w:t xml:space="preserve"> element, §</w:t>
      </w:r>
      <w:r>
        <w:fldChar w:fldCharType="begin"/>
      </w:r>
      <w:r>
        <w:instrText xml:space="preserve"> REF _Ref227848664 \r \h </w:instrText>
      </w:r>
      <w:r>
        <w:fldChar w:fldCharType="separate"/>
      </w:r>
      <w:r>
        <w:t>5.5.2.1</w:t>
      </w:r>
      <w:r>
        <w:fldChar w:fldCharType="end"/>
      </w:r>
      <w:r>
        <w:t>)</w:t>
      </w:r>
    </w:p>
    <w:p>
      <w:pPr>
        <w:pStyle w:val="Cmsor1"/>
      </w:pPr>
      <w:bookmarkStart w:id="489" w:name="_zf8yqisjzwlq" w:colFirst="0" w:colLast="0"/>
      <w:bookmarkStart w:id="490" w:name="_Ref231895504"/>
      <w:bookmarkEnd w:id="489"/>
      <w:r>
        <w:lastRenderedPageBreak/>
        <w:t>Legibility issues</w:t>
      </w:r>
      <w:bookmarkEnd w:id="490"/>
    </w:p>
    <w:p>
      <w:pPr>
        <w:pStyle w:val="Cmsor2"/>
      </w:pPr>
      <w:bookmarkStart w:id="491" w:name="_z6ifhw1ovfh2" w:colFirst="0" w:colLast="0"/>
      <w:bookmarkStart w:id="492" w:name="_Ref228196345"/>
      <w:bookmarkEnd w:id="491"/>
      <w:r>
        <w:t>Representing legibility issues in TEI/EpiDoc</w:t>
      </w:r>
      <w:bookmarkEnd w:id="492"/>
    </w:p>
    <w:p>
      <w:r>
        <w:t xml:space="preserve">This section is concerned with the encoding of text which is present in the source document, or was presumably present when the source was in a pristine state, but which cannot be read with complete confidence today. Encoding what </w:t>
      </w:r>
      <w:r>
        <w:rPr>
          <w:i/>
          <w:iCs/>
        </w:rPr>
        <w:t>should</w:t>
      </w:r>
      <w:r>
        <w:t xml:space="preserve"> have been there but is (and was) not, i.e. editorial intervention, is the subject of §</w:t>
      </w:r>
      <w:r>
        <w:fldChar w:fldCharType="begin"/>
      </w:r>
      <w:r>
        <w:instrText xml:space="preserve"> REF _Ref181694670 \r \h </w:instrText>
      </w:r>
      <w:r>
        <w:fldChar w:fldCharType="separate"/>
      </w:r>
      <w:r>
        <w:t>7</w:t>
      </w:r>
      <w:r>
        <w:fldChar w:fldCharType="end"/>
      </w:r>
      <w:r>
        <w:t>. The textual loci affected by a legibility issue are tagged with phrase-level elements (§</w:t>
      </w:r>
      <w:r>
        <w:fldChar w:fldCharType="begin"/>
      </w:r>
      <w:r>
        <w:instrText xml:space="preserve"> REF _Ref224893557 \r \h </w:instrText>
      </w:r>
      <w:r>
        <w:fldChar w:fldCharType="separate"/>
      </w:r>
      <w:r>
        <w:t>2.2.2</w:t>
      </w:r>
      <w:r>
        <w:fldChar w:fldCharType="end"/>
      </w:r>
      <w:r>
        <w:t>), which are hierarchically subordinate to the block-level containers for prose and verse, therefore any continuous stretch of problematic reading that extends across a block-level boundary must be encoded with two separate phrase-level elements, one in each of the containers. Encoding hierarchy is discussed further in §</w:t>
      </w:r>
      <w:r>
        <w:fldChar w:fldCharType="begin"/>
      </w:r>
      <w:r>
        <w:instrText xml:space="preserve"> REF _Ref43978660 \r \h </w:instrText>
      </w:r>
      <w:r>
        <w:fldChar w:fldCharType="separate"/>
      </w:r>
      <w:r>
        <w:t>16.2</w:t>
      </w:r>
      <w:r>
        <w:fldChar w:fldCharType="end"/>
      </w:r>
      <w:r>
        <w:t xml:space="preserve">. </w:t>
      </w:r>
    </w:p>
    <w:p>
      <w:pPr>
        <w:pStyle w:val="Normlbehzs"/>
      </w:pPr>
      <w:r>
        <w:t xml:space="preserve">The TEI elements relevant to the source’s legibility are </w:t>
      </w:r>
      <w:r>
        <w:rPr>
          <w:rStyle w:val="Code"/>
        </w:rPr>
        <w:t>&lt;damage&gt;</w:t>
      </w:r>
      <w:r>
        <w:t xml:space="preserve">, </w:t>
      </w:r>
      <w:r>
        <w:rPr>
          <w:rStyle w:val="Code"/>
        </w:rPr>
        <w:t>&lt;unclear&gt;</w:t>
      </w:r>
      <w:r>
        <w:t xml:space="preserve">, </w:t>
      </w:r>
      <w:r>
        <w:rPr>
          <w:rStyle w:val="Code"/>
        </w:rPr>
        <w:t>&lt;gap&gt;</w:t>
      </w:r>
      <w:r>
        <w:t xml:space="preserve"> and </w:t>
      </w:r>
      <w:r>
        <w:rPr>
          <w:rStyle w:val="Code"/>
        </w:rPr>
        <w:t>&lt;supplied&gt;</w:t>
      </w:r>
      <w:r>
        <w:t xml:space="preserve">. Which of these applies to any given locus, and what attributes should be used on them, depends on the degree to which the source text is objectively legible and your confidence in the reading selected for your edition, as illustrated in </w:t>
      </w:r>
      <w:r>
        <w:fldChar w:fldCharType="begin"/>
      </w:r>
      <w:r>
        <w:instrText xml:space="preserve"> REF _Ref228199279 \h </w:instrText>
      </w:r>
      <w:r>
        <w:fldChar w:fldCharType="separate"/>
      </w:r>
      <w:r>
        <w:t xml:space="preserve">Exhibit </w:t>
      </w:r>
      <w:r>
        <w:rPr>
          <w:noProof/>
        </w:rPr>
        <w:t>6.1</w:t>
      </w:r>
      <w:r>
        <w:t>.</w:t>
      </w:r>
      <w:r>
        <w:rPr>
          <w:noProof/>
        </w:rPr>
        <w:t>A</w:t>
      </w:r>
      <w:r>
        <w:fldChar w:fldCharType="end"/>
      </w:r>
      <w:r>
        <w:t>, with the table’s labels explained below in more detail.</w:t>
      </w:r>
    </w:p>
    <w:p>
      <w:pPr>
        <w:keepNext/>
      </w:pPr>
    </w:p>
    <w:tbl>
      <w:tblPr>
        <w:tblStyle w:val="62"/>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38"/>
        <w:gridCol w:w="2553"/>
        <w:gridCol w:w="3359"/>
        <w:gridCol w:w="2068"/>
      </w:tblGrid>
      <w:tr>
        <w:tc>
          <w:tcPr>
            <w:tcW w:w="5000" w:type="pct"/>
            <w:gridSpan w:val="4"/>
            <w:shd w:val="clear" w:color="auto" w:fill="F0F7D7"/>
            <w:tcMar>
              <w:top w:w="100" w:type="dxa"/>
              <w:left w:w="100" w:type="dxa"/>
              <w:bottom w:w="100" w:type="dxa"/>
              <w:right w:w="100" w:type="dxa"/>
            </w:tcMar>
            <w:vAlign w:val="bottom"/>
          </w:tcPr>
          <w:p>
            <w:pPr>
              <w:pStyle w:val="Kpalrs"/>
            </w:pPr>
            <w:bookmarkStart w:id="493" w:name="_Ref228199279"/>
            <w:r>
              <w:t xml:space="preserve">Exhibit </w:t>
            </w:r>
            <w:fldSimple w:instr=" STYLEREF 2 \s ">
              <w:r>
                <w:rPr>
                  <w:noProof/>
                </w:rPr>
                <w:t>6.1</w:t>
              </w:r>
            </w:fldSimple>
            <w:r>
              <w:t>.</w:t>
            </w:r>
            <w:fldSimple w:instr=" SEQ Exhibit \* ALPHABETIC \s 2 ">
              <w:r>
                <w:rPr>
                  <w:noProof/>
                </w:rPr>
                <w:t>A</w:t>
              </w:r>
            </w:fldSimple>
            <w:bookmarkEnd w:id="493"/>
            <w:r>
              <w:t>: encoding of legibility issues</w:t>
            </w:r>
          </w:p>
        </w:tc>
      </w:tr>
      <w:tr>
        <w:tc>
          <w:tcPr>
            <w:tcW w:w="852" w:type="pct"/>
            <w:vMerge w:val="restart"/>
            <w:shd w:val="clear" w:color="auto" w:fill="F0F7D7"/>
            <w:tcMar>
              <w:top w:w="100" w:type="dxa"/>
              <w:left w:w="100" w:type="dxa"/>
              <w:bottom w:w="100" w:type="dxa"/>
              <w:right w:w="100" w:type="dxa"/>
            </w:tcMar>
            <w:vAlign w:val="bottom"/>
          </w:tcPr>
          <w:p>
            <w:pPr>
              <w:pStyle w:val="Tabletext"/>
              <w:keepNext/>
              <w:keepLines/>
              <w:jc w:val="center"/>
            </w:pPr>
            <w:r>
              <w:t>Confidence in edition text</w:t>
            </w:r>
          </w:p>
        </w:tc>
        <w:tc>
          <w:tcPr>
            <w:tcW w:w="4148" w:type="pct"/>
            <w:gridSpan w:val="3"/>
            <w:shd w:val="clear" w:color="auto" w:fill="F0F7D7"/>
            <w:tcMar>
              <w:top w:w="100" w:type="dxa"/>
              <w:left w:w="100" w:type="dxa"/>
              <w:bottom w:w="100" w:type="dxa"/>
              <w:right w:w="100" w:type="dxa"/>
            </w:tcMar>
            <w:vAlign w:val="center"/>
          </w:tcPr>
          <w:p>
            <w:pPr>
              <w:pStyle w:val="Tabletext"/>
              <w:keepNext/>
              <w:keepLines/>
              <w:jc w:val="center"/>
            </w:pPr>
            <w:r>
              <w:t>Status of source text</w:t>
            </w:r>
          </w:p>
        </w:tc>
      </w:tr>
      <w:tr>
        <w:tc>
          <w:tcPr>
            <w:tcW w:w="852" w:type="pct"/>
            <w:vMerge/>
            <w:shd w:val="clear" w:color="auto" w:fill="F0F7D7"/>
            <w:tcMar>
              <w:top w:w="100" w:type="dxa"/>
              <w:left w:w="100" w:type="dxa"/>
              <w:bottom w:w="100" w:type="dxa"/>
              <w:right w:w="100" w:type="dxa"/>
            </w:tcMar>
          </w:tcPr>
          <w:p>
            <w:pPr>
              <w:pStyle w:val="Tabletext"/>
              <w:keepNext/>
              <w:keepLines/>
            </w:pPr>
          </w:p>
        </w:tc>
        <w:tc>
          <w:tcPr>
            <w:tcW w:w="1327" w:type="pct"/>
            <w:shd w:val="clear" w:color="auto" w:fill="F0F7D7"/>
            <w:tcMar>
              <w:top w:w="100" w:type="dxa"/>
              <w:left w:w="100" w:type="dxa"/>
              <w:bottom w:w="100" w:type="dxa"/>
              <w:right w:w="100" w:type="dxa"/>
            </w:tcMar>
            <w:vAlign w:val="center"/>
          </w:tcPr>
          <w:p>
            <w:pPr>
              <w:pStyle w:val="Tabletext"/>
              <w:keepNext/>
              <w:keepLines/>
              <w:jc w:val="center"/>
            </w:pPr>
            <w:r>
              <w:t>lost</w:t>
            </w:r>
          </w:p>
        </w:tc>
        <w:tc>
          <w:tcPr>
            <w:tcW w:w="1746" w:type="pct"/>
            <w:shd w:val="clear" w:color="auto" w:fill="F0F7D7"/>
            <w:tcMar>
              <w:top w:w="100" w:type="dxa"/>
              <w:left w:w="100" w:type="dxa"/>
              <w:bottom w:w="100" w:type="dxa"/>
              <w:right w:w="100" w:type="dxa"/>
            </w:tcMar>
            <w:vAlign w:val="center"/>
          </w:tcPr>
          <w:p>
            <w:pPr>
              <w:pStyle w:val="Tabletext"/>
              <w:keepNext/>
              <w:keepLines/>
              <w:jc w:val="center"/>
            </w:pPr>
            <w:r>
              <w:t>illegible</w:t>
            </w:r>
          </w:p>
        </w:tc>
        <w:tc>
          <w:tcPr>
            <w:tcW w:w="1075" w:type="pct"/>
            <w:shd w:val="clear" w:color="auto" w:fill="F0F7D7"/>
            <w:tcMar>
              <w:top w:w="100" w:type="dxa"/>
              <w:left w:w="100" w:type="dxa"/>
              <w:bottom w:w="100" w:type="dxa"/>
              <w:right w:w="100" w:type="dxa"/>
            </w:tcMar>
            <w:vAlign w:val="center"/>
          </w:tcPr>
          <w:p>
            <w:pPr>
              <w:pStyle w:val="Tabletext"/>
              <w:keepNext/>
              <w:keepLines/>
              <w:jc w:val="center"/>
            </w:pPr>
            <w:r>
              <w:t>problematic</w:t>
            </w:r>
          </w:p>
        </w:tc>
      </w:tr>
      <w:tr>
        <w:trPr>
          <w:trHeight w:val="440"/>
        </w:trPr>
        <w:tc>
          <w:tcPr>
            <w:tcW w:w="852" w:type="pct"/>
            <w:shd w:val="clear" w:color="auto" w:fill="F0F7D7"/>
            <w:tcMar>
              <w:top w:w="100" w:type="dxa"/>
              <w:left w:w="100" w:type="dxa"/>
              <w:bottom w:w="100" w:type="dxa"/>
              <w:right w:w="100" w:type="dxa"/>
            </w:tcMar>
            <w:vAlign w:val="center"/>
          </w:tcPr>
          <w:p>
            <w:pPr>
              <w:pStyle w:val="Tabletext"/>
              <w:keepNext/>
              <w:keepLines/>
              <w:jc w:val="right"/>
            </w:pPr>
            <w:r>
              <w:t>high</w:t>
            </w:r>
          </w:p>
        </w:tc>
        <w:tc>
          <w:tcPr>
            <w:tcW w:w="1327" w:type="pct"/>
            <w:vMerge w:val="restart"/>
            <w:tcMar>
              <w:top w:w="100" w:type="dxa"/>
              <w:left w:w="100" w:type="dxa"/>
              <w:bottom w:w="100" w:type="dxa"/>
              <w:right w:w="100" w:type="dxa"/>
            </w:tcMar>
            <w:vAlign w:val="center"/>
          </w:tcPr>
          <w:p>
            <w:pPr>
              <w:pStyle w:val="Tabletext"/>
              <w:keepNext/>
              <w:keepLines/>
              <w:jc w:val="center"/>
              <w:rPr>
                <w:rStyle w:val="Code"/>
              </w:rPr>
            </w:pPr>
            <w:r>
              <w:rPr>
                <w:rStyle w:val="Code"/>
              </w:rPr>
              <w:t>&lt;supplied&gt;</w:t>
            </w:r>
            <w:r>
              <w:rPr>
                <w:rStyle w:val="Code"/>
              </w:rPr>
              <w:br/>
            </w:r>
            <w:r>
              <w:t xml:space="preserve">with </w:t>
            </w:r>
            <w:r>
              <w:rPr>
                <w:rStyle w:val="Codeattribute"/>
              </w:rPr>
              <w:t>@reason</w:t>
            </w:r>
            <w:r>
              <w:rPr>
                <w:rStyle w:val="Code"/>
              </w:rPr>
              <w:t>=</w:t>
            </w:r>
            <w:r>
              <w:rPr>
                <w:rStyle w:val="Codevalue"/>
              </w:rPr>
              <w:t>"lost"</w:t>
            </w:r>
          </w:p>
        </w:tc>
        <w:tc>
          <w:tcPr>
            <w:tcW w:w="1746" w:type="pct"/>
            <w:vMerge w:val="restart"/>
            <w:tcMar>
              <w:top w:w="100" w:type="dxa"/>
              <w:left w:w="100" w:type="dxa"/>
              <w:bottom w:w="100" w:type="dxa"/>
              <w:right w:w="100" w:type="dxa"/>
            </w:tcMar>
            <w:vAlign w:val="center"/>
          </w:tcPr>
          <w:p>
            <w:pPr>
              <w:pStyle w:val="Tabletext"/>
              <w:keepNext/>
              <w:keepLines/>
              <w:jc w:val="center"/>
              <w:rPr>
                <w:rStyle w:val="Code"/>
              </w:rPr>
            </w:pPr>
            <w:r>
              <w:rPr>
                <w:rStyle w:val="Code"/>
              </w:rPr>
              <w:t>&lt;unclear&gt;</w:t>
            </w:r>
          </w:p>
        </w:tc>
        <w:tc>
          <w:tcPr>
            <w:tcW w:w="1075" w:type="pct"/>
            <w:tcMar>
              <w:top w:w="100" w:type="dxa"/>
              <w:left w:w="100" w:type="dxa"/>
              <w:bottom w:w="100" w:type="dxa"/>
              <w:right w:w="100" w:type="dxa"/>
            </w:tcMar>
            <w:vAlign w:val="center"/>
          </w:tcPr>
          <w:p>
            <w:pPr>
              <w:pStyle w:val="Tabletext"/>
              <w:keepNext/>
              <w:keepLines/>
              <w:jc w:val="center"/>
            </w:pPr>
            <w:r>
              <w:t xml:space="preserve">optional </w:t>
            </w:r>
            <w:r>
              <w:rPr>
                <w:rStyle w:val="Code"/>
              </w:rPr>
              <w:t>&lt;unclear&gt;</w:t>
            </w:r>
            <w:r>
              <w:t xml:space="preserve"> optional </w:t>
            </w:r>
            <w:r>
              <w:rPr>
                <w:rStyle w:val="Code"/>
              </w:rPr>
              <w:t>&lt;damage&gt;</w:t>
            </w:r>
          </w:p>
        </w:tc>
      </w:tr>
      <w:tr>
        <w:trPr>
          <w:trHeight w:val="440"/>
        </w:trPr>
        <w:tc>
          <w:tcPr>
            <w:tcW w:w="852" w:type="pct"/>
            <w:shd w:val="clear" w:color="auto" w:fill="F0F7D7"/>
            <w:tcMar>
              <w:top w:w="100" w:type="dxa"/>
              <w:left w:w="100" w:type="dxa"/>
              <w:bottom w:w="100" w:type="dxa"/>
              <w:right w:w="100" w:type="dxa"/>
            </w:tcMar>
            <w:vAlign w:val="center"/>
          </w:tcPr>
          <w:p>
            <w:pPr>
              <w:pStyle w:val="Tabletext"/>
              <w:keepNext/>
              <w:keepLines/>
              <w:jc w:val="right"/>
            </w:pPr>
            <w:r>
              <w:t>reasonable</w:t>
            </w:r>
          </w:p>
        </w:tc>
        <w:tc>
          <w:tcPr>
            <w:tcW w:w="1327" w:type="pct"/>
            <w:vMerge/>
            <w:tcMar>
              <w:top w:w="100" w:type="dxa"/>
              <w:left w:w="100" w:type="dxa"/>
              <w:bottom w:w="100" w:type="dxa"/>
              <w:right w:w="100" w:type="dxa"/>
            </w:tcMar>
            <w:vAlign w:val="center"/>
          </w:tcPr>
          <w:p>
            <w:pPr>
              <w:pStyle w:val="Tabletext"/>
              <w:keepNext/>
              <w:keepLines/>
              <w:jc w:val="center"/>
            </w:pPr>
          </w:p>
        </w:tc>
        <w:tc>
          <w:tcPr>
            <w:tcW w:w="1746" w:type="pct"/>
            <w:vMerge/>
            <w:tcMar>
              <w:top w:w="100" w:type="dxa"/>
              <w:left w:w="100" w:type="dxa"/>
              <w:bottom w:w="100" w:type="dxa"/>
              <w:right w:w="100" w:type="dxa"/>
            </w:tcMar>
            <w:vAlign w:val="center"/>
          </w:tcPr>
          <w:p>
            <w:pPr>
              <w:pStyle w:val="Tabletext"/>
              <w:keepNext/>
              <w:keepLines/>
              <w:jc w:val="center"/>
            </w:pPr>
          </w:p>
        </w:tc>
        <w:tc>
          <w:tcPr>
            <w:tcW w:w="1075" w:type="pct"/>
            <w:tcMar>
              <w:top w:w="100" w:type="dxa"/>
              <w:left w:w="100" w:type="dxa"/>
              <w:bottom w:w="100" w:type="dxa"/>
              <w:right w:w="100" w:type="dxa"/>
            </w:tcMar>
            <w:vAlign w:val="center"/>
          </w:tcPr>
          <w:p>
            <w:pPr>
              <w:pStyle w:val="Tabletext"/>
              <w:keepNext/>
              <w:keepLines/>
              <w:jc w:val="center"/>
              <w:rPr>
                <w:rStyle w:val="Code"/>
              </w:rPr>
            </w:pPr>
            <w:r>
              <w:rPr>
                <w:rStyle w:val="Code"/>
              </w:rPr>
              <w:t>&lt;unclear&gt;</w:t>
            </w:r>
          </w:p>
        </w:tc>
      </w:tr>
      <w:tr>
        <w:trPr>
          <w:trHeight w:val="440"/>
        </w:trPr>
        <w:tc>
          <w:tcPr>
            <w:tcW w:w="852" w:type="pct"/>
            <w:shd w:val="clear" w:color="auto" w:fill="F0F7D7"/>
            <w:tcMar>
              <w:top w:w="100" w:type="dxa"/>
              <w:left w:w="100" w:type="dxa"/>
              <w:bottom w:w="100" w:type="dxa"/>
              <w:right w:w="100" w:type="dxa"/>
            </w:tcMar>
            <w:vAlign w:val="center"/>
          </w:tcPr>
          <w:p>
            <w:pPr>
              <w:pStyle w:val="Tabletext"/>
              <w:keepNext/>
              <w:keepLines/>
              <w:jc w:val="right"/>
            </w:pPr>
            <w:r>
              <w:t>tentative</w:t>
            </w:r>
          </w:p>
        </w:tc>
        <w:tc>
          <w:tcPr>
            <w:tcW w:w="1327" w:type="pct"/>
            <w:tcMar>
              <w:top w:w="100" w:type="dxa"/>
              <w:left w:w="100" w:type="dxa"/>
              <w:bottom w:w="100" w:type="dxa"/>
              <w:right w:w="100" w:type="dxa"/>
            </w:tcMar>
            <w:vAlign w:val="center"/>
          </w:tcPr>
          <w:p>
            <w:pPr>
              <w:pStyle w:val="Tabletext"/>
              <w:keepNext/>
              <w:keepLines/>
              <w:jc w:val="center"/>
              <w:rPr>
                <w:rStyle w:val="Code"/>
              </w:rPr>
            </w:pPr>
            <w:r>
              <w:rPr>
                <w:rStyle w:val="Code"/>
              </w:rPr>
              <w:t>&lt;supplied&gt;</w:t>
            </w:r>
          </w:p>
          <w:p>
            <w:pPr>
              <w:pStyle w:val="Tabletext"/>
              <w:keepNext/>
              <w:keepLines/>
              <w:jc w:val="center"/>
              <w:rPr>
                <w:rStyle w:val="Code"/>
              </w:rPr>
            </w:pPr>
            <w:r>
              <w:t xml:space="preserve">with </w:t>
            </w:r>
            <w:r>
              <w:rPr>
                <w:rStyle w:val="Codeattribute"/>
              </w:rPr>
              <w:t>@reason</w:t>
            </w:r>
            <w:r>
              <w:rPr>
                <w:rStyle w:val="Code"/>
              </w:rPr>
              <w:t>=</w:t>
            </w:r>
            <w:r>
              <w:rPr>
                <w:rStyle w:val="Codevalue"/>
              </w:rPr>
              <w:t>"lost"</w:t>
            </w:r>
            <w:r>
              <w:rPr>
                <w:rStyle w:val="Code"/>
              </w:rPr>
              <w:t xml:space="preserve"> </w:t>
            </w:r>
          </w:p>
          <w:p>
            <w:pPr>
              <w:pStyle w:val="Tabletext"/>
              <w:keepNext/>
              <w:keepLines/>
              <w:jc w:val="center"/>
              <w:rPr>
                <w:rStyle w:val="Code"/>
              </w:rPr>
            </w:pPr>
            <w:r>
              <w:t xml:space="preserve">and </w:t>
            </w:r>
            <w:r>
              <w:rPr>
                <w:rStyle w:val="Codeattribute"/>
              </w:rPr>
              <w:t>@cert</w:t>
            </w:r>
            <w:r>
              <w:rPr>
                <w:rStyle w:val="Code"/>
              </w:rPr>
              <w:t>=</w:t>
            </w:r>
            <w:r>
              <w:rPr>
                <w:rStyle w:val="Codevalue"/>
              </w:rPr>
              <w:t>"low"</w:t>
            </w:r>
          </w:p>
        </w:tc>
        <w:tc>
          <w:tcPr>
            <w:tcW w:w="1746" w:type="pct"/>
            <w:tcMar>
              <w:top w:w="100" w:type="dxa"/>
              <w:left w:w="100" w:type="dxa"/>
              <w:bottom w:w="100" w:type="dxa"/>
              <w:right w:w="100" w:type="dxa"/>
            </w:tcMar>
            <w:vAlign w:val="center"/>
          </w:tcPr>
          <w:p>
            <w:pPr>
              <w:pStyle w:val="Tabletext"/>
              <w:keepNext/>
              <w:keepLines/>
              <w:jc w:val="center"/>
              <w:rPr>
                <w:rStyle w:val="Code"/>
              </w:rPr>
            </w:pPr>
            <w:r>
              <w:rPr>
                <w:rStyle w:val="Code"/>
              </w:rPr>
              <w:t>&lt;unclear&gt;</w:t>
            </w:r>
          </w:p>
          <w:p>
            <w:pPr>
              <w:pStyle w:val="Tabletext"/>
              <w:keepNext/>
              <w:keepLines/>
              <w:jc w:val="center"/>
              <w:rPr>
                <w:rStyle w:val="Code"/>
              </w:rPr>
            </w:pPr>
            <w:r>
              <w:t xml:space="preserve">with </w:t>
            </w:r>
            <w:r>
              <w:rPr>
                <w:rStyle w:val="Codeattribute"/>
              </w:rPr>
              <w:t>@cert</w:t>
            </w:r>
            <w:r>
              <w:rPr>
                <w:rStyle w:val="Code"/>
              </w:rPr>
              <w:t>=</w:t>
            </w:r>
            <w:r>
              <w:rPr>
                <w:rStyle w:val="Codevalue"/>
              </w:rPr>
              <w:t>"low"</w:t>
            </w:r>
          </w:p>
        </w:tc>
        <w:tc>
          <w:tcPr>
            <w:tcW w:w="1075" w:type="pct"/>
            <w:tcMar>
              <w:top w:w="100" w:type="dxa"/>
              <w:left w:w="100" w:type="dxa"/>
              <w:bottom w:w="100" w:type="dxa"/>
              <w:right w:w="100" w:type="dxa"/>
            </w:tcMar>
            <w:vAlign w:val="center"/>
          </w:tcPr>
          <w:p>
            <w:pPr>
              <w:pStyle w:val="Tabletext"/>
              <w:keepNext/>
              <w:keepLines/>
              <w:jc w:val="center"/>
              <w:rPr>
                <w:rStyle w:val="Code"/>
              </w:rPr>
            </w:pPr>
            <w:r>
              <w:rPr>
                <w:rStyle w:val="Code"/>
              </w:rPr>
              <w:t>&lt;unclear&gt;</w:t>
            </w:r>
          </w:p>
          <w:p>
            <w:pPr>
              <w:pStyle w:val="Tabletext"/>
              <w:keepNext/>
              <w:keepLines/>
              <w:jc w:val="center"/>
              <w:rPr>
                <w:rStyle w:val="Code"/>
              </w:rPr>
            </w:pPr>
            <w:r>
              <w:t xml:space="preserve">with </w:t>
            </w:r>
            <w:r>
              <w:rPr>
                <w:rStyle w:val="Codeattribute"/>
              </w:rPr>
              <w:t>@cert</w:t>
            </w:r>
            <w:r>
              <w:rPr>
                <w:rStyle w:val="Code"/>
              </w:rPr>
              <w:t>=</w:t>
            </w:r>
            <w:r>
              <w:rPr>
                <w:rStyle w:val="Codevalue"/>
              </w:rPr>
              <w:t>"low"</w:t>
            </w:r>
          </w:p>
        </w:tc>
      </w:tr>
      <w:tr>
        <w:tc>
          <w:tcPr>
            <w:tcW w:w="852" w:type="pct"/>
            <w:shd w:val="clear" w:color="auto" w:fill="F0F7D7"/>
            <w:tcMar>
              <w:top w:w="100" w:type="dxa"/>
              <w:left w:w="100" w:type="dxa"/>
              <w:bottom w:w="100" w:type="dxa"/>
              <w:right w:w="100" w:type="dxa"/>
            </w:tcMar>
            <w:vAlign w:val="center"/>
          </w:tcPr>
          <w:p>
            <w:pPr>
              <w:pStyle w:val="Tabletext"/>
              <w:jc w:val="right"/>
            </w:pPr>
            <w:r>
              <w:t>nil</w:t>
            </w:r>
          </w:p>
        </w:tc>
        <w:tc>
          <w:tcPr>
            <w:tcW w:w="1327" w:type="pct"/>
            <w:tcMar>
              <w:top w:w="100" w:type="dxa"/>
              <w:left w:w="100" w:type="dxa"/>
              <w:bottom w:w="100" w:type="dxa"/>
              <w:right w:w="100" w:type="dxa"/>
            </w:tcMar>
            <w:vAlign w:val="center"/>
          </w:tcPr>
          <w:p>
            <w:pPr>
              <w:pStyle w:val="Tabletext"/>
              <w:jc w:val="center"/>
              <w:rPr>
                <w:rStyle w:val="Code"/>
              </w:rPr>
            </w:pPr>
            <w:r>
              <w:rPr>
                <w:rStyle w:val="Code"/>
              </w:rPr>
              <w:t>&lt;gap&gt;</w:t>
            </w:r>
          </w:p>
          <w:p>
            <w:pPr>
              <w:pStyle w:val="Tabletext"/>
              <w:jc w:val="center"/>
              <w:rPr>
                <w:rStyle w:val="Code"/>
              </w:rPr>
            </w:pPr>
            <w:r>
              <w:t xml:space="preserve">with </w:t>
            </w:r>
            <w:r>
              <w:rPr>
                <w:rStyle w:val="Codeattribute"/>
              </w:rPr>
              <w:t>@reason</w:t>
            </w:r>
            <w:r>
              <w:rPr>
                <w:rStyle w:val="Code"/>
              </w:rPr>
              <w:t>=</w:t>
            </w:r>
            <w:r>
              <w:rPr>
                <w:rStyle w:val="Codevalue"/>
              </w:rPr>
              <w:t>"lost"</w:t>
            </w:r>
          </w:p>
        </w:tc>
        <w:tc>
          <w:tcPr>
            <w:tcW w:w="1746" w:type="pct"/>
            <w:tcMar>
              <w:top w:w="100" w:type="dxa"/>
              <w:left w:w="100" w:type="dxa"/>
              <w:bottom w:w="100" w:type="dxa"/>
              <w:right w:w="100" w:type="dxa"/>
            </w:tcMar>
            <w:vAlign w:val="center"/>
          </w:tcPr>
          <w:p>
            <w:pPr>
              <w:pStyle w:val="Tabletext"/>
              <w:jc w:val="center"/>
              <w:rPr>
                <w:rStyle w:val="Code"/>
              </w:rPr>
            </w:pPr>
            <w:r>
              <w:rPr>
                <w:rStyle w:val="Code"/>
              </w:rPr>
              <w:t>&lt;gap&gt;</w:t>
            </w:r>
          </w:p>
          <w:p>
            <w:pPr>
              <w:pStyle w:val="Tabletext"/>
              <w:jc w:val="center"/>
              <w:rPr>
                <w:rStyle w:val="Code"/>
              </w:rPr>
            </w:pPr>
            <w:r>
              <w:t xml:space="preserve">with </w:t>
            </w:r>
            <w:r>
              <w:rPr>
                <w:rStyle w:val="Codeattribute"/>
              </w:rPr>
              <w:t>@reason</w:t>
            </w:r>
            <w:r>
              <w:rPr>
                <w:rStyle w:val="Code"/>
              </w:rPr>
              <w:t>=</w:t>
            </w:r>
            <w:r>
              <w:rPr>
                <w:rStyle w:val="Codevalue"/>
              </w:rPr>
              <w:t>"illegible"</w:t>
            </w:r>
          </w:p>
        </w:tc>
        <w:tc>
          <w:tcPr>
            <w:tcW w:w="1075" w:type="pct"/>
            <w:tcMar>
              <w:top w:w="100" w:type="dxa"/>
              <w:left w:w="100" w:type="dxa"/>
              <w:bottom w:w="100" w:type="dxa"/>
              <w:right w:w="100" w:type="dxa"/>
            </w:tcMar>
            <w:vAlign w:val="center"/>
          </w:tcPr>
          <w:p>
            <w:pPr>
              <w:pStyle w:val="Tabletext"/>
              <w:jc w:val="center"/>
            </w:pPr>
            <w:r>
              <w:t>NA</w:t>
            </w:r>
          </w:p>
        </w:tc>
      </w:tr>
    </w:tbl>
    <w:p>
      <w:pPr>
        <w:pStyle w:val="Lista"/>
      </w:pPr>
      <w:r>
        <w:t xml:space="preserve">the </w:t>
      </w:r>
      <w:r>
        <w:rPr>
          <w:b/>
          <w:bCs/>
        </w:rPr>
        <w:t>status of the text in the source document</w:t>
      </w:r>
      <w:r>
        <w:t xml:space="preserve"> as an objective, physical entity</w:t>
      </w:r>
    </w:p>
    <w:p>
      <w:pPr>
        <w:pStyle w:val="Lista2"/>
      </w:pPr>
      <w:r>
        <w:rPr>
          <w:b/>
          <w:bCs/>
        </w:rPr>
        <w:t>lost</w:t>
      </w:r>
      <w:r>
        <w:t>: the support is gone or at least its surface layer is completely destroyed so that all vestiges of writing are obliterated</w:t>
      </w:r>
    </w:p>
    <w:p>
      <w:pPr>
        <w:pStyle w:val="Lista2"/>
      </w:pPr>
      <w:r>
        <w:rPr>
          <w:b/>
          <w:bCs/>
        </w:rPr>
        <w:t>illegible</w:t>
      </w:r>
      <w:r>
        <w:t>: the support is extant, but the glyphs cannot be made out with any degree of confidence</w:t>
      </w:r>
    </w:p>
    <w:p>
      <w:pPr>
        <w:pStyle w:val="Lista2"/>
      </w:pPr>
      <w:r>
        <w:rPr>
          <w:b/>
          <w:bCs/>
        </w:rPr>
        <w:t>problematic</w:t>
      </w:r>
      <w:r>
        <w:t>: the glyphs can be made out at least tentatively, but if taken out of context, their reading would be equivocal</w:t>
      </w:r>
    </w:p>
    <w:p>
      <w:pPr>
        <w:pStyle w:val="Lista"/>
        <w:rPr>
          <w:b/>
          <w:bCs/>
        </w:rPr>
      </w:pPr>
      <w:r>
        <w:rPr>
          <w:b/>
          <w:bCs/>
        </w:rPr>
        <w:t>confidence in the accuracy of your edition’s text (reading or restoration informed by context and expertise)</w:t>
      </w:r>
    </w:p>
    <w:p>
      <w:pPr>
        <w:pStyle w:val="Lista2"/>
      </w:pPr>
      <w:r>
        <w:rPr>
          <w:b/>
          <w:bCs/>
        </w:rPr>
        <w:t>high</w:t>
      </w:r>
      <w:r>
        <w:t>: your reading or restoration is quite certainly identical to what was actually written, or if not 100% accurate then differing only in trivial details (for instance, there may have been orthographic variation or a scribal error in the source)</w:t>
      </w:r>
    </w:p>
    <w:p>
      <w:pPr>
        <w:pStyle w:val="Lista2"/>
      </w:pPr>
      <w:r>
        <w:rPr>
          <w:b/>
          <w:bCs/>
        </w:rPr>
        <w:t>reasonable</w:t>
      </w:r>
      <w:r>
        <w:t>: your reading/restoration is likely to be correct, but there is a chance of a non-trivial alternative reading being possible</w:t>
      </w:r>
    </w:p>
    <w:p>
      <w:pPr>
        <w:pStyle w:val="Lista2"/>
      </w:pPr>
      <w:r>
        <w:rPr>
          <w:b/>
          <w:bCs/>
        </w:rPr>
        <w:t>tentative</w:t>
      </w:r>
      <w:r>
        <w:t>: your reading/restoration is a best guess or a diagnostic conjecture, with a fair chance that the actually engraved text differed from it in a non-trivial way</w:t>
      </w:r>
    </w:p>
    <w:p>
      <w:pPr>
        <w:pStyle w:val="Lista2"/>
      </w:pPr>
      <w:r>
        <w:rPr>
          <w:b/>
          <w:bCs/>
        </w:rPr>
        <w:t>nil</w:t>
      </w:r>
      <w:r>
        <w:t>: the text cannot be read or restored with any confidence, so you prefer not to venture a guess</w:t>
      </w:r>
    </w:p>
    <w:p/>
    <w:p>
      <w:r>
        <w:lastRenderedPageBreak/>
        <w:t xml:space="preserve">The element </w:t>
      </w:r>
      <w:r>
        <w:rPr>
          <w:rStyle w:val="Code"/>
        </w:rPr>
        <w:t>&lt;unclear&gt;</w:t>
      </w:r>
      <w:r>
        <w:t xml:space="preserve"> (§</w:t>
      </w:r>
      <w:r>
        <w:fldChar w:fldCharType="begin"/>
      </w:r>
      <w:r>
        <w:instrText xml:space="preserve"> REF _Ref43981505 \r \h </w:instrText>
      </w:r>
      <w:r>
        <w:fldChar w:fldCharType="separate"/>
      </w:r>
      <w:r>
        <w:t>6.3</w:t>
      </w:r>
      <w:r>
        <w:fldChar w:fldCharType="end"/>
      </w:r>
      <w:r>
        <w:t>) in principle stands for text that has been read at least tentatively from the source but which might not be readable with full confidence when removed from its context. Unclarity is usually a result of damage to the support, but it may also be a consequence of the eccentric or poor execution of the original writing. The latter can be distinguished from the former by the addition of an attribute (§</w:t>
      </w:r>
      <w:r>
        <w:fldChar w:fldCharType="begin"/>
      </w:r>
      <w:r>
        <w:instrText xml:space="preserve"> REF _Ref227942295 \r \h </w:instrText>
      </w:r>
      <w:r>
        <w:fldChar w:fldCharType="separate"/>
      </w:r>
      <w:r>
        <w:t>6.3.1.2</w:t>
      </w:r>
      <w:r>
        <w:fldChar w:fldCharType="end"/>
      </w:r>
      <w:r>
        <w:t xml:space="preserve">), but the overall method of the encoding is indifferent to the reason why a locus is not perfectly legible. In DHARMA practice, </w:t>
      </w:r>
      <w:r>
        <w:rPr>
          <w:rStyle w:val="Code"/>
        </w:rPr>
        <w:t>&lt;unclear&gt;</w:t>
      </w:r>
      <w:r>
        <w:t xml:space="preserve"> is not required when the text in context has been read with complete confidence even if some ambiguity might apply to the glyphs taken out of context. Loci affected by damage that does not impede reading may be tagged with </w:t>
      </w:r>
      <w:r>
        <w:rPr>
          <w:rStyle w:val="Code"/>
        </w:rPr>
        <w:t>&lt;damage&gt;</w:t>
      </w:r>
      <w:r>
        <w:t xml:space="preserve"> (§</w:t>
      </w:r>
      <w:r>
        <w:fldChar w:fldCharType="begin"/>
      </w:r>
      <w:r>
        <w:instrText xml:space="preserve"> REF _Ref43987823 \r \h </w:instrText>
      </w:r>
      <w:r>
        <w:fldChar w:fldCharType="separate"/>
      </w:r>
      <w:r>
        <w:t>6.2</w:t>
      </w:r>
      <w:r>
        <w:fldChar w:fldCharType="end"/>
      </w:r>
      <w:r>
        <w:t>), although this is not usually done in DHARMA practice.</w:t>
      </w:r>
    </w:p>
    <w:p>
      <w:pPr>
        <w:pStyle w:val="Normlbehzs"/>
      </w:pPr>
      <w:r>
        <w:t xml:space="preserve">When you have no reading or restoration whatsoever for a particular locus, the edition obviously cannot contain text for that locus, but the presence and extent of a lacuna must be indicated in some way. This is done with the element </w:t>
      </w:r>
      <w:r>
        <w:rPr>
          <w:rStyle w:val="Code"/>
        </w:rPr>
        <w:t>&lt;gap&gt;</w:t>
      </w:r>
      <w:r>
        <w:t>, which stands as a placeholder for text that is not available. The use of this element for various kinds of lacunae is discussed in detail in §</w:t>
      </w:r>
      <w:r>
        <w:fldChar w:fldCharType="begin"/>
      </w:r>
      <w:r>
        <w:instrText xml:space="preserve"> REF _Ref228460110 \r \h </w:instrText>
      </w:r>
      <w:r>
        <w:fldChar w:fldCharType="separate"/>
      </w:r>
      <w:r>
        <w:t>6.5</w:t>
      </w:r>
      <w:r>
        <w:fldChar w:fldCharType="end"/>
      </w:r>
      <w:r>
        <w:t xml:space="preserve">. Our practice, in accordance with EpiDoc, distinguishes two kinds of lacuna based on the condition of the support: if the source text is altogether gone, then the gap is classified as “lost”, while if writing is present at least </w:t>
      </w:r>
      <w:proofErr w:type="spellStart"/>
      <w:r>
        <w:t>vestigially</w:t>
      </w:r>
      <w:proofErr w:type="spellEnd"/>
      <w:r>
        <w:t>, it is classified as “illegible”.</w:t>
      </w:r>
    </w:p>
    <w:p>
      <w:pPr>
        <w:pStyle w:val="Normlbehzs"/>
      </w:pPr>
      <w:r>
        <w:t xml:space="preserve">When the text is altogether lost from the source but can be at least tentatively restored by the editor (on the basis of expertise, context and related texts), the element </w:t>
      </w:r>
      <w:r>
        <w:rPr>
          <w:rStyle w:val="Code"/>
        </w:rPr>
        <w:t>&lt;gap&gt;</w:t>
      </w:r>
      <w:r>
        <w:t xml:space="preserve"> is not applicable because the edition does contain text for the locus. Instead, the element </w:t>
      </w:r>
      <w:r>
        <w:rPr>
          <w:rStyle w:val="Code"/>
        </w:rPr>
        <w:t>&lt;supplied&gt;</w:t>
      </w:r>
      <w:r>
        <w:t xml:space="preserve"> (§</w:t>
      </w:r>
      <w:r>
        <w:fldChar w:fldCharType="begin"/>
      </w:r>
      <w:r>
        <w:instrText xml:space="preserve"> REF _Ref228459751 \r \h </w:instrText>
      </w:r>
      <w:r>
        <w:fldChar w:fldCharType="separate"/>
      </w:r>
      <w:r>
        <w:t>6.4</w:t>
      </w:r>
      <w:r>
        <w:fldChar w:fldCharType="end"/>
      </w:r>
      <w:r>
        <w:t xml:space="preserve">) is added to tag text as an editorial restoration. Importantly, EpiDoc does not allow the use of </w:t>
      </w:r>
      <w:r>
        <w:rPr>
          <w:rStyle w:val="Code"/>
        </w:rPr>
        <w:t>&lt;supplied&gt;</w:t>
      </w:r>
      <w:r>
        <w:t xml:space="preserve"> when text, however effaced, is still present in the source. While a lacuna may be either “lost” or “illegible,” a stretch of restored text must always be “lost.” The rationale behind this is that if any vestiges remain, and these can be reconstructed on the basis of context, then they meet the definition of </w:t>
      </w:r>
      <w:r>
        <w:rPr>
          <w:rStyle w:val="Code"/>
        </w:rPr>
        <w:t>&lt;unclear&gt;</w:t>
      </w:r>
      <w:r>
        <w:t xml:space="preserve"> and ought to be marked up as such. Although we feel that a meaningful and potentially helpful distinction can be made between “conjecturally restored text not explicitly ruled out by vestiges” and “text restored on the basis of vestiges,” our encoding practice shall follow established EpiDoc convention.</w:t>
      </w:r>
      <w:r>
        <w:rPr>
          <w:rStyle w:val="Lbjegyzet-hivatkozs"/>
        </w:rPr>
        <w:footnoteReference w:id="26"/>
      </w:r>
      <w:r>
        <w:t xml:space="preserve"> Therefore, as shown in the middle column of </w:t>
      </w:r>
      <w:r>
        <w:fldChar w:fldCharType="begin"/>
      </w:r>
      <w:r>
        <w:instrText xml:space="preserve"> REF _Ref228199279 \h </w:instrText>
      </w:r>
      <w:r>
        <w:fldChar w:fldCharType="separate"/>
      </w:r>
      <w:r>
        <w:t xml:space="preserve">Exhibit </w:t>
      </w:r>
      <w:r>
        <w:rPr>
          <w:noProof/>
        </w:rPr>
        <w:t>6.1</w:t>
      </w:r>
      <w:r>
        <w:t>.</w:t>
      </w:r>
      <w:r>
        <w:rPr>
          <w:noProof/>
        </w:rPr>
        <w:t>A</w:t>
      </w:r>
      <w:r>
        <w:fldChar w:fldCharType="end"/>
      </w:r>
      <w:r>
        <w:t xml:space="preserve">, when editorial text is present at a locus that is illegible rather than lost, this text mut be marked up as </w:t>
      </w:r>
      <w:r>
        <w:rPr>
          <w:rStyle w:val="Code"/>
        </w:rPr>
        <w:t>&lt;unclear&gt;</w:t>
      </w:r>
      <w:r>
        <w:t xml:space="preserve"> rather than as </w:t>
      </w:r>
      <w:r>
        <w:rPr>
          <w:rStyle w:val="Code"/>
        </w:rPr>
        <w:t xml:space="preserve">&lt;supplied </w:t>
      </w:r>
      <w:r>
        <w:rPr>
          <w:rStyle w:val="Codeattribute"/>
        </w:rPr>
        <w:t>reason</w:t>
      </w:r>
      <w:r>
        <w:rPr>
          <w:rStyle w:val="Code"/>
        </w:rPr>
        <w:t>=</w:t>
      </w:r>
      <w:r>
        <w:rPr>
          <w:rStyle w:val="Codevalue"/>
        </w:rPr>
        <w:t>"lost"</w:t>
      </w:r>
      <w:r>
        <w:t>.</w:t>
      </w:r>
    </w:p>
    <w:p>
      <w:pPr>
        <w:pStyle w:val="Normlbehzs"/>
      </w:pPr>
      <w:r>
        <w:t xml:space="preserve">Whenever text (either read or restored) is present at a locus, low editorial confidence in the accuracy of that text is to be indicated by adding the attribute </w:t>
      </w:r>
      <w:r>
        <w:rPr>
          <w:rStyle w:val="Codeattribute"/>
        </w:rPr>
        <w:t>@cert</w:t>
      </w:r>
      <w:r>
        <w:rPr>
          <w:rStyle w:val="Code"/>
        </w:rPr>
        <w:t>=</w:t>
      </w:r>
      <w:r>
        <w:rPr>
          <w:rStyle w:val="Codevalue"/>
        </w:rPr>
        <w:t>"low"</w:t>
      </w:r>
      <w:r>
        <w:t xml:space="preserve"> to the phrase-level container.</w:t>
      </w:r>
    </w:p>
    <w:p>
      <w:pPr>
        <w:pStyle w:val="Cmsor2"/>
      </w:pPr>
      <w:bookmarkStart w:id="494" w:name="_qwn6j8iel73t" w:colFirst="0" w:colLast="0"/>
      <w:bookmarkStart w:id="495" w:name="_Ref43987823"/>
      <w:bookmarkEnd w:id="494"/>
      <w:r>
        <w:t>Damage not impeding legibility</w:t>
      </w:r>
      <w:bookmarkEnd w:id="495"/>
    </w:p>
    <w:p>
      <w:r>
        <w:t xml:space="preserve">When the source text is to some extent effaced by damage but this does not affect its legibility, the element </w:t>
      </w:r>
      <w:r>
        <w:rPr>
          <w:rStyle w:val="Code"/>
        </w:rPr>
        <w:t>&lt;damage&gt;</w:t>
      </w:r>
      <w:r>
        <w:t xml:space="preserve"> may be used to wrap any contiguous stretch of text affected by damage. We find that this complicates the encoding (especially when in interaction with other tags) without providing any noticeable advantage, and therefore recommend that conspicuous patches of weathering or loss be described for human readers in your annotation, but not encoded in the edition. If you do wish to use </w:t>
      </w:r>
      <w:r>
        <w:rPr>
          <w:rStyle w:val="Code"/>
        </w:rPr>
        <w:t>&lt;damage&gt;</w:t>
      </w:r>
      <w:r>
        <w:t>, keep in mind that it does not replace the encoding of legibility issues discussed in the other parts of this section, only augments them.</w:t>
      </w:r>
    </w:p>
    <w:p>
      <w:pPr>
        <w:pStyle w:val="Cmsor2"/>
      </w:pPr>
      <w:bookmarkStart w:id="496" w:name="_x58d7yl7rh7w" w:colFirst="0" w:colLast="0"/>
      <w:bookmarkStart w:id="497" w:name="_Ref43981505"/>
      <w:bookmarkEnd w:id="496"/>
      <w:r>
        <w:t>Unclear readings</w:t>
      </w:r>
      <w:bookmarkEnd w:id="497"/>
    </w:p>
    <w:p>
      <w:pPr>
        <w:pStyle w:val="Cmsor3"/>
      </w:pPr>
      <w:bookmarkStart w:id="498" w:name="_tcav1hmvdct4" w:colFirst="0" w:colLast="0"/>
      <w:bookmarkStart w:id="499" w:name="_Ref232089485"/>
      <w:bookmarkStart w:id="500" w:name="_Toc242976640"/>
      <w:bookmarkEnd w:id="498"/>
      <w:r>
        <w:t>Encoding unclear text</w:t>
      </w:r>
      <w:bookmarkEnd w:id="499"/>
      <w:bookmarkEnd w:id="500"/>
    </w:p>
    <w:p>
      <w:r>
        <w:t>Unclear text is text that can be read in the source with some confidence, but not with complete certainty on account of damage or unusual glyph formation.</w:t>
      </w:r>
    </w:p>
    <w:p>
      <w:pPr>
        <w:pStyle w:val="Lista"/>
      </w:pPr>
      <w:r>
        <w:t xml:space="preserve">use the element </w:t>
      </w:r>
      <w:r>
        <w:rPr>
          <w:rStyle w:val="Code"/>
        </w:rPr>
        <w:t>&lt;unclear&gt;</w:t>
      </w:r>
      <w:r>
        <w:t xml:space="preserve"> for unclear readings with the following attributes</w:t>
      </w:r>
    </w:p>
    <w:p>
      <w:pPr>
        <w:pStyle w:val="Lista2"/>
      </w:pPr>
      <w:r>
        <w:lastRenderedPageBreak/>
        <w:t xml:space="preserve">as applicable, </w:t>
      </w:r>
      <w:r>
        <w:rPr>
          <w:rStyle w:val="Codeattribute"/>
        </w:rPr>
        <w:t>@reason</w:t>
      </w:r>
      <w:r>
        <w:t xml:space="preserve"> to indicate that the reading issue is due to unusual execution rather than to damage, as per §</w:t>
      </w:r>
      <w:r>
        <w:fldChar w:fldCharType="begin"/>
      </w:r>
      <w:r>
        <w:instrText xml:space="preserve"> REF _Ref227942295 \r \h </w:instrText>
      </w:r>
      <w:r>
        <w:fldChar w:fldCharType="separate"/>
      </w:r>
      <w:r>
        <w:t>6.3.1.2</w:t>
      </w:r>
      <w:r>
        <w:fldChar w:fldCharType="end"/>
      </w:r>
    </w:p>
    <w:p>
      <w:pPr>
        <w:pStyle w:val="Lista2"/>
      </w:pPr>
      <w:r>
        <w:t xml:space="preserve">as applicable, </w:t>
      </w:r>
      <w:r>
        <w:rPr>
          <w:rStyle w:val="Codeattribute"/>
        </w:rPr>
        <w:t>@cert</w:t>
      </w:r>
      <w:r>
        <w:t xml:space="preserve"> to indicate that the editorial reading is tentative, as per §</w:t>
      </w:r>
      <w:r>
        <w:fldChar w:fldCharType="begin"/>
      </w:r>
      <w:r>
        <w:instrText xml:space="preserve"> REF _Ref43987867 \r \h </w:instrText>
      </w:r>
      <w:r>
        <w:fldChar w:fldCharType="separate"/>
      </w:r>
      <w:r>
        <w:t>6.3.1.3</w:t>
      </w:r>
      <w:r>
        <w:fldChar w:fldCharType="end"/>
      </w:r>
    </w:p>
    <w:p>
      <w:pPr>
        <w:pStyle w:val="Lista"/>
      </w:pPr>
      <w:r>
        <w:t xml:space="preserve">when marking up text as unclear, you must keep in mind that the EpiDoc schema permits only text and the XML element </w:t>
      </w:r>
      <w:r>
        <w:rPr>
          <w:rStyle w:val="Code"/>
        </w:rPr>
        <w:t>&lt;g&gt;</w:t>
      </w:r>
      <w:r>
        <w:t xml:space="preserve"> within </w:t>
      </w:r>
      <w:r>
        <w:rPr>
          <w:rStyle w:val="Code"/>
        </w:rPr>
        <w:t>&lt;unclear&gt;</w:t>
      </w:r>
    </w:p>
    <w:p>
      <w:pPr>
        <w:pStyle w:val="Lista2"/>
      </w:pPr>
      <w:r>
        <w:t xml:space="preserve">therefore, if a stretch of text you wish to mark up as unclear incorporates or overlaps with another stretch that needs different markup (for instance editorial intervention), you will need to split the stretches of text tagged with </w:t>
      </w:r>
      <w:r>
        <w:rPr>
          <w:rStyle w:val="Code"/>
        </w:rPr>
        <w:t>&lt;unclear&gt;</w:t>
      </w:r>
      <w:r>
        <w:t xml:space="preserve"> accordingly</w:t>
      </w:r>
    </w:p>
    <w:p>
      <w:pPr>
        <w:pStyle w:val="Lista2"/>
      </w:pPr>
      <w:r>
        <w:t>see §</w:t>
      </w:r>
      <w:r>
        <w:fldChar w:fldCharType="begin"/>
      </w:r>
      <w:r>
        <w:instrText xml:space="preserve"> REF _Ref232072486 \r \h </w:instrText>
      </w:r>
      <w:r>
        <w:fldChar w:fldCharType="separate"/>
      </w:r>
      <w:r>
        <w:t>16.2.7</w:t>
      </w:r>
      <w:r>
        <w:fldChar w:fldCharType="end"/>
      </w:r>
      <w:r>
        <w:t xml:space="preserve"> for further discussion and examples</w:t>
      </w:r>
    </w:p>
    <w:p>
      <w:pPr>
        <w:pStyle w:val="Cmsor4"/>
      </w:pPr>
      <w:r>
        <w:t xml:space="preserve">When to use </w:t>
      </w:r>
      <w:r>
        <w:rPr>
          <w:rStyle w:val="Code"/>
        </w:rPr>
        <w:t>&lt;unclear&gt;</w:t>
      </w:r>
    </w:p>
    <w:p>
      <w:pPr>
        <w:pStyle w:val="Lista"/>
      </w:pPr>
      <w:r>
        <w:t xml:space="preserve">as defined in EpiDoc, the element </w:t>
      </w:r>
      <w:r>
        <w:rPr>
          <w:rStyle w:val="Code"/>
        </w:rPr>
        <w:t>&lt;unclear&gt;</w:t>
      </w:r>
      <w:r>
        <w:t xml:space="preserve"> stands for any grapheme “of which at least traces survive, but not adequately to identify the letter unambiguously outside of its context”</w:t>
      </w:r>
      <w:r>
        <w:rPr>
          <w:rStyle w:val="Lbjegyzet-hivatkozs"/>
        </w:rPr>
        <w:footnoteReference w:id="27"/>
      </w:r>
    </w:p>
    <w:p>
      <w:pPr>
        <w:pStyle w:val="Lista"/>
      </w:pPr>
      <w:r>
        <w:t>therefore, this encoding is applicable to all of the following situations</w:t>
      </w:r>
    </w:p>
    <w:p>
      <w:pPr>
        <w:pStyle w:val="Lista2"/>
      </w:pPr>
      <w:r>
        <w:t>“I’m not quite sure this bit of text is correct”</w:t>
      </w:r>
    </w:p>
    <w:p>
      <w:pPr>
        <w:pStyle w:val="Lista3"/>
      </w:pPr>
      <w:r>
        <w:t>this is the basic situation where most of us would intuitively want to tag a locus as unclear</w:t>
      </w:r>
    </w:p>
    <w:p>
      <w:pPr>
        <w:pStyle w:val="Lista2"/>
      </w:pPr>
      <w:r>
        <w:t>“this bit of text is entirely illegible in the source, but I can restore it”</w:t>
      </w:r>
    </w:p>
    <w:p>
      <w:pPr>
        <w:pStyle w:val="Lista3"/>
      </w:pPr>
      <w:r>
        <w:t>as discussed in §</w:t>
      </w:r>
      <w:r>
        <w:fldChar w:fldCharType="begin"/>
      </w:r>
      <w:r>
        <w:instrText xml:space="preserve"> REF _Ref228196345 \r \h </w:instrText>
      </w:r>
      <w:r>
        <w:fldChar w:fldCharType="separate"/>
      </w:r>
      <w:r>
        <w:t>6.1</w:t>
      </w:r>
      <w:r>
        <w:fldChar w:fldCharType="end"/>
      </w:r>
      <w:r>
        <w:t xml:space="preserve">, such a restoration cannot be encoded as </w:t>
      </w:r>
      <w:r>
        <w:rPr>
          <w:rStyle w:val="Code"/>
        </w:rPr>
        <w:t>&lt;supplied&gt;</w:t>
      </w:r>
      <w:r>
        <w:t xml:space="preserve"> and must instead be encoded as </w:t>
      </w:r>
      <w:r>
        <w:rPr>
          <w:rStyle w:val="Code"/>
        </w:rPr>
        <w:t>&lt;unclear&gt;</w:t>
      </w:r>
      <w:r>
        <w:t xml:space="preserve"> </w:t>
      </w:r>
    </w:p>
    <w:p>
      <w:pPr>
        <w:pStyle w:val="Lista2"/>
      </w:pPr>
      <w:r>
        <w:t>“this bit of text could conceivably be something else if the context was not there to help”</w:t>
      </w:r>
    </w:p>
    <w:p>
      <w:pPr>
        <w:pStyle w:val="Lista3"/>
      </w:pPr>
      <w:r>
        <w:t xml:space="preserve">although </w:t>
      </w:r>
      <w:r>
        <w:rPr>
          <w:rStyle w:val="Code"/>
        </w:rPr>
        <w:t>&lt;unclear&gt;</w:t>
      </w:r>
      <w:r>
        <w:t xml:space="preserve"> would in principle be required in all such situations, in DHARMA practice we prefer leaving its use to the editor’s discretion and recommend not adding this tag to trivial cases of potential out-of-context ambiguity</w:t>
      </w:r>
    </w:p>
    <w:p>
      <w:pPr>
        <w:pStyle w:val="Lista3"/>
      </w:pPr>
      <w:r>
        <w:t xml:space="preserve">the rationale for this is that individual graphs lifted out of their context would often be somewhat ambiguous in the source documents we work with (due to full or partial homography in the particular writing system, to careless execution by the scribe, or to damage to the support), but cluttering the edition with </w:t>
      </w:r>
      <w:r>
        <w:rPr>
          <w:rStyle w:val="Code"/>
        </w:rPr>
        <w:t>&lt;unclear&gt;</w:t>
      </w:r>
      <w:r>
        <w:t xml:space="preserve"> markup would distract attention from spots where damage </w:t>
      </w:r>
      <w:r>
        <w:rPr>
          <w:noProof/>
        </w:rPr>
        <w:t>(</w:t>
      </w:r>
      <w:r>
        <w:t>or form) casts genuine doubt on a reading</w:t>
      </w:r>
    </w:p>
    <w:p>
      <w:pPr>
        <w:pStyle w:val="Cmsor4"/>
      </w:pPr>
      <w:bookmarkStart w:id="501" w:name="_Ref227942295"/>
      <w:r>
        <w:t>The reason of unclarity</w:t>
      </w:r>
      <w:bookmarkEnd w:id="501"/>
    </w:p>
    <w:p>
      <w:pPr>
        <w:rPr>
          <w:lang w:eastAsia="en-US" w:bidi="ar-SA"/>
        </w:rPr>
      </w:pPr>
      <w:r>
        <w:rPr>
          <w:lang w:eastAsia="en-US" w:bidi="ar-SA"/>
        </w:rPr>
        <w:t xml:space="preserve">The reason why a locus is deemed unclear is understood by default to be damage to the support, which may or may not be aggravated by the careless execution of the writing. In situations where the support is quite pristine but the reading is nonetheless unclear because the glyphs are unfinished, clumsily executed, or take an unusual or idiosyncratic shape, add </w:t>
      </w:r>
      <w:r>
        <w:t xml:space="preserve">the attribute </w:t>
      </w:r>
      <w:r>
        <w:rPr>
          <w:rStyle w:val="Codeattribute"/>
        </w:rPr>
        <w:t>@reason</w:t>
      </w:r>
      <w:r>
        <w:t xml:space="preserve"> with the value </w:t>
      </w:r>
      <w:r>
        <w:rPr>
          <w:rStyle w:val="Codevalue"/>
        </w:rPr>
        <w:t>"eccentric_ductus"</w:t>
      </w:r>
      <w:r>
        <w:t xml:space="preserve"> to the </w:t>
      </w:r>
      <w:r>
        <w:rPr>
          <w:rStyle w:val="Code"/>
        </w:rPr>
        <w:t>&lt;unclear&gt;</w:t>
      </w:r>
      <w:r>
        <w:t xml:space="preserve"> element.</w:t>
      </w:r>
    </w:p>
    <w:p>
      <w:pPr>
        <w:pStyle w:val="Lista"/>
      </w:pPr>
      <w:r>
        <w:t xml:space="preserve">e.g. </w:t>
      </w:r>
      <w:r>
        <w:rPr>
          <w:rStyle w:val="Code"/>
        </w:rPr>
        <w:t xml:space="preserve">&lt;unclear </w:t>
      </w:r>
      <w:r>
        <w:rPr>
          <w:rStyle w:val="Codeattribute"/>
        </w:rPr>
        <w:t>reason</w:t>
      </w:r>
      <w:r>
        <w:rPr>
          <w:rStyle w:val="Code"/>
        </w:rPr>
        <w:t>=</w:t>
      </w:r>
      <w:r>
        <w:rPr>
          <w:rStyle w:val="Codevalue"/>
        </w:rPr>
        <w:t>"eccentric_ductus"</w:t>
      </w:r>
      <w:r>
        <w:rPr>
          <w:rStyle w:val="Code"/>
        </w:rPr>
        <w:t>&gt;</w:t>
      </w:r>
      <w:r>
        <w:rPr>
          <w:rStyle w:val="Codetext"/>
        </w:rPr>
        <w:t>jñ</w:t>
      </w:r>
      <w:r>
        <w:rPr>
          <w:rStyle w:val="Code"/>
        </w:rPr>
        <w:t>&lt;/unclear&gt;</w:t>
      </w:r>
      <w:r>
        <w:rPr>
          <w:rStyle w:val="Codetext"/>
        </w:rPr>
        <w:t>āna</w:t>
      </w:r>
    </w:p>
    <w:p>
      <w:pPr>
        <w:pStyle w:val="Lista"/>
      </w:pPr>
      <w:r>
        <w:t xml:space="preserve">when damage and eccentric ductus are </w:t>
      </w:r>
      <w:r>
        <w:rPr>
          <w:noProof/>
        </w:rPr>
        <w:t>(</w:t>
      </w:r>
      <w:r>
        <w:t xml:space="preserve">or may be) simultaneously present, use </w:t>
      </w:r>
      <w:r>
        <w:rPr>
          <w:rStyle w:val="Code"/>
        </w:rPr>
        <w:t>&lt;unclear&gt;</w:t>
      </w:r>
      <w:r>
        <w:t xml:space="preserve"> with or without this attribute depending on what you consider to be the primary reason for the lack of clarity</w:t>
      </w:r>
    </w:p>
    <w:p>
      <w:pPr>
        <w:pStyle w:val="Lista2"/>
      </w:pPr>
      <w:r>
        <w:t xml:space="preserve">when in doubt, prefer </w:t>
      </w:r>
      <w:r>
        <w:rPr>
          <w:rStyle w:val="Code"/>
        </w:rPr>
        <w:t>&lt;unclear&gt;</w:t>
      </w:r>
      <w:r>
        <w:t xml:space="preserve"> without this attribute</w:t>
      </w:r>
    </w:p>
    <w:p>
      <w:pPr>
        <w:pStyle w:val="Cmsor4"/>
      </w:pPr>
      <w:bookmarkStart w:id="502" w:name="_gpk9nikrok6m" w:colFirst="0" w:colLast="0"/>
      <w:bookmarkStart w:id="503" w:name="_Ref43987867"/>
      <w:bookmarkEnd w:id="502"/>
      <w:r>
        <w:t>Tentative readings</w:t>
      </w:r>
      <w:bookmarkEnd w:id="503"/>
    </w:p>
    <w:p>
      <w:r>
        <w:t xml:space="preserve">By default, the element </w:t>
      </w:r>
      <w:r>
        <w:rPr>
          <w:rStyle w:val="Code"/>
        </w:rPr>
        <w:t>&lt;unclear&gt;</w:t>
      </w:r>
      <w:r>
        <w:t xml:space="preserve"> only expresses potential ambiguity when taken out of context, without saying anything about the degree of confidence in a reading. As discussed in §</w:t>
      </w:r>
      <w:r>
        <w:fldChar w:fldCharType="begin"/>
      </w:r>
      <w:r>
        <w:instrText xml:space="preserve"> REF _Ref228196345 \r \h </w:instrText>
      </w:r>
      <w:r>
        <w:fldChar w:fldCharType="separate"/>
      </w:r>
      <w:r>
        <w:t>6.1</w:t>
      </w:r>
      <w:r>
        <w:fldChar w:fldCharType="end"/>
      </w:r>
      <w:r>
        <w:t xml:space="preserve"> and shown in </w:t>
      </w:r>
      <w:r>
        <w:fldChar w:fldCharType="begin"/>
      </w:r>
      <w:r>
        <w:instrText xml:space="preserve"> REF _Ref228199279 \h </w:instrText>
      </w:r>
      <w:r>
        <w:fldChar w:fldCharType="separate"/>
      </w:r>
      <w:r>
        <w:t xml:space="preserve">Exhibit </w:t>
      </w:r>
      <w:r>
        <w:rPr>
          <w:noProof/>
        </w:rPr>
        <w:t>6.1</w:t>
      </w:r>
      <w:r>
        <w:t>.</w:t>
      </w:r>
      <w:r>
        <w:rPr>
          <w:noProof/>
        </w:rPr>
        <w:t>A</w:t>
      </w:r>
      <w:r>
        <w:fldChar w:fldCharType="end"/>
      </w:r>
      <w:r>
        <w:t xml:space="preserve">, the default assumption is that the locus has been read with high or reasonable confidence. When the reading of a locus is tentative, add the attribute </w:t>
      </w:r>
      <w:r>
        <w:rPr>
          <w:rStyle w:val="Codeattribute"/>
        </w:rPr>
        <w:t>@cert</w:t>
      </w:r>
      <w:r>
        <w:t xml:space="preserve"> with the value </w:t>
      </w:r>
      <w:r>
        <w:rPr>
          <w:rStyle w:val="Codevalue"/>
        </w:rPr>
        <w:t>"low"</w:t>
      </w:r>
      <w:r>
        <w:t xml:space="preserve"> to the </w:t>
      </w:r>
      <w:r>
        <w:rPr>
          <w:rStyle w:val="Code"/>
        </w:rPr>
        <w:t>&lt;unclear&gt;</w:t>
      </w:r>
      <w:r>
        <w:t xml:space="preserve"> element.</w:t>
      </w:r>
    </w:p>
    <w:p>
      <w:pPr>
        <w:pStyle w:val="Lista"/>
      </w:pPr>
      <w:r>
        <w:t xml:space="preserve">e.g. </w:t>
      </w:r>
      <w:r>
        <w:rPr>
          <w:rStyle w:val="Codetext"/>
        </w:rPr>
        <w:t>mahā</w:t>
      </w:r>
      <w:r>
        <w:rPr>
          <w:rStyle w:val="Code"/>
        </w:rPr>
        <w:t xml:space="preserve">&lt;unclear </w:t>
      </w:r>
      <w:r>
        <w:rPr>
          <w:rStyle w:val="Codeattribute"/>
        </w:rPr>
        <w:t>cert</w:t>
      </w:r>
      <w:r>
        <w:rPr>
          <w:rStyle w:val="Code"/>
        </w:rPr>
        <w:t>=</w:t>
      </w:r>
      <w:r>
        <w:rPr>
          <w:rStyle w:val="Codevalue"/>
        </w:rPr>
        <w:t>"low"</w:t>
      </w:r>
      <w:r>
        <w:rPr>
          <w:rStyle w:val="Code"/>
        </w:rPr>
        <w:t>&gt;</w:t>
      </w:r>
      <w:r>
        <w:rPr>
          <w:rStyle w:val="Codetext"/>
        </w:rPr>
        <w:t>puruṣa</w:t>
      </w:r>
      <w:r>
        <w:rPr>
          <w:rStyle w:val="Code"/>
        </w:rPr>
        <w:t>&lt;/unclear&gt;</w:t>
      </w:r>
    </w:p>
    <w:p>
      <w:pPr>
        <w:pStyle w:val="Lista"/>
      </w:pPr>
      <w:r>
        <w:t xml:space="preserve">no additional degrees of confidence shall be represented in markup, so </w:t>
      </w:r>
      <w:r>
        <w:rPr>
          <w:rStyle w:val="Codevalue"/>
        </w:rPr>
        <w:t>"low"</w:t>
      </w:r>
      <w:r>
        <w:t xml:space="preserve"> here may stand for anything between “not quite confident” to “desperate conjecture”</w:t>
      </w:r>
    </w:p>
    <w:p>
      <w:pPr>
        <w:pStyle w:val="Lista2"/>
      </w:pPr>
      <w:r>
        <w:lastRenderedPageBreak/>
        <w:t>however, it is preferable to save desperate conjectures for your commentary or apparatus, and within the edition, only encode readings in which you have some confidence</w:t>
      </w:r>
    </w:p>
    <w:p>
      <w:pPr>
        <w:pStyle w:val="Lista"/>
      </w:pPr>
      <w:r>
        <w:t xml:space="preserve">note that while a low certainty expressed by this attribute is often a consequence of extensive damage, the </w:t>
      </w:r>
      <w:r>
        <w:rPr>
          <w:b/>
          <w:bCs/>
        </w:rPr>
        <w:t>degree of legibility</w:t>
      </w:r>
      <w:r>
        <w:t xml:space="preserve"> is not in direct correlation to the necessity of adding this attribute, thus:</w:t>
      </w:r>
    </w:p>
    <w:p>
      <w:pPr>
        <w:pStyle w:val="Lista2"/>
      </w:pPr>
      <w:r>
        <w:t xml:space="preserve">even very badly damaged text may be marked up with plain </w:t>
      </w:r>
      <w:r>
        <w:rPr>
          <w:rStyle w:val="Code"/>
        </w:rPr>
        <w:t>&lt;unclear&gt;</w:t>
      </w:r>
      <w:r>
        <w:t xml:space="preserve"> if it can be confidently supplied in the context; whereas</w:t>
      </w:r>
    </w:p>
    <w:p>
      <w:pPr>
        <w:pStyle w:val="Lista2"/>
      </w:pPr>
      <w:r>
        <w:t xml:space="preserve">even text that is only slightly affected by damage or awkward execution may need to be marked up as </w:t>
      </w:r>
      <w:r>
        <w:rPr>
          <w:rStyle w:val="Code"/>
        </w:rPr>
        <w:t xml:space="preserve">&lt;unclear </w:t>
      </w:r>
      <w:r>
        <w:rPr>
          <w:rStyle w:val="Codeattribute"/>
        </w:rPr>
        <w:t>cert</w:t>
      </w:r>
      <w:r>
        <w:rPr>
          <w:rStyle w:val="Code"/>
        </w:rPr>
        <w:t>=</w:t>
      </w:r>
      <w:r>
        <w:rPr>
          <w:rStyle w:val="Codevalue"/>
        </w:rPr>
        <w:t>"low"</w:t>
      </w:r>
      <w:r>
        <w:rPr>
          <w:rStyle w:val="Code"/>
        </w:rPr>
        <w:t>&gt;</w:t>
      </w:r>
      <w:r>
        <w:t xml:space="preserve"> if the context permits a variety of plausible alternative readings, as may easily be the case in unintelligible or only partly understood contexts </w:t>
      </w:r>
      <w:r>
        <w:rPr>
          <w:noProof/>
        </w:rPr>
        <w:t>(</w:t>
      </w:r>
      <w:r>
        <w:t>e.g. names, words foreign to the language of the inscription, or in case of extensive damage to the context)</w:t>
      </w:r>
    </w:p>
    <w:p>
      <w:pPr>
        <w:pStyle w:val="Cmsor3"/>
      </w:pPr>
      <w:bookmarkStart w:id="504" w:name="_is1q03k2vcu2" w:colFirst="0" w:colLast="0"/>
      <w:bookmarkStart w:id="505" w:name="_Ref43987339"/>
      <w:bookmarkStart w:id="506" w:name="_Toc242976641"/>
      <w:bookmarkEnd w:id="504"/>
      <w:r>
        <w:t xml:space="preserve">Encoding ambivalent </w:t>
      </w:r>
      <w:bookmarkEnd w:id="505"/>
      <w:r>
        <w:t>text</w:t>
      </w:r>
      <w:bookmarkEnd w:id="506"/>
    </w:p>
    <w:p>
      <w:r>
        <w:t xml:space="preserve">If a damaged or malformed glyph affords a limited number of alternative interpretations and the context does not allow you to select the most likely candidate, each alternative may be listed in individual </w:t>
      </w:r>
      <w:r>
        <w:rPr>
          <w:rStyle w:val="Code"/>
        </w:rPr>
        <w:t>&lt;unclear&gt;</w:t>
      </w:r>
      <w:r>
        <w:t xml:space="preserve"> tags, wrapping the list in the </w:t>
      </w:r>
      <w:r>
        <w:rPr>
          <w:rStyle w:val="Code"/>
        </w:rPr>
        <w:t>&lt;choice&gt;</w:t>
      </w:r>
      <w:r>
        <w:t xml:space="preserve"> element to show that only one of these is actually present at the given locus.</w:t>
      </w:r>
    </w:p>
    <w:p>
      <w:pPr>
        <w:pStyle w:val="Lista"/>
      </w:pPr>
      <w:r>
        <w:t xml:space="preserve">e.g. </w:t>
      </w:r>
      <w:r>
        <w:rPr>
          <w:rStyle w:val="Codetext"/>
        </w:rPr>
        <w:t>s</w:t>
      </w:r>
      <w:r>
        <w:rPr>
          <w:rStyle w:val="Code"/>
        </w:rPr>
        <w:t>&lt;choice&gt;&lt;unclear&gt;</w:t>
      </w:r>
      <w:r>
        <w:rPr>
          <w:rStyle w:val="Codetext"/>
        </w:rPr>
        <w:t>th</w:t>
      </w:r>
      <w:r>
        <w:rPr>
          <w:rStyle w:val="Code"/>
        </w:rPr>
        <w:t>&lt;/unclear&gt;&lt;unclear&gt;v&lt;/unclear&gt;&lt;/choice&gt;</w:t>
      </w:r>
      <w:r>
        <w:rPr>
          <w:rStyle w:val="Codetext"/>
        </w:rPr>
        <w:t>a</w:t>
      </w:r>
      <w:r>
        <w:t xml:space="preserve"> for an </w:t>
      </w:r>
      <w:r>
        <w:rPr>
          <w:rStyle w:val="Foreign"/>
        </w:rPr>
        <w:t>akṣara</w:t>
      </w:r>
      <w:r>
        <w:t xml:space="preserve"> that might be read as </w:t>
      </w:r>
      <w:r>
        <w:rPr>
          <w:rStyle w:val="Foreign"/>
        </w:rPr>
        <w:t>stha</w:t>
      </w:r>
      <w:r>
        <w:t xml:space="preserve"> or </w:t>
      </w:r>
      <w:r>
        <w:rPr>
          <w:rStyle w:val="Foreign"/>
        </w:rPr>
        <w:t>sva</w:t>
      </w:r>
    </w:p>
    <w:p>
      <w:pPr>
        <w:pStyle w:val="Lista"/>
      </w:pPr>
      <w:r>
        <w:t xml:space="preserve">in this usage, </w:t>
      </w:r>
      <w:r>
        <w:rPr>
          <w:rStyle w:val="Code"/>
        </w:rPr>
        <w:t>&lt;unclear&gt;</w:t>
      </w:r>
      <w:r>
        <w:t xml:space="preserve"> shall be used without </w:t>
      </w:r>
      <w:r>
        <w:rPr>
          <w:rStyle w:val="Codeattribute"/>
        </w:rPr>
        <w:t>@cert</w:t>
      </w:r>
      <w:r>
        <w:t xml:space="preserve"> (§</w:t>
      </w:r>
      <w:r>
        <w:fldChar w:fldCharType="begin"/>
      </w:r>
      <w:r>
        <w:instrText xml:space="preserve"> REF _Ref228200185 \r \h </w:instrText>
      </w:r>
      <w:r>
        <w:fldChar w:fldCharType="separate"/>
      </w:r>
      <w:r>
        <w:t>6.3.2.2</w:t>
      </w:r>
      <w:r>
        <w:fldChar w:fldCharType="end"/>
      </w:r>
      <w:r>
        <w:t xml:space="preserve">), but </w:t>
      </w:r>
      <w:r>
        <w:rPr>
          <w:rStyle w:val="Codeattribute"/>
        </w:rPr>
        <w:t>@reason</w:t>
      </w:r>
      <w:r>
        <w:t xml:space="preserve"> may be added if applicable (§</w:t>
      </w:r>
      <w:r>
        <w:fldChar w:fldCharType="begin"/>
      </w:r>
      <w:r>
        <w:instrText xml:space="preserve"> REF _Ref227942295 \r \h </w:instrText>
      </w:r>
      <w:r>
        <w:fldChar w:fldCharType="separate"/>
      </w:r>
      <w:r>
        <w:t>6.3.1.2</w:t>
      </w:r>
      <w:r>
        <w:fldChar w:fldCharType="end"/>
      </w:r>
      <w:r>
        <w:t>)</w:t>
      </w:r>
    </w:p>
    <w:p>
      <w:pPr>
        <w:pStyle w:val="Lista"/>
      </w:pPr>
      <w:r>
        <w:t>since the encoding of alternative readings for an ambivalent locus impedes the readability and (especially) the searchability of the edition, this encoding should be used considerately and may in many circumstances be replaced by simply encoding the most likely alternative as unclear (§</w:t>
      </w:r>
      <w:r>
        <w:fldChar w:fldCharType="begin"/>
      </w:r>
      <w:r>
        <w:instrText xml:space="preserve"> REF _Ref228201766 \r \h </w:instrText>
      </w:r>
      <w:r>
        <w:fldChar w:fldCharType="separate"/>
      </w:r>
      <w:r>
        <w:t>6.3.2.1</w:t>
      </w:r>
      <w:r>
        <w:fldChar w:fldCharType="end"/>
      </w:r>
      <w:r>
        <w:t>)</w:t>
      </w:r>
    </w:p>
    <w:p>
      <w:pPr>
        <w:pStyle w:val="Lista"/>
      </w:pPr>
      <w:r>
        <w:t xml:space="preserve">the text outside this encoding and the text within each of the alternative </w:t>
      </w:r>
      <w:r>
        <w:rPr>
          <w:rStyle w:val="Code"/>
        </w:rPr>
        <w:t>&lt;unclear&gt;</w:t>
      </w:r>
      <w:r>
        <w:t xml:space="preserve"> elements must be entered with care, making sure that all of the possible alternative readings are accurately reproduced even when the ambivalence gives rise to complications such as</w:t>
      </w:r>
    </w:p>
    <w:p>
      <w:pPr>
        <w:pStyle w:val="Lista2"/>
      </w:pPr>
      <w:r>
        <w:t xml:space="preserve">a different number of graphemes in the alternatives, e.g. </w:t>
      </w:r>
      <w:r>
        <w:rPr>
          <w:rStyle w:val="Codetext"/>
        </w:rPr>
        <w:t>g</w:t>
      </w:r>
      <w:r>
        <w:rPr>
          <w:rStyle w:val="Code"/>
        </w:rPr>
        <w:t>&lt;choice&gt;&lt;unclear&gt;</w:t>
      </w:r>
      <w:r>
        <w:rPr>
          <w:rStyle w:val="Codetext"/>
        </w:rPr>
        <w:t>r̥</w:t>
      </w:r>
      <w:r>
        <w:rPr>
          <w:rStyle w:val="Code"/>
        </w:rPr>
        <w:t>&lt;/unclear&gt;&lt;unclear&gt;</w:t>
      </w:r>
      <w:r>
        <w:rPr>
          <w:rStyle w:val="Codetext"/>
        </w:rPr>
        <w:t>ra</w:t>
      </w:r>
      <w:r>
        <w:rPr>
          <w:rStyle w:val="Code"/>
        </w:rPr>
        <w:t>&lt;/unclear&gt;&lt;/choice&gt;</w:t>
      </w:r>
      <w:r>
        <w:rPr>
          <w:rStyle w:val="Codetext"/>
        </w:rPr>
        <w:t>ha</w:t>
      </w:r>
      <w:r>
        <w:t xml:space="preserve"> for a locus that could be read as </w:t>
      </w:r>
      <w:r>
        <w:rPr>
          <w:rStyle w:val="Foreign"/>
        </w:rPr>
        <w:t>gr̥ha</w:t>
      </w:r>
      <w:r>
        <w:t xml:space="preserve"> or </w:t>
      </w:r>
      <w:r>
        <w:rPr>
          <w:rStyle w:val="Foreign"/>
        </w:rPr>
        <w:t>graha</w:t>
      </w:r>
    </w:p>
    <w:p>
      <w:pPr>
        <w:pStyle w:val="Lista2"/>
      </w:pPr>
      <w:r>
        <w:t xml:space="preserve">different editorial spacing or hyphenation applicable to the alternatives, e.g. </w:t>
      </w:r>
      <w:r>
        <w:rPr>
          <w:rStyle w:val="Codetext"/>
        </w:rPr>
        <w:t>tath</w:t>
      </w:r>
      <w:r>
        <w:rPr>
          <w:rStyle w:val="Code"/>
        </w:rPr>
        <w:t>&lt;choice&gt;&lt;unclear&gt;</w:t>
      </w:r>
      <w:r>
        <w:rPr>
          <w:rStyle w:val="Codetext"/>
        </w:rPr>
        <w:t>āp</w:t>
      </w:r>
      <w:r>
        <w:rPr>
          <w:rStyle w:val="Code"/>
        </w:rPr>
        <w:t>&lt;/unclear&gt;&lt;unclear&gt;</w:t>
      </w:r>
      <w:r>
        <w:rPr>
          <w:rStyle w:val="Codetext"/>
        </w:rPr>
        <w:t>ā</w:t>
      </w:r>
      <w:r>
        <w:rPr>
          <w:rStyle w:val="Code"/>
        </w:rPr>
        <w:t xml:space="preserve"> </w:t>
      </w:r>
      <w:r>
        <w:rPr>
          <w:rStyle w:val="Codetext"/>
        </w:rPr>
        <w:t>h</w:t>
      </w:r>
      <w:r>
        <w:rPr>
          <w:rStyle w:val="Code"/>
        </w:rPr>
        <w:t>&lt;/unclear&gt;&lt;/choice&gt;</w:t>
      </w:r>
      <w:r>
        <w:rPr>
          <w:rStyle w:val="Codetext"/>
        </w:rPr>
        <w:t>i</w:t>
      </w:r>
      <w:r>
        <w:t xml:space="preserve"> for a locus that could be read as </w:t>
      </w:r>
      <w:r>
        <w:rPr>
          <w:rStyle w:val="Foreign"/>
        </w:rPr>
        <w:t>tathāpi</w:t>
      </w:r>
      <w:r>
        <w:t xml:space="preserve"> (</w:t>
      </w:r>
      <w:proofErr w:type="spellStart"/>
      <w:r>
        <w:rPr>
          <w:rStyle w:val="Foreign"/>
        </w:rPr>
        <w:t>tathā</w:t>
      </w:r>
      <w:proofErr w:type="spellEnd"/>
      <w:r>
        <w:rPr>
          <w:rStyle w:val="Foreign"/>
        </w:rPr>
        <w:t>*api</w:t>
      </w:r>
      <w:r>
        <w:t xml:space="preserve"> in inseparable sandhi) or </w:t>
      </w:r>
      <w:r>
        <w:rPr>
          <w:rStyle w:val="Foreign"/>
        </w:rPr>
        <w:t>tathā hi</w:t>
      </w:r>
      <w:r>
        <w:t xml:space="preserve"> (two separable words)</w:t>
      </w:r>
    </w:p>
    <w:p>
      <w:pPr>
        <w:pStyle w:val="Lista3"/>
      </w:pPr>
      <w:r>
        <w:t>see §</w:t>
      </w:r>
      <w:r>
        <w:fldChar w:fldCharType="begin"/>
      </w:r>
      <w:r>
        <w:instrText xml:space="preserve"> REF _Ref232068629 \r \h </w:instrText>
      </w:r>
      <w:r>
        <w:fldChar w:fldCharType="separate"/>
      </w:r>
      <w:r>
        <w:t>7.8.1.1</w:t>
      </w:r>
      <w:r>
        <w:fldChar w:fldCharType="end"/>
      </w:r>
      <w:r>
        <w:t xml:space="preserve"> about avoiding spaces at the beginning or end of a text-containing element</w:t>
      </w:r>
    </w:p>
    <w:p>
      <w:pPr>
        <w:pStyle w:val="Lista2"/>
      </w:pPr>
      <w:r>
        <w:t>see also §</w:t>
      </w:r>
      <w:r>
        <w:fldChar w:fldCharType="begin"/>
      </w:r>
      <w:r>
        <w:instrText xml:space="preserve"> REF _Ref228275185 \r \h </w:instrText>
      </w:r>
      <w:r>
        <w:fldChar w:fldCharType="separate"/>
      </w:r>
      <w:r>
        <w:t>6.3.3</w:t>
      </w:r>
      <w:r>
        <w:fldChar w:fldCharType="end"/>
      </w:r>
      <w:r>
        <w:t xml:space="preserve"> on good practice</w:t>
      </w:r>
    </w:p>
    <w:p>
      <w:pPr>
        <w:pStyle w:val="Lista"/>
      </w:pPr>
      <w:r>
        <w:t xml:space="preserve">ambivalence involving more than two alternatives may be marked up by adding further </w:t>
      </w:r>
      <w:r>
        <w:rPr>
          <w:rStyle w:val="Code"/>
        </w:rPr>
        <w:t>&lt;unclear&gt;</w:t>
      </w:r>
      <w:r>
        <w:t xml:space="preserve"> elements within </w:t>
      </w:r>
      <w:r>
        <w:rPr>
          <w:rStyle w:val="Code"/>
        </w:rPr>
        <w:t>&lt;choice&gt;</w:t>
      </w:r>
    </w:p>
    <w:p>
      <w:pPr>
        <w:pStyle w:val="Lista2"/>
      </w:pPr>
      <w:r>
        <w:t xml:space="preserve">it is, however, recommended that you limit the number of alternatives to no more than two, and in the rare case where a higher number of genuinely plausible alternatives are possible, instead record the single most likely one as </w:t>
      </w:r>
      <w:r>
        <w:rPr>
          <w:rStyle w:val="Code"/>
        </w:rPr>
        <w:t>&lt;unclear&gt;</w:t>
      </w:r>
      <w:r>
        <w:t xml:space="preserve"> and mention the others in your commentary or apparatus</w:t>
      </w:r>
    </w:p>
    <w:p>
      <w:pPr>
        <w:pStyle w:val="Cmsor4"/>
      </w:pPr>
      <w:bookmarkStart w:id="507" w:name="_Ref228201766"/>
      <w:r>
        <w:t>Trivial ambivalence</w:t>
      </w:r>
      <w:bookmarkEnd w:id="507"/>
    </w:p>
    <w:p>
      <w:r>
        <w:t>As for unclear markup in general, feel free to ignore trivial ambivalence that can be resolved confidently on the basis of the context.</w:t>
      </w:r>
    </w:p>
    <w:p>
      <w:pPr>
        <w:pStyle w:val="Lista"/>
      </w:pPr>
      <w:r>
        <w:t xml:space="preserve">in particular, when some pairs of glyphs look very similar </w:t>
      </w:r>
      <w:r>
        <w:rPr>
          <w:noProof/>
        </w:rPr>
        <w:t>(</w:t>
      </w:r>
      <w:r>
        <w:t xml:space="preserve">or wholly identical) in the script of your inscription, it is recommended that you record the expected reading without any markup or with a single </w:t>
      </w:r>
      <w:r>
        <w:rPr>
          <w:rStyle w:val="Code"/>
        </w:rPr>
        <w:t>&lt;unclear&gt;</w:t>
      </w:r>
      <w:r>
        <w:t xml:space="preserve"> element, e.g.</w:t>
      </w:r>
    </w:p>
    <w:p>
      <w:pPr>
        <w:pStyle w:val="Lista2"/>
      </w:pPr>
      <w:r>
        <w:t xml:space="preserve">if a word might be read as </w:t>
      </w:r>
      <w:r>
        <w:rPr>
          <w:rStyle w:val="Foreign"/>
        </w:rPr>
        <w:t>ṣahārāja</w:t>
      </w:r>
      <w:r>
        <w:t xml:space="preserve"> in an inscription where </w:t>
      </w:r>
      <w:r>
        <w:rPr>
          <w:rStyle w:val="Foreign"/>
        </w:rPr>
        <w:t>ṣa</w:t>
      </w:r>
      <w:r>
        <w:t xml:space="preserve"> and </w:t>
      </w:r>
      <w:r>
        <w:rPr>
          <w:rStyle w:val="Foreign"/>
        </w:rPr>
        <w:t>ma</w:t>
      </w:r>
      <w:r>
        <w:t xml:space="preserve"> are very similar, simply record </w:t>
      </w:r>
      <w:r>
        <w:rPr>
          <w:rStyle w:val="Codetext"/>
        </w:rPr>
        <w:t>mahārāja</w:t>
      </w:r>
      <w:r>
        <w:t xml:space="preserve"> or </w:t>
      </w:r>
      <w:r>
        <w:rPr>
          <w:rStyle w:val="Code"/>
        </w:rPr>
        <w:t>&lt;unclear&gt;</w:t>
      </w:r>
      <w:r>
        <w:rPr>
          <w:rStyle w:val="Codetext"/>
        </w:rPr>
        <w:t>m</w:t>
      </w:r>
      <w:r>
        <w:rPr>
          <w:rStyle w:val="Code"/>
        </w:rPr>
        <w:t>&lt;/unclear&gt;</w:t>
      </w:r>
      <w:r>
        <w:rPr>
          <w:rStyle w:val="Codetext"/>
        </w:rPr>
        <w:t>ahārāja</w:t>
      </w:r>
    </w:p>
    <w:p>
      <w:pPr>
        <w:pStyle w:val="Lista2"/>
      </w:pPr>
      <w:r>
        <w:t xml:space="preserve">if a word might be read as </w:t>
      </w:r>
      <w:r>
        <w:rPr>
          <w:rStyle w:val="Foreign"/>
        </w:rPr>
        <w:t>sambatsara</w:t>
      </w:r>
      <w:r>
        <w:t xml:space="preserve"> in an inscription where </w:t>
      </w:r>
      <w:r>
        <w:rPr>
          <w:rStyle w:val="Foreign"/>
        </w:rPr>
        <w:t>ba</w:t>
      </w:r>
      <w:r>
        <w:t xml:space="preserve"> and </w:t>
      </w:r>
      <w:r>
        <w:rPr>
          <w:rStyle w:val="Foreign"/>
        </w:rPr>
        <w:t>va</w:t>
      </w:r>
      <w:r>
        <w:t xml:space="preserve"> are very similar, simply record </w:t>
      </w:r>
      <w:r>
        <w:rPr>
          <w:rStyle w:val="Codetext"/>
        </w:rPr>
        <w:t>samvatsara</w:t>
      </w:r>
      <w:r>
        <w:t xml:space="preserve"> or </w:t>
      </w:r>
      <w:r>
        <w:rPr>
          <w:rStyle w:val="Codetext"/>
        </w:rPr>
        <w:t>sam</w:t>
      </w:r>
      <w:r>
        <w:rPr>
          <w:rStyle w:val="Code"/>
        </w:rPr>
        <w:t>&lt;unclear&gt;v&lt;/unclear&gt;</w:t>
      </w:r>
      <w:r>
        <w:rPr>
          <w:rStyle w:val="Codetext"/>
        </w:rPr>
        <w:t>atsara</w:t>
      </w:r>
    </w:p>
    <w:p>
      <w:pPr>
        <w:pStyle w:val="Lista"/>
        <w:rPr>
          <w:i/>
          <w:iCs/>
          <w:noProof/>
        </w:rPr>
      </w:pPr>
      <w:r>
        <w:lastRenderedPageBreak/>
        <w:t xml:space="preserve">however, if a possible alternative reading alters the meaning in a non-trivial way, then the ambivalence should normally be marked up </w:t>
      </w:r>
      <w:r>
        <w:rPr>
          <w:noProof/>
        </w:rPr>
        <w:t>(</w:t>
      </w:r>
      <w:r>
        <w:t>unless you are absolutely confident that it is ruled out e.g. by sandhi or by the wider context)</w:t>
      </w:r>
    </w:p>
    <w:p>
      <w:pPr>
        <w:pStyle w:val="Lista2"/>
        <w:rPr>
          <w:i/>
          <w:iCs/>
          <w:noProof/>
        </w:rPr>
      </w:pPr>
      <w:r>
        <w:t xml:space="preserve">e.g. if </w:t>
      </w:r>
      <w:r>
        <w:rPr>
          <w:rStyle w:val="Foreign"/>
        </w:rPr>
        <w:t>Adharma</w:t>
      </w:r>
      <w:r>
        <w:t xml:space="preserve"> or </w:t>
      </w:r>
      <w:r>
        <w:rPr>
          <w:rStyle w:val="Foreign"/>
        </w:rPr>
        <w:t>sudharma</w:t>
      </w:r>
      <w:r>
        <w:t xml:space="preserve"> are both possible because the </w:t>
      </w:r>
      <w:proofErr w:type="spellStart"/>
      <w:r>
        <w:rPr>
          <w:rStyle w:val="Foreign"/>
        </w:rPr>
        <w:t>akṣara</w:t>
      </w:r>
      <w:r>
        <w:t>s</w:t>
      </w:r>
      <w:proofErr w:type="spellEnd"/>
      <w:r>
        <w:t xml:space="preserve"> </w:t>
      </w:r>
      <w:r>
        <w:rPr>
          <w:rStyle w:val="Foreign"/>
        </w:rPr>
        <w:t>A</w:t>
      </w:r>
      <w:r>
        <w:t xml:space="preserve"> and </w:t>
      </w:r>
      <w:r>
        <w:rPr>
          <w:rStyle w:val="Foreign"/>
        </w:rPr>
        <w:t>su</w:t>
      </w:r>
      <w:r>
        <w:t xml:space="preserve"> are very similar in the document</w:t>
      </w:r>
    </w:p>
    <w:p>
      <w:pPr>
        <w:pStyle w:val="Lista"/>
      </w:pPr>
      <w:r>
        <w:t>even non-trivial alternatives may be left unencoded if you consider one to be much more likely than others, or if the locus is poorly understood and several alternatives are equally feasible</w:t>
      </w:r>
    </w:p>
    <w:p>
      <w:pPr>
        <w:pStyle w:val="Lista2"/>
      </w:pPr>
      <w:r>
        <w:t>in such cases, simply encode the most likely reading as unclear</w:t>
      </w:r>
    </w:p>
    <w:p>
      <w:pPr>
        <w:pStyle w:val="Lista2"/>
      </w:pPr>
      <w:r>
        <w:t>also keep in mind that those readers of your edition who are interested in possible alternatives can be expected to be familiar enough with the script in question to be able to work out those possible alternatives once they have received indication that a certain reading is unclear</w:t>
      </w:r>
    </w:p>
    <w:p>
      <w:pPr>
        <w:pStyle w:val="Cmsor4"/>
      </w:pPr>
      <w:bookmarkStart w:id="508" w:name="_Ref228200185"/>
      <w:r>
        <w:t>The probability of alternative readings</w:t>
      </w:r>
      <w:bookmarkEnd w:id="508"/>
    </w:p>
    <w:p>
      <w:r>
        <w:t xml:space="preserve">By DHARMA convention, alternative readings for ambivalent loci shall be listed in order of decreasing probability (as judged by the editor). Although it is technically possible to assign specific probabilities to each alternative, we see no advantage to complicating our encoding with such information. The attribute </w:t>
      </w:r>
      <w:r>
        <w:rPr>
          <w:rStyle w:val="Codeattribute"/>
        </w:rPr>
        <w:t>@cert</w:t>
      </w:r>
      <w:r>
        <w:t xml:space="preserve"> shall be likewise avoided in ambivalent readings, because using it on both alternatives would be pointless, while using it only on the less likely alternative would not add more information than what is already implied by the order of alternatives.</w:t>
      </w:r>
    </w:p>
    <w:p>
      <w:pPr>
        <w:pStyle w:val="Cmsor3"/>
      </w:pPr>
      <w:bookmarkStart w:id="509" w:name="_ke7xgc7f3fhh" w:colFirst="0" w:colLast="0"/>
      <w:bookmarkStart w:id="510" w:name="_Ref228275185"/>
      <w:bookmarkStart w:id="511" w:name="_Toc242976642"/>
      <w:bookmarkEnd w:id="509"/>
      <w:r>
        <w:t>Good practice in encoding unclear readings</w:t>
      </w:r>
      <w:bookmarkEnd w:id="510"/>
      <w:bookmarkEnd w:id="511"/>
    </w:p>
    <w:p>
      <w:r>
        <w:t xml:space="preserve">Since our editions are in Romanised transliteration, </w:t>
      </w:r>
      <w:r>
        <w:rPr>
          <w:rStyle w:val="Code"/>
        </w:rPr>
        <w:t>&lt;unclear&gt;</w:t>
      </w:r>
      <w:r>
        <w:t xml:space="preserve"> encoding can and must precisely target the graphemes affected by a reading issue. </w:t>
      </w:r>
    </w:p>
    <w:p>
      <w:pPr>
        <w:pStyle w:val="Lista"/>
      </w:pPr>
      <w:r>
        <w:t xml:space="preserve">if only a certain glyph component of the original script is unclear or ambiguous, then do not use tags around the transliteration of the entire </w:t>
      </w:r>
      <w:r>
        <w:rPr>
          <w:rStyle w:val="Foreign"/>
        </w:rPr>
        <w:t>akṣara</w:t>
      </w:r>
      <w:r>
        <w:t>, e.g.</w:t>
      </w:r>
    </w:p>
    <w:p>
      <w:pPr>
        <w:pStyle w:val="Lista2"/>
      </w:pPr>
      <w:r>
        <w:t xml:space="preserve">e.g. </w:t>
      </w:r>
      <w:r>
        <w:rPr>
          <w:rStyle w:val="Codetext"/>
        </w:rPr>
        <w:t>sph</w:t>
      </w:r>
      <w:r>
        <w:rPr>
          <w:rStyle w:val="Code"/>
        </w:rPr>
        <w:t>&lt;unclear&gt;</w:t>
      </w:r>
      <w:r>
        <w:rPr>
          <w:rStyle w:val="Codetext"/>
        </w:rPr>
        <w:t>u</w:t>
      </w:r>
      <w:r>
        <w:rPr>
          <w:rStyle w:val="Code"/>
        </w:rPr>
        <w:t>&lt;/unclear&gt;</w:t>
      </w:r>
      <w:r>
        <w:rPr>
          <w:rStyle w:val="Codetext"/>
        </w:rPr>
        <w:t>rad</w:t>
      </w:r>
      <w:r>
        <w:t xml:space="preserve"> and NOT </w:t>
      </w:r>
      <w:r>
        <w:rPr>
          <w:rStyle w:val="Code"/>
        </w:rPr>
        <w:t>&lt;unclear&gt;</w:t>
      </w:r>
      <w:r>
        <w:rPr>
          <w:rStyle w:val="Codetext"/>
        </w:rPr>
        <w:t>sphu</w:t>
      </w:r>
      <w:r>
        <w:rPr>
          <w:rStyle w:val="Code"/>
        </w:rPr>
        <w:t>&lt;/unclear&gt;</w:t>
      </w:r>
      <w:r>
        <w:rPr>
          <w:rStyle w:val="Codetext"/>
        </w:rPr>
        <w:t>rad</w:t>
      </w:r>
      <w:r>
        <w:t xml:space="preserve"> (unless </w:t>
      </w:r>
      <w:r>
        <w:rPr>
          <w:rStyle w:val="Foreign"/>
        </w:rPr>
        <w:t>s</w:t>
      </w:r>
      <w:r>
        <w:t xml:space="preserve">, </w:t>
      </w:r>
      <w:r>
        <w:rPr>
          <w:rStyle w:val="Foreign"/>
        </w:rPr>
        <w:t>ph</w:t>
      </w:r>
      <w:r>
        <w:t xml:space="preserve"> and </w:t>
      </w:r>
      <w:r>
        <w:rPr>
          <w:rStyle w:val="Foreign"/>
        </w:rPr>
        <w:t>u</w:t>
      </w:r>
      <w:r>
        <w:t xml:space="preserve"> are all unclear)</w:t>
      </w:r>
    </w:p>
    <w:p>
      <w:pPr>
        <w:pStyle w:val="Lista"/>
      </w:pPr>
      <w:r>
        <w:t xml:space="preserve">when unclarity applies to several graphemes which are contiguous in the reading order represented in transliteration, use a single </w:t>
      </w:r>
      <w:r>
        <w:rPr>
          <w:rStyle w:val="Code"/>
        </w:rPr>
        <w:t>&lt;unclear&gt;</w:t>
      </w:r>
      <w:r>
        <w:t xml:space="preserve"> element around them even if they belong to different </w:t>
      </w:r>
      <w:proofErr w:type="spellStart"/>
      <w:r>
        <w:rPr>
          <w:rStyle w:val="Foreign"/>
        </w:rPr>
        <w:t>akṣara</w:t>
      </w:r>
      <w:r>
        <w:t>s</w:t>
      </w:r>
      <w:proofErr w:type="spellEnd"/>
      <w:r>
        <w:t xml:space="preserve"> in the source and even if they are not physically adjacent</w:t>
      </w:r>
    </w:p>
    <w:p>
      <w:pPr>
        <w:pStyle w:val="Lista2"/>
      </w:pPr>
      <w:r>
        <w:t xml:space="preserve">e.g. </w:t>
      </w:r>
      <w:r>
        <w:rPr>
          <w:rStyle w:val="Codetext"/>
        </w:rPr>
        <w:t>mitr</w:t>
      </w:r>
      <w:r>
        <w:rPr>
          <w:rStyle w:val="Code"/>
        </w:rPr>
        <w:t>&lt;unclear&gt;</w:t>
      </w:r>
      <w:r>
        <w:rPr>
          <w:rStyle w:val="Codetext"/>
        </w:rPr>
        <w:t>eṇ</w:t>
      </w:r>
      <w:r>
        <w:rPr>
          <w:rStyle w:val="Code"/>
        </w:rPr>
        <w:t>&lt;/unclear&gt;</w:t>
      </w:r>
      <w:r>
        <w:rPr>
          <w:rStyle w:val="Codetext"/>
        </w:rPr>
        <w:t>a</w:t>
      </w:r>
      <w:r>
        <w:t xml:space="preserve"> and NOT </w:t>
      </w:r>
      <w:r>
        <w:rPr>
          <w:rStyle w:val="Codetext"/>
        </w:rPr>
        <w:t>mitr</w:t>
      </w:r>
      <w:r>
        <w:rPr>
          <w:rStyle w:val="Code"/>
        </w:rPr>
        <w:t>&lt;/unclear&gt;</w:t>
      </w:r>
      <w:r>
        <w:rPr>
          <w:rStyle w:val="Codetext"/>
        </w:rPr>
        <w:t>e</w:t>
      </w:r>
      <w:r>
        <w:rPr>
          <w:rStyle w:val="Code"/>
        </w:rPr>
        <w:t>&lt;unclear&gt;&lt;unclear&gt;</w:t>
      </w:r>
      <w:r>
        <w:rPr>
          <w:rStyle w:val="Codetext"/>
        </w:rPr>
        <w:t>ṇ</w:t>
      </w:r>
      <w:r>
        <w:rPr>
          <w:rStyle w:val="Code"/>
        </w:rPr>
        <w:t>&lt;/unclear&gt;</w:t>
      </w:r>
      <w:r>
        <w:rPr>
          <w:rStyle w:val="Codetext"/>
        </w:rPr>
        <w:t>a</w:t>
      </w:r>
      <w:r>
        <w:t xml:space="preserve"> (even if </w:t>
      </w:r>
      <w:r>
        <w:rPr>
          <w:rStyle w:val="Foreign"/>
        </w:rPr>
        <w:t>e</w:t>
      </w:r>
      <w:r>
        <w:t xml:space="preserve"> is to the left of the clear </w:t>
      </w:r>
      <w:r>
        <w:rPr>
          <w:rStyle w:val="Foreign"/>
        </w:rPr>
        <w:t>tr</w:t>
      </w:r>
      <w:r>
        <w:t xml:space="preserve"> while </w:t>
      </w:r>
      <w:r>
        <w:rPr>
          <w:rStyle w:val="Foreign"/>
        </w:rPr>
        <w:t>ṇ</w:t>
      </w:r>
      <w:r>
        <w:t xml:space="preserve"> is to its right), nor </w:t>
      </w:r>
      <w:r>
        <w:rPr>
          <w:rStyle w:val="Codetext"/>
        </w:rPr>
        <w:t>mi</w:t>
      </w:r>
      <w:r>
        <w:rPr>
          <w:rStyle w:val="Code"/>
        </w:rPr>
        <w:t>&lt;unclear&gt;</w:t>
      </w:r>
      <w:r>
        <w:rPr>
          <w:rStyle w:val="Codetext"/>
        </w:rPr>
        <w:t>treṇa</w:t>
      </w:r>
      <w:r>
        <w:rPr>
          <w:rStyle w:val="Code"/>
        </w:rPr>
        <w:t>&lt;/unclear&gt;</w:t>
      </w:r>
      <w:r>
        <w:t xml:space="preserve"> (unless </w:t>
      </w:r>
      <w:r>
        <w:rPr>
          <w:rStyle w:val="Foreign"/>
        </w:rPr>
        <w:t>t</w:t>
      </w:r>
      <w:r>
        <w:t xml:space="preserve">, </w:t>
      </w:r>
      <w:r>
        <w:rPr>
          <w:rStyle w:val="Foreign"/>
        </w:rPr>
        <w:t>r</w:t>
      </w:r>
      <w:r>
        <w:t xml:space="preserve">, </w:t>
      </w:r>
      <w:r>
        <w:rPr>
          <w:rStyle w:val="Foreign"/>
        </w:rPr>
        <w:t>e</w:t>
      </w:r>
      <w:r>
        <w:t xml:space="preserve">, </w:t>
      </w:r>
      <w:r>
        <w:rPr>
          <w:rStyle w:val="Foreign"/>
        </w:rPr>
        <w:t>ṇ</w:t>
      </w:r>
      <w:r>
        <w:t xml:space="preserve"> and</w:t>
      </w:r>
      <w:r>
        <w:rPr>
          <w:rStyle w:val="Foreign"/>
        </w:rPr>
        <w:t xml:space="preserve"> a</w:t>
      </w:r>
      <w:r>
        <w:t xml:space="preserve"> are all unclear)</w:t>
      </w:r>
    </w:p>
    <w:p>
      <w:pPr>
        <w:pStyle w:val="Lista"/>
      </w:pPr>
      <w:r>
        <w:rPr>
          <w:noProof/>
        </w:rPr>
        <w:t>sub-</w:t>
      </w:r>
      <w:r>
        <w:rPr>
          <w:rStyle w:val="Foreign"/>
        </w:rPr>
        <w:t>akṣara</w:t>
      </w:r>
      <w:r>
        <w:t xml:space="preserve"> markup for identifying specific glyph components (§</w:t>
      </w:r>
      <w:r>
        <w:fldChar w:fldCharType="begin"/>
      </w:r>
      <w:r>
        <w:instrText xml:space="preserve"> REF _Ref228202081 \r \h </w:instrText>
      </w:r>
      <w:r>
        <w:fldChar w:fldCharType="separate"/>
      </w:r>
      <w:r>
        <w:t>5.1.2</w:t>
      </w:r>
      <w:r>
        <w:fldChar w:fldCharType="end"/>
      </w:r>
      <w:r>
        <w:t>) is normally not necessary and should be avoided in such cases, since the graphetic position of the individual graphs can be inferred from the context</w:t>
      </w:r>
    </w:p>
    <w:p>
      <w:pPr>
        <w:pStyle w:val="Lista"/>
      </w:pPr>
      <w:r>
        <w:t xml:space="preserve">in general, rather than using complicated encoding involving multiple alternative readings, rely on the expertise of the readers of your edition to figure out the exact locus of doubt within a complex original glyph and its possible implications, even in cases such as </w:t>
      </w:r>
    </w:p>
    <w:p>
      <w:pPr>
        <w:pStyle w:val="Lista2"/>
      </w:pPr>
      <w:r>
        <w:t>doubt concerning the presence of a graph</w:t>
      </w:r>
    </w:p>
    <w:p>
      <w:pPr>
        <w:pStyle w:val="Lista3"/>
      </w:pPr>
      <w:r>
        <w:t xml:space="preserve">encoding the default vowel of an </w:t>
      </w:r>
      <w:r>
        <w:rPr>
          <w:rStyle w:val="Foreign"/>
        </w:rPr>
        <w:t>akṣara</w:t>
      </w:r>
      <w:r>
        <w:t xml:space="preserve"> as unclear (with low certainty if relevant) will tell the reader that a vowel marker might be present, e.g.</w:t>
      </w:r>
    </w:p>
    <w:p>
      <w:pPr>
        <w:pStyle w:val="Lista4"/>
      </w:pPr>
      <w:r>
        <w:rPr>
          <w:rStyle w:val="Codetext"/>
        </w:rPr>
        <w:t>k</w:t>
      </w:r>
      <w:r>
        <w:rPr>
          <w:rStyle w:val="Code"/>
        </w:rPr>
        <w:t>&lt;unclear&gt;</w:t>
      </w:r>
      <w:r>
        <w:rPr>
          <w:rStyle w:val="Codetext"/>
        </w:rPr>
        <w:t>a</w:t>
      </w:r>
      <w:r>
        <w:rPr>
          <w:rStyle w:val="Code"/>
        </w:rPr>
        <w:t>&lt;/unclear&gt;</w:t>
      </w:r>
      <w:r>
        <w:t xml:space="preserve"> can signify a </w:t>
      </w:r>
      <w:r>
        <w:rPr>
          <w:rStyle w:val="Foreign"/>
        </w:rPr>
        <w:t>k</w:t>
      </w:r>
      <w:r>
        <w:t xml:space="preserve"> with plenty of damage around it, which may obscure a vowel mark</w:t>
      </w:r>
    </w:p>
    <w:p>
      <w:pPr>
        <w:pStyle w:val="Lista3"/>
      </w:pPr>
      <w:r>
        <w:t>encoding a component as unclear (with low certainty if relevant) will tell the reader that the component may be absent or may be a similar-looking component that represents a different grapheme, e.g.</w:t>
      </w:r>
    </w:p>
    <w:p>
      <w:pPr>
        <w:pStyle w:val="Lista4"/>
      </w:pPr>
      <w:r>
        <w:rPr>
          <w:rStyle w:val="Code"/>
        </w:rPr>
        <w:t>sa&lt;unclear&gt;</w:t>
      </w:r>
      <w:r>
        <w:rPr>
          <w:rStyle w:val="Codetext"/>
        </w:rPr>
        <w:t>ṁ</w:t>
      </w:r>
      <w:r>
        <w:rPr>
          <w:rStyle w:val="Code"/>
        </w:rPr>
        <w:t>&lt;/unclear&gt;</w:t>
      </w:r>
      <w:r>
        <w:t xml:space="preserve"> can signify a probable </w:t>
      </w:r>
      <w:r>
        <w:rPr>
          <w:rStyle w:val="Foreign"/>
        </w:rPr>
        <w:t>saṁ</w:t>
      </w:r>
      <w:r>
        <w:t xml:space="preserve"> where the </w:t>
      </w:r>
      <w:r>
        <w:rPr>
          <w:rStyle w:val="Foreign"/>
        </w:rPr>
        <w:t>anusvāra</w:t>
      </w:r>
      <w:r>
        <w:t xml:space="preserve"> may be absent (in which case the reading is </w:t>
      </w:r>
      <w:r>
        <w:rPr>
          <w:rStyle w:val="Foreign"/>
        </w:rPr>
        <w:t>sa</w:t>
      </w:r>
      <w:r>
        <w:t xml:space="preserve">) or may be something else (such as a </w:t>
      </w:r>
      <w:r>
        <w:rPr>
          <w:rStyle w:val="Foreign"/>
        </w:rPr>
        <w:t>visarga</w:t>
      </w:r>
      <w:r>
        <w:t xml:space="preserve"> or a punctuation mark)</w:t>
      </w:r>
    </w:p>
    <w:p>
      <w:pPr>
        <w:pStyle w:val="Lista4"/>
      </w:pPr>
      <w:r>
        <w:rPr>
          <w:rStyle w:val="Code"/>
        </w:rPr>
        <w:lastRenderedPageBreak/>
        <w:t>g&lt;unclear&gt;</w:t>
      </w:r>
      <w:r>
        <w:rPr>
          <w:rStyle w:val="Codetext"/>
        </w:rPr>
        <w:t>r̥</w:t>
      </w:r>
      <w:r>
        <w:rPr>
          <w:rStyle w:val="Code"/>
        </w:rPr>
        <w:t>&lt;/unclear&gt;</w:t>
      </w:r>
      <w:r>
        <w:t xml:space="preserve"> can signify a probable </w:t>
      </w:r>
      <w:r>
        <w:rPr>
          <w:rStyle w:val="Foreign"/>
        </w:rPr>
        <w:t>gr̥</w:t>
      </w:r>
      <w:r>
        <w:t xml:space="preserve"> where the </w:t>
      </w:r>
      <w:r>
        <w:rPr>
          <w:rStyle w:val="Foreign"/>
        </w:rPr>
        <w:t>r̥</w:t>
      </w:r>
      <w:r>
        <w:t xml:space="preserve"> marker may be absent (in which case the reading is </w:t>
      </w:r>
      <w:r>
        <w:rPr>
          <w:rStyle w:val="Foreign"/>
        </w:rPr>
        <w:t>ga</w:t>
      </w:r>
      <w:r>
        <w:t xml:space="preserve">) or may be something else (such as a consonantal subscript </w:t>
      </w:r>
      <w:r>
        <w:rPr>
          <w:rStyle w:val="Foreign"/>
        </w:rPr>
        <w:t>r</w:t>
      </w:r>
      <w:r>
        <w:t xml:space="preserve">, in which case the reading is </w:t>
      </w:r>
      <w:r>
        <w:rPr>
          <w:rStyle w:val="Foreign"/>
        </w:rPr>
        <w:t>gra</w:t>
      </w:r>
      <w:r>
        <w:t>)</w:t>
      </w:r>
    </w:p>
    <w:p>
      <w:pPr>
        <w:pStyle w:val="Lista"/>
      </w:pPr>
      <w:r>
        <w:t>the informed reader can also be expected to work out that unclarity affecting a specific graph may</w:t>
      </w:r>
    </w:p>
    <w:p>
      <w:pPr>
        <w:pStyle w:val="Lista2"/>
      </w:pPr>
      <w:r>
        <w:t>affect the position of the corresponding grapheme in the reading order, e.g.</w:t>
      </w:r>
    </w:p>
    <w:p>
      <w:pPr>
        <w:pStyle w:val="Lista3"/>
      </w:pPr>
      <w:r>
        <w:rPr>
          <w:rStyle w:val="Code"/>
        </w:rPr>
        <w:t xml:space="preserve">&lt;unclear </w:t>
      </w:r>
      <w:r>
        <w:rPr>
          <w:rStyle w:val="Codeattribute"/>
        </w:rPr>
        <w:t>cert</w:t>
      </w:r>
      <w:r>
        <w:rPr>
          <w:rStyle w:val="Code"/>
        </w:rPr>
        <w:t>=</w:t>
      </w:r>
      <w:r>
        <w:rPr>
          <w:rStyle w:val="Codevalue"/>
        </w:rPr>
        <w:t>"low"</w:t>
      </w:r>
      <w:r>
        <w:rPr>
          <w:rStyle w:val="Code"/>
        </w:rPr>
        <w:t>&gt;</w:t>
      </w:r>
      <w:r>
        <w:rPr>
          <w:rStyle w:val="Codetext"/>
        </w:rPr>
        <w:t>r</w:t>
      </w:r>
      <w:r>
        <w:rPr>
          <w:rStyle w:val="Code"/>
        </w:rPr>
        <w:t>&lt;/unclear&gt;ddha</w:t>
      </w:r>
      <w:r>
        <w:t xml:space="preserve"> can signify a probable </w:t>
      </w:r>
      <w:r>
        <w:rPr>
          <w:rStyle w:val="Foreign"/>
        </w:rPr>
        <w:t>rddha</w:t>
      </w:r>
      <w:r>
        <w:t xml:space="preserve"> where there is a fair chance that the superscript </w:t>
      </w:r>
      <w:r>
        <w:rPr>
          <w:rStyle w:val="Foreign"/>
        </w:rPr>
        <w:t>r</w:t>
      </w:r>
      <w:r>
        <w:t xml:space="preserve"> is absent (in which case the reading is </w:t>
      </w:r>
      <w:r>
        <w:rPr>
          <w:rStyle w:val="Foreign"/>
        </w:rPr>
        <w:t>ddha</w:t>
      </w:r>
      <w:r>
        <w:t xml:space="preserve">) or is something else (such as a vowel marker for </w:t>
      </w:r>
      <w:r>
        <w:rPr>
          <w:rStyle w:val="Foreign"/>
        </w:rPr>
        <w:t>ā</w:t>
      </w:r>
      <w:r>
        <w:t xml:space="preserve">, in which case the reading is </w:t>
      </w:r>
      <w:r>
        <w:rPr>
          <w:rStyle w:val="Foreign"/>
        </w:rPr>
        <w:t>ddhā</w:t>
      </w:r>
      <w:r>
        <w:t>)</w:t>
      </w:r>
    </w:p>
    <w:p>
      <w:pPr>
        <w:pStyle w:val="Lista3"/>
      </w:pPr>
      <w:r>
        <w:t xml:space="preserve">affect the way in which the </w:t>
      </w:r>
      <w:r>
        <w:rPr>
          <w:rStyle w:val="Foreign"/>
        </w:rPr>
        <w:t>akṣara</w:t>
      </w:r>
      <w:r>
        <w:rPr>
          <w:rStyle w:val="Foreign"/>
          <w:i w:val="0"/>
          <w:iCs w:val="0"/>
        </w:rPr>
        <w:t>s</w:t>
      </w:r>
      <w:r>
        <w:t xml:space="preserve"> of the source are constituted, e.g.</w:t>
      </w:r>
    </w:p>
    <w:p>
      <w:pPr>
        <w:pStyle w:val="Lista4"/>
      </w:pPr>
      <w:r>
        <w:rPr>
          <w:rStyle w:val="Codetext"/>
        </w:rPr>
        <w:t>k</w:t>
      </w:r>
      <w:r>
        <w:rPr>
          <w:rStyle w:val="Code"/>
        </w:rPr>
        <w:t>&lt;unclear&gt;</w:t>
      </w:r>
      <w:r>
        <w:rPr>
          <w:rStyle w:val="Codetext"/>
        </w:rPr>
        <w:t>ā</w:t>
      </w:r>
      <w:r>
        <w:rPr>
          <w:rStyle w:val="Code"/>
        </w:rPr>
        <w:t>&lt;/unclear&gt;</w:t>
      </w:r>
      <w:r>
        <w:t xml:space="preserve"> representing the sequence </w:t>
      </w:r>
      <w:r>
        <w:rPr>
          <w:rStyle w:val="ForeignTamilScript"/>
          <w:cs/>
        </w:rPr>
        <w:t>கா</w:t>
      </w:r>
      <w:r>
        <w:rPr>
          <w:cs/>
        </w:rPr>
        <w:t xml:space="preserve"> </w:t>
      </w:r>
      <w:r>
        <w:t xml:space="preserve">in Tamil, where what has been interpreted as an </w:t>
      </w:r>
      <w:r>
        <w:rPr>
          <w:rStyle w:val="Foreign"/>
        </w:rPr>
        <w:t>ā</w:t>
      </w:r>
      <w:r>
        <w:t xml:space="preserve"> marker may instead be a separate </w:t>
      </w:r>
      <w:r>
        <w:rPr>
          <w:rStyle w:val="Foreign"/>
        </w:rPr>
        <w:t>akṣara</w:t>
      </w:r>
      <w:r>
        <w:t xml:space="preserve"> </w:t>
      </w:r>
      <w:r>
        <w:rPr>
          <w:rStyle w:val="ForeignTamilScript"/>
          <w:cs/>
        </w:rPr>
        <w:t>ர</w:t>
      </w:r>
      <w:r>
        <w:rPr>
          <w:cs/>
          <w:lang w:bidi="ta-IN"/>
        </w:rPr>
        <w:t xml:space="preserve"> </w:t>
      </w:r>
      <w:r>
        <w:rPr>
          <w:rStyle w:val="Foreign"/>
        </w:rPr>
        <w:t>ra</w:t>
      </w:r>
    </w:p>
    <w:p>
      <w:pPr>
        <w:pStyle w:val="Lista4"/>
      </w:pPr>
      <w:r>
        <w:rPr>
          <w:rStyle w:val="Codetext"/>
        </w:rPr>
        <w:t>p</w:t>
      </w:r>
      <w:r>
        <w:rPr>
          <w:rStyle w:val="Code"/>
        </w:rPr>
        <w:t>&lt;unclear&gt;</w:t>
      </w:r>
      <w:r>
        <w:rPr>
          <w:rStyle w:val="Codetext"/>
        </w:rPr>
        <w:t>ā</w:t>
      </w:r>
      <w:r>
        <w:rPr>
          <w:rStyle w:val="Code"/>
        </w:rPr>
        <w:t>&lt;/unclear&gt;</w:t>
      </w:r>
      <w:r>
        <w:rPr>
          <w:rStyle w:val="Codetext"/>
        </w:rPr>
        <w:t>ta</w:t>
      </w:r>
      <w:r>
        <w:t xml:space="preserve"> representing the sequence </w:t>
      </w:r>
      <w:r>
        <w:rPr>
          <w:rStyle w:val="ForeignDevanagariScript"/>
          <w:cs/>
        </w:rPr>
        <w:t>पात</w:t>
      </w:r>
      <w:r>
        <w:t xml:space="preserve"> in premodern Nagari that employs a </w:t>
      </w:r>
      <w:r>
        <w:rPr>
          <w:rStyle w:val="Foreign"/>
        </w:rPr>
        <w:t>pr̥ṣṭhamātrā</w:t>
      </w:r>
      <w:r>
        <w:t xml:space="preserve"> form of </w:t>
      </w:r>
      <w:r>
        <w:rPr>
          <w:rStyle w:val="Foreign"/>
        </w:rPr>
        <w:t>e</w:t>
      </w:r>
      <w:r>
        <w:t xml:space="preserve">, so that what has been interpreted as </w:t>
      </w:r>
      <w:r>
        <w:rPr>
          <w:rStyle w:val="Foreign"/>
        </w:rPr>
        <w:t>pāta</w:t>
      </w:r>
      <w:r>
        <w:t xml:space="preserve"> may instead be </w:t>
      </w:r>
      <w:r>
        <w:rPr>
          <w:rStyle w:val="Foreign"/>
        </w:rPr>
        <w:t>pate</w:t>
      </w:r>
    </w:p>
    <w:p>
      <w:pPr>
        <w:pStyle w:val="Lista"/>
      </w:pPr>
      <w:r>
        <w:t>however, when you deem it desirable to encode such ambivalences explicitly, include the complete sequences affected by the ambivalence in spite of the blanket instruction to tag only the specific graphs affected by a reading issue, e.g.</w:t>
      </w:r>
    </w:p>
    <w:p>
      <w:pPr>
        <w:pStyle w:val="Lista3"/>
        <w:rPr>
          <w:rStyle w:val="Codetext"/>
          <w:rFonts w:ascii="Gentium" w:hAnsi="Gentium" w:cs="Tiro Devanagari Sanskrit"/>
          <w:noProof w:val="0"/>
          <w:color w:val="auto"/>
          <w:shd w:val="clear" w:color="auto" w:fill="auto"/>
        </w:rPr>
      </w:pPr>
      <w:r>
        <w:rPr>
          <w:rStyle w:val="Code"/>
        </w:rPr>
        <w:t>&lt;choice&gt;&lt;unclear&gt;</w:t>
      </w:r>
      <w:r>
        <w:rPr>
          <w:rStyle w:val="Codetext"/>
        </w:rPr>
        <w:t>rddha</w:t>
      </w:r>
      <w:r>
        <w:rPr>
          <w:rStyle w:val="Code"/>
        </w:rPr>
        <w:t>&lt;/unclear&gt;&lt;unclear&gt;</w:t>
      </w:r>
      <w:r>
        <w:rPr>
          <w:rStyle w:val="Codetext"/>
        </w:rPr>
        <w:t>ddhā</w:t>
      </w:r>
      <w:r>
        <w:rPr>
          <w:rStyle w:val="Code"/>
        </w:rPr>
        <w:t>&lt;/unclear&gt;&lt;/choice&gt;</w:t>
      </w:r>
    </w:p>
    <w:p>
      <w:pPr>
        <w:pStyle w:val="Lista3"/>
      </w:pPr>
      <w:r>
        <w:rPr>
          <w:rStyle w:val="Codetext"/>
        </w:rPr>
        <w:t>k</w:t>
      </w:r>
      <w:r>
        <w:rPr>
          <w:rStyle w:val="Code"/>
        </w:rPr>
        <w:t>&lt;choice&gt;&lt;unclear&gt;</w:t>
      </w:r>
      <w:r>
        <w:rPr>
          <w:rStyle w:val="Codetext"/>
        </w:rPr>
        <w:t>ā</w:t>
      </w:r>
      <w:r>
        <w:rPr>
          <w:rStyle w:val="Code"/>
        </w:rPr>
        <w:t>&lt;/unclear&gt;&lt;unclear&gt;</w:t>
      </w:r>
      <w:r>
        <w:rPr>
          <w:rStyle w:val="Codetext"/>
        </w:rPr>
        <w:t>ara</w:t>
      </w:r>
      <w:r>
        <w:rPr>
          <w:rStyle w:val="Code"/>
        </w:rPr>
        <w:t>&lt;/unclear&gt;&lt;/choice&gt;</w:t>
      </w:r>
      <w:r>
        <w:rPr>
          <w:rStyle w:val="Lbjegyzet-hivatkozs"/>
        </w:rPr>
        <w:footnoteReference w:id="28"/>
      </w:r>
    </w:p>
    <w:p>
      <w:pPr>
        <w:pStyle w:val="Lista3"/>
      </w:pPr>
      <w:r>
        <w:rPr>
          <w:rStyle w:val="Codetext"/>
        </w:rPr>
        <w:t>p</w:t>
      </w:r>
      <w:r>
        <w:rPr>
          <w:rStyle w:val="Code"/>
        </w:rPr>
        <w:t>&lt;choice&gt;&lt;unclear&gt;</w:t>
      </w:r>
      <w:r>
        <w:rPr>
          <w:rStyle w:val="Codetext"/>
        </w:rPr>
        <w:t>āta</w:t>
      </w:r>
      <w:r>
        <w:rPr>
          <w:rStyle w:val="Code"/>
        </w:rPr>
        <w:t>&lt;/unclear&gt;&lt;unclear&gt;</w:t>
      </w:r>
      <w:r>
        <w:rPr>
          <w:rStyle w:val="Codetext"/>
        </w:rPr>
        <w:t>ate</w:t>
      </w:r>
      <w:r>
        <w:rPr>
          <w:rStyle w:val="Code"/>
        </w:rPr>
        <w:t>&lt;/unclear&gt;&lt;/choice&gt;</w:t>
      </w:r>
    </w:p>
    <w:p>
      <w:pPr>
        <w:pStyle w:val="Cmsor2"/>
      </w:pPr>
      <w:bookmarkStart w:id="512" w:name="_advce1m7uke1" w:colFirst="0" w:colLast="0"/>
      <w:bookmarkStart w:id="513" w:name="_Ref228459751"/>
      <w:bookmarkStart w:id="514" w:name="_Ref43979611"/>
      <w:bookmarkEnd w:id="512"/>
      <w:r>
        <w:t>Editorial restoration</w:t>
      </w:r>
      <w:bookmarkEnd w:id="513"/>
    </w:p>
    <w:p>
      <w:pPr>
        <w:rPr>
          <w:lang w:eastAsia="en-US" w:bidi="ar-SA"/>
        </w:rPr>
      </w:pPr>
      <w:r>
        <w:t>An editorial restoration is a stretch of text which the editor believes was probably present in the source document, but which could not be read at all in the source. Although conceptually a restored lacuna is a particular kind of lacuna, the two require different encoding approaches because a restoration contains text while an unrestored lacuna does not. Unrestored lacunae will be addressed in §</w:t>
      </w:r>
      <w:r>
        <w:fldChar w:fldCharType="begin"/>
      </w:r>
      <w:r>
        <w:instrText xml:space="preserve"> REF _Ref228460110 \r \h </w:instrText>
      </w:r>
      <w:r>
        <w:fldChar w:fldCharType="separate"/>
      </w:r>
      <w:r>
        <w:t>6.5</w:t>
      </w:r>
      <w:r>
        <w:fldChar w:fldCharType="end"/>
      </w:r>
      <w:r>
        <w:t>.</w:t>
      </w:r>
    </w:p>
    <w:p>
      <w:pPr>
        <w:pStyle w:val="Lista"/>
      </w:pPr>
      <w:bookmarkStart w:id="515" w:name="_ck6yxgbwhraw" w:colFirst="0" w:colLast="0"/>
      <w:bookmarkEnd w:id="515"/>
      <w:r>
        <w:t xml:space="preserve">where you as editor restore parts of the text that can no longer be made out in the original, the restored segments must be wrapped in the element </w:t>
      </w:r>
      <w:r>
        <w:rPr>
          <w:rStyle w:val="Code"/>
        </w:rPr>
        <w:t>&lt;supplied&gt;</w:t>
      </w:r>
      <w:r>
        <w:t>, with the following attributes</w:t>
      </w:r>
    </w:p>
    <w:p>
      <w:pPr>
        <w:pStyle w:val="Lista2"/>
        <w:rPr>
          <w:rStyle w:val="Codeattribute"/>
          <w:rFonts w:ascii="Gentium" w:hAnsi="Gentium" w:cs="Tiro Devanagari Sanskrit"/>
          <w:noProof w:val="0"/>
          <w:color w:val="auto"/>
          <w:shd w:val="clear" w:color="auto" w:fill="auto"/>
        </w:rPr>
      </w:pPr>
      <w:r>
        <w:t xml:space="preserve">mandatorily, </w:t>
      </w:r>
      <w:r>
        <w:rPr>
          <w:rStyle w:val="Codeattribute"/>
        </w:rPr>
        <w:t>@reason</w:t>
      </w:r>
      <w:r>
        <w:t xml:space="preserve"> to indicate why a restoration was necessary, as per §</w:t>
      </w:r>
      <w:r>
        <w:fldChar w:fldCharType="begin"/>
      </w:r>
      <w:r>
        <w:instrText xml:space="preserve"> REF _Ref228461596 \r \h </w:instrText>
      </w:r>
      <w:r>
        <w:fldChar w:fldCharType="separate"/>
      </w:r>
      <w:r>
        <w:t>6.4.1</w:t>
      </w:r>
      <w:r>
        <w:fldChar w:fldCharType="end"/>
      </w:r>
    </w:p>
    <w:p>
      <w:pPr>
        <w:pStyle w:val="Lista2"/>
      </w:pPr>
      <w:r>
        <w:t xml:space="preserve">as applicable, </w:t>
      </w:r>
      <w:r>
        <w:rPr>
          <w:rStyle w:val="Codeattribute"/>
        </w:rPr>
        <w:t>@cert</w:t>
      </w:r>
      <w:r>
        <w:t xml:space="preserve"> to indicate that the editorial restoration is tentative, as per §</w:t>
      </w:r>
      <w:r>
        <w:fldChar w:fldCharType="begin"/>
      </w:r>
      <w:r>
        <w:instrText xml:space="preserve"> REF _Ref228460700 \r \h </w:instrText>
      </w:r>
      <w:r>
        <w:fldChar w:fldCharType="separate"/>
      </w:r>
      <w:r>
        <w:t>6.4.2</w:t>
      </w:r>
      <w:r>
        <w:fldChar w:fldCharType="end"/>
      </w:r>
    </w:p>
    <w:p>
      <w:pPr>
        <w:pStyle w:val="Lista2"/>
      </w:pPr>
      <w:r>
        <w:t xml:space="preserve">as applicable, </w:t>
      </w:r>
      <w:r>
        <w:rPr>
          <w:rStyle w:val="Codeattribute"/>
        </w:rPr>
        <w:t>@evidence</w:t>
      </w:r>
      <w:r>
        <w:t xml:space="preserve"> to record the basis of the restoration, as per §</w:t>
      </w:r>
      <w:r>
        <w:fldChar w:fldCharType="begin"/>
      </w:r>
      <w:r>
        <w:instrText xml:space="preserve"> REF _Ref228460743 \r \h </w:instrText>
      </w:r>
      <w:r>
        <w:fldChar w:fldCharType="separate"/>
      </w:r>
      <w:r>
        <w:t>6.4.3</w:t>
      </w:r>
      <w:r>
        <w:fldChar w:fldCharType="end"/>
      </w:r>
    </w:p>
    <w:p>
      <w:pPr>
        <w:pStyle w:val="Lista"/>
      </w:pPr>
      <w:r>
        <w:t>bear in mind that, as discussed in §</w:t>
      </w:r>
      <w:r>
        <w:fldChar w:fldCharType="begin"/>
      </w:r>
      <w:r>
        <w:instrText xml:space="preserve"> REF _Ref228196345 \r \h </w:instrText>
      </w:r>
      <w:r>
        <w:fldChar w:fldCharType="separate"/>
      </w:r>
      <w:r>
        <w:t>6.1</w:t>
      </w:r>
      <w:r>
        <w:fldChar w:fldCharType="end"/>
      </w:r>
      <w:r>
        <w:t xml:space="preserve">, restoration with </w:t>
      </w:r>
      <w:r>
        <w:rPr>
          <w:rStyle w:val="Code"/>
        </w:rPr>
        <w:t>&lt;supplied&gt;</w:t>
      </w:r>
      <w:r>
        <w:t xml:space="preserve"> is for cases where a restoration is not based on what can be made out of the original writing</w:t>
      </w:r>
    </w:p>
    <w:p>
      <w:pPr>
        <w:pStyle w:val="Lista2"/>
      </w:pPr>
      <w:r>
        <w:t xml:space="preserve">if vestiges of text can be made out to a degree sufficient to corroborate a restoration, then </w:t>
      </w:r>
      <w:r>
        <w:rPr>
          <w:noProof/>
        </w:rPr>
        <w:t>(</w:t>
      </w:r>
      <w:r>
        <w:t>regardless of how scant these vestiges are) the text should be treated as an unclear reading rather than a restoration</w:t>
      </w:r>
    </w:p>
    <w:p>
      <w:pPr>
        <w:pStyle w:val="Lista3"/>
      </w:pPr>
      <w:r>
        <w:t xml:space="preserve">e.g. </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pitr̥</w:t>
      </w:r>
      <w:r>
        <w:rPr>
          <w:rStyle w:val="Code"/>
        </w:rPr>
        <w:t>&lt;/supplied&gt;&lt;unclear&gt;</w:t>
      </w:r>
      <w:r>
        <w:rPr>
          <w:rStyle w:val="Codetext"/>
        </w:rPr>
        <w:t>bhiḥ</w:t>
      </w:r>
      <w:r>
        <w:rPr>
          <w:rStyle w:val="Code"/>
        </w:rPr>
        <w:t>&lt;/unclear&gt;</w:t>
      </w:r>
      <w:r>
        <w:rPr>
          <w:rStyle w:val="Codetext"/>
        </w:rPr>
        <w:t xml:space="preserve"> saha pacyate</w:t>
      </w:r>
      <w:r>
        <w:t xml:space="preserve"> </w:t>
      </w:r>
      <w:r>
        <w:rPr>
          <w:noProof/>
        </w:rPr>
        <w:t>(</w:t>
      </w:r>
      <w:r>
        <w:t xml:space="preserve">where vestiges give some confirmation for </w:t>
      </w:r>
      <w:r>
        <w:rPr>
          <w:rStyle w:val="Foreign"/>
        </w:rPr>
        <w:t>bhiḥ</w:t>
      </w:r>
      <w:r>
        <w:t xml:space="preserve">, whereas </w:t>
      </w:r>
      <w:r>
        <w:rPr>
          <w:rStyle w:val="Foreign"/>
        </w:rPr>
        <w:t>pitr̥</w:t>
      </w:r>
      <w:r>
        <w:t xml:space="preserve"> is wholly gone)</w:t>
      </w:r>
    </w:p>
    <w:p>
      <w:pPr>
        <w:pStyle w:val="Cmsor3"/>
      </w:pPr>
      <w:bookmarkStart w:id="516" w:name="_Ref228461596"/>
      <w:bookmarkStart w:id="517" w:name="_Ref228864988"/>
      <w:bookmarkStart w:id="518" w:name="_Toc242976643"/>
      <w:r>
        <w:t>The reason for a restoration</w:t>
      </w:r>
      <w:bookmarkEnd w:id="516"/>
      <w:bookmarkEnd w:id="517"/>
      <w:bookmarkEnd w:id="518"/>
    </w:p>
    <w:p>
      <w:r>
        <w:t xml:space="preserve">The mandatory attribute </w:t>
      </w:r>
      <w:r>
        <w:rPr>
          <w:rStyle w:val="Codeattribute"/>
        </w:rPr>
        <w:t>@reason</w:t>
      </w:r>
      <w:r>
        <w:t xml:space="preserve">, indicating why a the editor has supplied text, normally takes the value </w:t>
      </w:r>
      <w:r>
        <w:rPr>
          <w:rStyle w:val="Codevalue"/>
        </w:rPr>
        <w:t>"lost"</w:t>
      </w:r>
      <w:r>
        <w:t xml:space="preserve"> in restored lacunae, meaning that text was supplied because the writing is entirely obliterated.</w:t>
      </w:r>
    </w:p>
    <w:p>
      <w:pPr>
        <w:pStyle w:val="Lista"/>
      </w:pPr>
      <w:r>
        <w:t xml:space="preserve">e.g. </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sodra</w:t>
      </w:r>
      <w:r>
        <w:rPr>
          <w:rStyle w:val="Code"/>
        </w:rPr>
        <w:t>&lt;/supplied&gt;</w:t>
      </w:r>
      <w:r>
        <w:rPr>
          <w:rStyle w:val="Codetext"/>
        </w:rPr>
        <w:t>ṅgaḥ soparikaro</w:t>
      </w:r>
    </w:p>
    <w:p>
      <w:pPr>
        <w:pStyle w:val="Lista"/>
      </w:pPr>
      <w:r>
        <w:t xml:space="preserve">instead of </w:t>
      </w:r>
      <w:r>
        <w:rPr>
          <w:rStyle w:val="Codevalue"/>
        </w:rPr>
        <w:t>"lost"</w:t>
      </w:r>
      <w:r>
        <w:t xml:space="preserve">, you may use the value </w:t>
      </w:r>
      <w:r>
        <w:rPr>
          <w:rStyle w:val="Codevalue"/>
        </w:rPr>
        <w:t>"undefined"</w:t>
      </w:r>
      <w:r>
        <w:t xml:space="preserve"> if and only if</w:t>
      </w:r>
    </w:p>
    <w:p>
      <w:pPr>
        <w:pStyle w:val="Lista2"/>
      </w:pPr>
      <w:r>
        <w:t>you are encoding your digital edition (or an apparatus reading) from a printed edition without access to the original inscription or a visual representation of it</w:t>
      </w:r>
    </w:p>
    <w:p>
      <w:pPr>
        <w:pStyle w:val="Lista2"/>
      </w:pPr>
      <w:r>
        <w:rPr>
          <w:rStyle w:val="Foreign"/>
        </w:rPr>
        <w:lastRenderedPageBreak/>
        <w:t>and</w:t>
      </w:r>
      <w:r>
        <w:t xml:space="preserve"> the previous editor gives no clear indication whether the supplied text was omitted </w:t>
      </w:r>
      <w:r>
        <w:rPr>
          <w:noProof/>
        </w:rPr>
        <w:t>(</w:t>
      </w:r>
      <w:r>
        <w:t>for which see §</w:t>
      </w:r>
      <w:r>
        <w:fldChar w:fldCharType="begin"/>
      </w:r>
      <w:r>
        <w:instrText xml:space="preserve"> REF _Ref229056324 \r \h </w:instrText>
      </w:r>
      <w:r>
        <w:fldChar w:fldCharType="separate"/>
      </w:r>
      <w:r>
        <w:t>7.5.3</w:t>
      </w:r>
      <w:r>
        <w:fldChar w:fldCharType="end"/>
      </w:r>
      <w:r>
        <w:t>) or lost</w:t>
      </w:r>
    </w:p>
    <w:p>
      <w:pPr>
        <w:pStyle w:val="Lista2"/>
      </w:pPr>
      <w:r>
        <w:rPr>
          <w:rStyle w:val="Foreign"/>
        </w:rPr>
        <w:t>and</w:t>
      </w:r>
      <w:r>
        <w:t xml:space="preserve"> you cannot make a reasonable guess as to which of these is actually the case</w:t>
      </w:r>
    </w:p>
    <w:p>
      <w:pPr>
        <w:pStyle w:val="Lista"/>
      </w:pPr>
      <w:r>
        <w:t xml:space="preserve">other possible values of </w:t>
      </w:r>
      <w:r>
        <w:rPr>
          <w:rStyle w:val="Codeattribute"/>
        </w:rPr>
        <w:t>@reason</w:t>
      </w:r>
      <w:r>
        <w:t xml:space="preserve"> on </w:t>
      </w:r>
      <w:r>
        <w:rPr>
          <w:rStyle w:val="Code"/>
        </w:rPr>
        <w:t>&lt;supplied&gt;</w:t>
      </w:r>
      <w:r>
        <w:t xml:space="preserve"> are not applicable to the restoration of lacunae (but to the correction of scribal omission, §</w:t>
      </w:r>
      <w:r>
        <w:fldChar w:fldCharType="begin"/>
      </w:r>
      <w:r>
        <w:instrText xml:space="preserve"> REF _Ref229056324 \r \h </w:instrText>
      </w:r>
      <w:r>
        <w:fldChar w:fldCharType="separate"/>
      </w:r>
      <w:r>
        <w:t>7.5.3</w:t>
      </w:r>
      <w:r>
        <w:fldChar w:fldCharType="end"/>
      </w:r>
      <w:r>
        <w:t>; to supplying editorial punctuation, §</w:t>
      </w:r>
      <w:r>
        <w:fldChar w:fldCharType="begin"/>
      </w:r>
      <w:r>
        <w:instrText xml:space="preserve"> REF _Ref229060537 \r \h </w:instrText>
      </w:r>
      <w:r>
        <w:fldChar w:fldCharType="separate"/>
      </w:r>
      <w:r>
        <w:t>7.8.3</w:t>
      </w:r>
      <w:r>
        <w:fldChar w:fldCharType="end"/>
      </w:r>
      <w:r>
        <w:t>; and to adding clarifications to a translation, §</w:t>
      </w:r>
      <w:r>
        <w:fldChar w:fldCharType="begin"/>
      </w:r>
      <w:r>
        <w:instrText xml:space="preserve"> REF _Ref43990269 \r \h </w:instrText>
      </w:r>
      <w:r>
        <w:fldChar w:fldCharType="separate"/>
      </w:r>
      <w:r>
        <w:t>11.4</w:t>
      </w:r>
      <w:r>
        <w:fldChar w:fldCharType="end"/>
      </w:r>
      <w:r>
        <w:t>)</w:t>
      </w:r>
    </w:p>
    <w:p>
      <w:pPr>
        <w:pStyle w:val="Cmsor3"/>
      </w:pPr>
      <w:bookmarkStart w:id="519" w:name="_Ref228460700"/>
      <w:bookmarkStart w:id="520" w:name="_Toc242976644"/>
      <w:r>
        <w:t>Tentative restoration</w:t>
      </w:r>
      <w:bookmarkEnd w:id="519"/>
      <w:bookmarkEnd w:id="520"/>
    </w:p>
    <w:p>
      <w:r>
        <w:t>Text supplied by the editor is conventionally understood to be reasonably confident, but it can always involve a degree of uncertainty, especially as regards trivial details such as orthographic variation.</w:t>
      </w:r>
    </w:p>
    <w:p>
      <w:pPr>
        <w:pStyle w:val="Lista"/>
      </w:pPr>
      <w:r>
        <w:t xml:space="preserve">when a restoration is particularly tentative, add the attribute </w:t>
      </w:r>
      <w:r>
        <w:rPr>
          <w:rStyle w:val="Codeattribute"/>
        </w:rPr>
        <w:t>@cert</w:t>
      </w:r>
      <w:r>
        <w:t xml:space="preserve"> with the value </w:t>
      </w:r>
      <w:r>
        <w:rPr>
          <w:rStyle w:val="Codevalue"/>
        </w:rPr>
        <w:t>"low"</w:t>
      </w:r>
      <w:r>
        <w:t xml:space="preserve"> to the </w:t>
      </w:r>
      <w:r>
        <w:rPr>
          <w:rStyle w:val="Code"/>
        </w:rPr>
        <w:t>&lt;supplied&gt;</w:t>
      </w:r>
      <w:r>
        <w:t xml:space="preserve"> element</w:t>
      </w:r>
    </w:p>
    <w:p>
      <w:pPr>
        <w:pStyle w:val="Lista2"/>
      </w:pPr>
      <w:r>
        <w:t xml:space="preserve">e.g. </w:t>
      </w:r>
      <w:r>
        <w:rPr>
          <w:rStyle w:val="Codetext"/>
        </w:rPr>
        <w:t>mahā</w:t>
      </w:r>
      <w:r>
        <w:rPr>
          <w:rStyle w:val="Code"/>
        </w:rPr>
        <w:t xml:space="preserve">&lt;supplied </w:t>
      </w:r>
      <w:r>
        <w:rPr>
          <w:rStyle w:val="Codeattribute"/>
        </w:rPr>
        <w:t>reason</w:t>
      </w:r>
      <w:r>
        <w:rPr>
          <w:rStyle w:val="Code"/>
        </w:rPr>
        <w:t>=</w:t>
      </w:r>
      <w:r>
        <w:rPr>
          <w:rStyle w:val="Codevalue"/>
        </w:rPr>
        <w:t>"lost"</w:t>
      </w:r>
      <w:r>
        <w:rPr>
          <w:rStyle w:val="Code"/>
        </w:rPr>
        <w:t xml:space="preserve"> </w:t>
      </w:r>
      <w:r>
        <w:rPr>
          <w:rStyle w:val="Codeattribute"/>
        </w:rPr>
        <w:t>cert</w:t>
      </w:r>
      <w:r>
        <w:rPr>
          <w:rStyle w:val="Code"/>
        </w:rPr>
        <w:t>=</w:t>
      </w:r>
      <w:r>
        <w:rPr>
          <w:rStyle w:val="Codevalue"/>
        </w:rPr>
        <w:t>"low"</w:t>
      </w:r>
      <w:r>
        <w:rPr>
          <w:rStyle w:val="Code"/>
        </w:rPr>
        <w:t>&gt;</w:t>
      </w:r>
      <w:r>
        <w:rPr>
          <w:rStyle w:val="Codetext"/>
        </w:rPr>
        <w:t>puruṣa</w:t>
      </w:r>
      <w:r>
        <w:rPr>
          <w:rStyle w:val="Code"/>
        </w:rPr>
        <w:t>&lt;/supplied&gt;</w:t>
      </w:r>
    </w:p>
    <w:p>
      <w:pPr>
        <w:pStyle w:val="Lista"/>
      </w:pPr>
      <w:r>
        <w:t xml:space="preserve">no additional degrees of confidence shall be represented in markup, so </w:t>
      </w:r>
      <w:r>
        <w:rPr>
          <w:rStyle w:val="Codevalue"/>
        </w:rPr>
        <w:t>"low"</w:t>
      </w:r>
      <w:r>
        <w:t xml:space="preserve"> here may stand for anything between “not quite confident” to “desperate conjecture”</w:t>
      </w:r>
    </w:p>
    <w:p>
      <w:pPr>
        <w:pStyle w:val="Lista2"/>
      </w:pPr>
      <w:r>
        <w:t>however, it is preferable to save desperate conjectures for your commentary or apparatus, and within the edition, only encode restorations in which you have some confidence</w:t>
      </w:r>
    </w:p>
    <w:p>
      <w:pPr>
        <w:pStyle w:val="Cmsor3"/>
      </w:pPr>
      <w:bookmarkStart w:id="521" w:name="_1tkql41gk7ns" w:colFirst="0" w:colLast="0"/>
      <w:bookmarkStart w:id="522" w:name="_Ref228460743"/>
      <w:bookmarkStart w:id="523" w:name="_Toc242976645"/>
      <w:bookmarkEnd w:id="521"/>
      <w:r>
        <w:t>The basis of restoration</w:t>
      </w:r>
      <w:bookmarkEnd w:id="522"/>
      <w:bookmarkEnd w:id="523"/>
    </w:p>
    <w:p>
      <w:r>
        <w:t>By default, editorial restoration will be assumed to be based on conjecture. Conjectural restoration thus needs no explicit encoding beyond that outlined above.</w:t>
      </w:r>
    </w:p>
    <w:p>
      <w:pPr>
        <w:pStyle w:val="Lista"/>
      </w:pPr>
      <w:r>
        <w:t xml:space="preserve">the attribute </w:t>
      </w:r>
      <w:r>
        <w:rPr>
          <w:rStyle w:val="Codeattribute"/>
        </w:rPr>
        <w:t>@evidence</w:t>
      </w:r>
      <w:r>
        <w:t xml:space="preserve"> may be added to </w:t>
      </w:r>
      <w:r>
        <w:rPr>
          <w:rStyle w:val="Code"/>
        </w:rPr>
        <w:t>&lt;supplied&gt;</w:t>
      </w:r>
      <w:r>
        <w:t xml:space="preserve"> to indicate a restoration based on something other than conjecture, with the following permitted values:</w:t>
      </w:r>
    </w:p>
    <w:p>
      <w:pPr>
        <w:pStyle w:val="Lista"/>
      </w:pPr>
      <w:r>
        <w:rPr>
          <w:rStyle w:val="Codevalue"/>
        </w:rPr>
        <w:t>"parallel"</w:t>
      </w:r>
      <w:r>
        <w:t xml:space="preserve"> for restoration on the basis of one or more specific parallel texts</w:t>
      </w:r>
    </w:p>
    <w:p>
      <w:pPr>
        <w:pStyle w:val="Lista2"/>
      </w:pPr>
      <w:r>
        <w:t>if your edition includes a restoration of this type, the parallel text</w:t>
      </w:r>
      <w:r>
        <w:rPr>
          <w:noProof/>
        </w:rPr>
        <w:t>(</w:t>
      </w:r>
      <w:r>
        <w:t>s) used as evidence shall be identified in the commentary to your edition</w:t>
      </w:r>
    </w:p>
    <w:p>
      <w:pPr>
        <w:pStyle w:val="Lista3"/>
      </w:pPr>
      <w:r>
        <w:t xml:space="preserve">such identification shall be in a human-readable form, but if the parallel text has been encoded for DHARMA, then the edition should be referred to </w:t>
      </w:r>
      <w:r>
        <w:rPr>
          <w:noProof/>
        </w:rPr>
        <w:t>(</w:t>
      </w:r>
      <w:r>
        <w:t>§</w:t>
      </w:r>
      <w:r>
        <w:fldChar w:fldCharType="begin"/>
      </w:r>
      <w:r>
        <w:instrText xml:space="preserve"> REF _Ref148531705 \r \h </w:instrText>
      </w:r>
      <w:r>
        <w:fldChar w:fldCharType="separate"/>
      </w:r>
      <w:r>
        <w:t>14.6.4.1</w:t>
      </w:r>
      <w:r>
        <w:fldChar w:fldCharType="end"/>
      </w:r>
      <w:r>
        <w:t>)</w:t>
      </w:r>
    </w:p>
    <w:p>
      <w:pPr>
        <w:pStyle w:val="Lista2"/>
      </w:pPr>
      <w:r>
        <w:t>parallel texts are not necessarily complete and identical copies of the text being edited, but include partial parallels, where passages such as a genealogical list or a stanza occur in more than one text</w:t>
      </w:r>
    </w:p>
    <w:p>
      <w:pPr>
        <w:pStyle w:val="Lista2"/>
      </w:pPr>
      <w:r>
        <w:t xml:space="preserve">however, partial parallelisms that occur widely in a given corpus, especially if they are short and/or they occur with some variation, are better understood as contextual knowledge supporting conjecture, and restorations based on such convergence should be encoded without </w:t>
      </w:r>
      <w:r>
        <w:rPr>
          <w:rStyle w:val="Codeattribute"/>
        </w:rPr>
        <w:t>@evidence</w:t>
      </w:r>
    </w:p>
    <w:p>
      <w:pPr>
        <w:pStyle w:val="Lista"/>
      </w:pPr>
      <w:r>
        <w:rPr>
          <w:rStyle w:val="Codevalue"/>
        </w:rPr>
        <w:t>"previouseditor"</w:t>
      </w:r>
      <w:r>
        <w:t xml:space="preserve"> for restoration based on the testimony of a previous editor, when the text can no longer be made out at present</w:t>
      </w:r>
    </w:p>
    <w:p>
      <w:pPr>
        <w:pStyle w:val="Lista2"/>
      </w:pPr>
      <w:r>
        <w:t xml:space="preserve">note that there is no facility to distinguish between multiple previous editors within this tag; if such a distinction is necessary, it shall be made in the apparatus attached to your edition </w:t>
      </w:r>
      <w:r>
        <w:rPr>
          <w:noProof/>
        </w:rPr>
        <w:t>(</w:t>
      </w:r>
      <w:r>
        <w:t>§</w:t>
      </w:r>
      <w:r>
        <w:fldChar w:fldCharType="begin"/>
      </w:r>
      <w:r>
        <w:instrText xml:space="preserve"> REF _Ref43978773 \w \h  \* MERGEFORMAT </w:instrText>
      </w:r>
      <w:r>
        <w:fldChar w:fldCharType="separate"/>
      </w:r>
      <w:r>
        <w:t>10</w:t>
      </w:r>
      <w:r>
        <w:fldChar w:fldCharType="end"/>
      </w:r>
      <w:r>
        <w:t>)</w:t>
      </w:r>
    </w:p>
    <w:p>
      <w:pPr>
        <w:pStyle w:val="Lista2"/>
      </w:pPr>
      <w:r>
        <w:t xml:space="preserve">likewise, alternative conjectural restorations should be recorded in the apparatus </w:t>
      </w:r>
      <w:r>
        <w:rPr>
          <w:noProof/>
        </w:rPr>
        <w:t>(</w:t>
      </w:r>
      <w:r>
        <w:t xml:space="preserve">if at all); </w:t>
      </w:r>
      <w:r>
        <w:rPr>
          <w:rStyle w:val="Codeattribute"/>
        </w:rPr>
        <w:t>@evidence</w:t>
      </w:r>
      <w:r>
        <w:rPr>
          <w:rStyle w:val="Code"/>
        </w:rPr>
        <w:t>=</w:t>
      </w:r>
      <w:r>
        <w:rPr>
          <w:rStyle w:val="Codevalue"/>
        </w:rPr>
        <w:t>"previouseditor"</w:t>
      </w:r>
      <w:r>
        <w:t xml:space="preserve"> is only for cases where an earlier editor reports an actual reading for text now lost</w:t>
      </w:r>
    </w:p>
    <w:p>
      <w:pPr>
        <w:pStyle w:val="Lista2"/>
      </w:pPr>
      <w:r>
        <w:t>if you are working from a previous edition and have no visual documentation of an entire inscription or a sizeable part of one, then the text should not be marked up as supplied at all; instead, treat it as a regular part of the edition and clarify the situation in your commentary</w:t>
      </w:r>
    </w:p>
    <w:p>
      <w:pPr>
        <w:pStyle w:val="Cmsor2"/>
      </w:pPr>
      <w:bookmarkStart w:id="524" w:name="_Ref228460110"/>
      <w:r>
        <w:t>Lacunae</w:t>
      </w:r>
      <w:bookmarkEnd w:id="514"/>
      <w:bookmarkEnd w:id="524"/>
    </w:p>
    <w:p>
      <w:pPr>
        <w:pStyle w:val="Cmsor3"/>
      </w:pPr>
      <w:bookmarkStart w:id="525" w:name="_lo8gk73ax0q" w:colFirst="0" w:colLast="0"/>
      <w:bookmarkStart w:id="526" w:name="_Ref228888638"/>
      <w:bookmarkStart w:id="527" w:name="_Toc242976646"/>
      <w:bookmarkEnd w:id="525"/>
      <w:r>
        <w:t>Encoding lacunae</w:t>
      </w:r>
      <w:bookmarkEnd w:id="526"/>
      <w:bookmarkEnd w:id="527"/>
    </w:p>
    <w:p>
      <w:r>
        <w:t xml:space="preserve">To encode a lacuna, i.e. a stretch where your edition contains no text because the source could not be read at all and could not be restored even tentatively, use the element </w:t>
      </w:r>
      <w:r>
        <w:rPr>
          <w:rStyle w:val="Code"/>
        </w:rPr>
        <w:t>&lt;gap&gt;</w:t>
      </w:r>
      <w:r>
        <w:t xml:space="preserve">. </w:t>
      </w:r>
    </w:p>
    <w:p>
      <w:pPr>
        <w:pStyle w:val="Lista"/>
      </w:pPr>
      <w:r>
        <w:lastRenderedPageBreak/>
        <w:t xml:space="preserve">use </w:t>
      </w:r>
      <w:r>
        <w:rPr>
          <w:rStyle w:val="Code"/>
        </w:rPr>
        <w:t>&lt;gap&gt;</w:t>
      </w:r>
      <w:r>
        <w:t xml:space="preserve"> for lacunae</w:t>
      </w:r>
      <w:r>
        <w:rPr>
          <w:rStyle w:val="Lbjegyzet-hivatkozs"/>
        </w:rPr>
        <w:footnoteReference w:id="29"/>
      </w:r>
      <w:r>
        <w:t xml:space="preserve"> with the following attributes</w:t>
      </w:r>
    </w:p>
    <w:p>
      <w:pPr>
        <w:pStyle w:val="Lista2"/>
      </w:pPr>
      <w:r>
        <w:t xml:space="preserve">mandatorily, </w:t>
      </w:r>
      <w:r>
        <w:rPr>
          <w:rStyle w:val="Codeattribute"/>
        </w:rPr>
        <w:t>@reason</w:t>
      </w:r>
      <w:r>
        <w:t xml:space="preserve"> as per §</w:t>
      </w:r>
      <w:r>
        <w:fldChar w:fldCharType="begin"/>
      </w:r>
      <w:r>
        <w:instrText xml:space="preserve"> REF _Ref43987758 \r \h </w:instrText>
      </w:r>
      <w:r>
        <w:fldChar w:fldCharType="separate"/>
      </w:r>
      <w:r>
        <w:t>6.5.1.1</w:t>
      </w:r>
      <w:r>
        <w:fldChar w:fldCharType="end"/>
      </w:r>
    </w:p>
    <w:p>
      <w:pPr>
        <w:pStyle w:val="Lista2"/>
      </w:pPr>
      <w:r>
        <w:t xml:space="preserve">mandatorily, </w:t>
      </w:r>
      <w:r>
        <w:rPr>
          <w:rStyle w:val="Codeattribute"/>
        </w:rPr>
        <w:t>@unit</w:t>
      </w:r>
      <w:r>
        <w:t xml:space="preserve"> combined with either </w:t>
      </w:r>
      <w:r>
        <w:rPr>
          <w:rStyle w:val="Codeattribute"/>
        </w:rPr>
        <w:t>@extent</w:t>
      </w:r>
      <w:r>
        <w:t xml:space="preserve"> or </w:t>
      </w:r>
      <w:r>
        <w:rPr>
          <w:rStyle w:val="Codeattribute"/>
        </w:rPr>
        <w:t>@quantity</w:t>
      </w:r>
      <w:r>
        <w:t xml:space="preserve"> as per §</w:t>
      </w:r>
      <w:r>
        <w:fldChar w:fldCharType="begin"/>
      </w:r>
      <w:r>
        <w:instrText xml:space="preserve"> REF _Ref228262228 \r \h </w:instrText>
      </w:r>
      <w:r>
        <w:fldChar w:fldCharType="separate"/>
      </w:r>
      <w:r>
        <w:t>6.5.1.2</w:t>
      </w:r>
      <w:r>
        <w:fldChar w:fldCharType="end"/>
      </w:r>
    </w:p>
    <w:p>
      <w:pPr>
        <w:pStyle w:val="Lista2"/>
      </w:pPr>
      <w:r>
        <w:t xml:space="preserve">as applicable, </w:t>
      </w:r>
      <w:r>
        <w:rPr>
          <w:rStyle w:val="Codeattribute"/>
        </w:rPr>
        <w:t>@precision</w:t>
      </w:r>
      <w:r>
        <w:t xml:space="preserve"> as per §</w:t>
      </w:r>
      <w:r>
        <w:fldChar w:fldCharType="begin"/>
      </w:r>
      <w:r>
        <w:instrText xml:space="preserve"> REF _Ref228262228 \r \h </w:instrText>
      </w:r>
      <w:r>
        <w:fldChar w:fldCharType="separate"/>
      </w:r>
      <w:r>
        <w:t>6.5.1.2</w:t>
      </w:r>
      <w:r>
        <w:fldChar w:fldCharType="end"/>
      </w:r>
    </w:p>
    <w:p>
      <w:pPr>
        <w:pStyle w:val="Lista"/>
      </w:pPr>
      <w:r>
        <w:t>since a gap is, by definition, a point where text is not available, this element can never contain text</w:t>
      </w:r>
    </w:p>
    <w:p>
      <w:pPr>
        <w:pStyle w:val="Lista2"/>
      </w:pPr>
      <w:r>
        <w:t xml:space="preserve">restored lacunae must be encoded with </w:t>
      </w:r>
      <w:r>
        <w:rPr>
          <w:rStyle w:val="Code"/>
        </w:rPr>
        <w:t>&lt;supplied&gt;</w:t>
      </w:r>
      <w:r>
        <w:t xml:space="preserve"> rather than with </w:t>
      </w:r>
      <w:r>
        <w:rPr>
          <w:rStyle w:val="Code"/>
        </w:rPr>
        <w:t>&lt;gap&gt;</w:t>
      </w:r>
      <w:r>
        <w:t>, as per §</w:t>
      </w:r>
      <w:r>
        <w:fldChar w:fldCharType="begin"/>
      </w:r>
      <w:r>
        <w:instrText xml:space="preserve"> REF _Ref228459751 \r \h </w:instrText>
      </w:r>
      <w:r>
        <w:fldChar w:fldCharType="separate"/>
      </w:r>
      <w:r>
        <w:t>6.4</w:t>
      </w:r>
      <w:r>
        <w:fldChar w:fldCharType="end"/>
      </w:r>
    </w:p>
    <w:p>
      <w:pPr>
        <w:pStyle w:val="Lista2"/>
      </w:pPr>
      <w:r>
        <w:t xml:space="preserve">partially restored lacunae must be encoded as independent </w:t>
      </w:r>
      <w:r>
        <w:rPr>
          <w:rStyle w:val="Code"/>
        </w:rPr>
        <w:t>&lt;gap&gt;</w:t>
      </w:r>
      <w:r>
        <w:t xml:space="preserve"> and </w:t>
      </w:r>
      <w:r>
        <w:rPr>
          <w:rStyle w:val="Code"/>
        </w:rPr>
        <w:t>&lt;supplied&gt;</w:t>
      </w:r>
      <w:r>
        <w:t xml:space="preserve"> elements</w:t>
      </w:r>
    </w:p>
    <w:p>
      <w:pPr>
        <w:pStyle w:val="Lista3"/>
      </w:pPr>
      <w:r>
        <w:t xml:space="preserve">e.g. </w:t>
      </w:r>
      <w:r>
        <w:rPr>
          <w:rStyle w:val="Codetext"/>
        </w:rPr>
        <w:t>gudrahāra-vi</w:t>
      </w:r>
      <w:r>
        <w:rPr>
          <w:rStyle w:val="Code"/>
        </w:rPr>
        <w:t xml:space="preserve">&lt;supplied </w:t>
      </w:r>
      <w:r>
        <w:rPr>
          <w:rStyle w:val="Codeattribute"/>
        </w:rPr>
        <w:t>reason=</w:t>
      </w:r>
      <w:r>
        <w:rPr>
          <w:rStyle w:val="Codevalue"/>
        </w:rPr>
        <w:t>"lost"</w:t>
      </w:r>
      <w:r>
        <w:rPr>
          <w:rStyle w:val="Code"/>
        </w:rPr>
        <w:t>&gt;</w:t>
      </w:r>
      <w:r>
        <w:rPr>
          <w:rStyle w:val="Codetext"/>
        </w:rPr>
        <w:t>ṣaye</w:t>
      </w:r>
      <w:r>
        <w:rPr>
          <w:rStyle w:val="Code"/>
        </w:rPr>
        <w:t xml:space="preserve">&lt;/supplied&gt; &lt;gap </w:t>
      </w:r>
      <w:r>
        <w:rPr>
          <w:rStyle w:val="Codeattribute"/>
        </w:rPr>
        <w:t>reason=</w:t>
      </w:r>
      <w:r>
        <w:rPr>
          <w:rStyle w:val="Codevalue"/>
        </w:rPr>
        <w:t>"lost"</w:t>
      </w:r>
      <w:r>
        <w:rPr>
          <w:rStyle w:val="Code"/>
        </w:rPr>
        <w:t xml:space="preserve"> </w:t>
      </w:r>
      <w:r>
        <w:rPr>
          <w:rStyle w:val="Codeattribute"/>
        </w:rPr>
        <w:t>quantity=</w:t>
      </w:r>
      <w:r>
        <w:rPr>
          <w:rStyle w:val="Codevalue"/>
        </w:rPr>
        <w:t>"2"</w:t>
      </w:r>
      <w:r>
        <w:rPr>
          <w:rStyle w:val="Code"/>
        </w:rPr>
        <w:t xml:space="preserve"> </w:t>
      </w:r>
      <w:r>
        <w:rPr>
          <w:rStyle w:val="Codeattribute"/>
        </w:rPr>
        <w:t>unit=</w:t>
      </w:r>
      <w:r>
        <w:rPr>
          <w:rStyle w:val="Codevalue"/>
        </w:rPr>
        <w:t>"character"</w:t>
      </w:r>
      <w:r>
        <w:rPr>
          <w:rStyle w:val="Code"/>
        </w:rPr>
        <w:t xml:space="preserve"> </w:t>
      </w:r>
      <w:r>
        <w:rPr>
          <w:rStyle w:val="Codeattribute"/>
        </w:rPr>
        <w:t>precision=</w:t>
      </w:r>
      <w:r>
        <w:rPr>
          <w:rStyle w:val="Codevalue"/>
        </w:rPr>
        <w:t>"low"</w:t>
      </w:r>
      <w:r>
        <w:rPr>
          <w:rStyle w:val="Code"/>
        </w:rPr>
        <w:t>/&gt;</w:t>
      </w:r>
    </w:p>
    <w:p>
      <w:pPr>
        <w:pStyle w:val="Lista2"/>
      </w:pPr>
      <w:r>
        <w:t xml:space="preserve">the </w:t>
      </w:r>
      <w:r>
        <w:rPr>
          <w:rStyle w:val="Code"/>
        </w:rPr>
        <w:t>&lt;gap&gt;</w:t>
      </w:r>
      <w:r>
        <w:t xml:space="preserve"> element is thus usually empty (</w:t>
      </w:r>
      <w:r>
        <w:rPr>
          <w:rStyle w:val="Code"/>
        </w:rPr>
        <w:t>&lt;gap/&gt;</w:t>
      </w:r>
      <w:r>
        <w:t>), but it may contain another empty element when the existence of a lacuna is uncertain, as per §</w:t>
      </w:r>
      <w:r>
        <w:fldChar w:fldCharType="begin"/>
      </w:r>
      <w:r>
        <w:instrText xml:space="preserve"> REF _Ref228262561 \r \h </w:instrText>
      </w:r>
      <w:r>
        <w:fldChar w:fldCharType="separate"/>
      </w:r>
      <w:r>
        <w:t>6.5.3.3</w:t>
      </w:r>
      <w:r>
        <w:fldChar w:fldCharType="end"/>
      </w:r>
    </w:p>
    <w:p>
      <w:pPr>
        <w:pStyle w:val="Lista"/>
      </w:pPr>
      <w:r>
        <w:rPr>
          <w:rStyle w:val="Code"/>
        </w:rPr>
        <w:t>&lt;gap&gt;</w:t>
      </w:r>
      <w:r>
        <w:t xml:space="preserve"> elements, where they are adjacent to extant or restored text, should normally be separated from text by a space unless you are reasonably confident that the lacuna included part of a word whose other part is preserved or restored outside the lacuna, in which case the text should precede or follow the </w:t>
      </w:r>
      <w:r>
        <w:rPr>
          <w:rStyle w:val="Code"/>
        </w:rPr>
        <w:t>&lt;gap&gt;</w:t>
      </w:r>
      <w:r>
        <w:t xml:space="preserve"> element without an intervening space</w:t>
      </w:r>
    </w:p>
    <w:p>
      <w:pPr>
        <w:pStyle w:val="Lista2"/>
      </w:pPr>
      <w:r>
        <w:t>by convention we shall take a lacuna encoded without an intervening space as a definite indicator of an editorial hypothesis that the word preserved adjacent to the lacuna is not complete</w:t>
      </w:r>
    </w:p>
    <w:p>
      <w:pPr>
        <w:pStyle w:val="Lista2"/>
      </w:pPr>
      <w:r>
        <w:t>whereas a lacuna encoded with an intervening space will not be regarded to imply any hypothesis about the completeness or incompleteness of the preserved word</w:t>
      </w:r>
    </w:p>
    <w:p>
      <w:pPr>
        <w:pStyle w:val="Cmsor4"/>
      </w:pPr>
      <w:bookmarkStart w:id="528" w:name="_hxyhjj6qtlem" w:colFirst="0" w:colLast="0"/>
      <w:bookmarkStart w:id="529" w:name="_Ref43987758"/>
      <w:bookmarkEnd w:id="528"/>
      <w:r>
        <w:t>The reason for lacunae: illegible or lost</w:t>
      </w:r>
      <w:bookmarkEnd w:id="529"/>
    </w:p>
    <w:p>
      <w:r>
        <w:t xml:space="preserve">In alignment with EpiDoc convention, we make a distinction between lacunae resulting from the total loss of the original writing and those where the writing is present at least in a vestigial form but cannot be read even tentatively. This distinction is encoded in the attribute </w:t>
      </w:r>
      <w:r>
        <w:rPr>
          <w:rStyle w:val="Codeattribute"/>
        </w:rPr>
        <w:t>@reason</w:t>
      </w:r>
      <w:r>
        <w:t>, which can take the following values for lacunae.</w:t>
      </w:r>
    </w:p>
    <w:p>
      <w:pPr>
        <w:pStyle w:val="Lista"/>
      </w:pPr>
      <w:r>
        <w:rPr>
          <w:rStyle w:val="Codevalue"/>
        </w:rPr>
        <w:t>"lost"</w:t>
      </w:r>
      <w:r>
        <w:t xml:space="preserve"> where parts of the support are altogether gone, or where the support itself is extant, but its surface has peeled off so that not even the faintest traces of writing remain</w:t>
      </w:r>
    </w:p>
    <w:p>
      <w:pPr>
        <w:pStyle w:val="Lista"/>
      </w:pPr>
      <w:r>
        <w:rPr>
          <w:rStyle w:val="Codevalue"/>
        </w:rPr>
        <w:t>"illegible"</w:t>
      </w:r>
      <w:r>
        <w:t xml:space="preserve"> where the inscribed text cannot be read at all, but the support is extant and vestiges of writing remain </w:t>
      </w:r>
      <w:r>
        <w:rPr>
          <w:noProof/>
        </w:rPr>
        <w:t>(</w:t>
      </w:r>
      <w:r>
        <w:t>i.e. there is a chance, however narrow, that with new insights, technological advances or sheer luck, some of the text can be recovered)</w:t>
      </w:r>
    </w:p>
    <w:p>
      <w:pPr>
        <w:pStyle w:val="Lista"/>
      </w:pPr>
      <w:r>
        <w:rPr>
          <w:rStyle w:val="Codevalue"/>
        </w:rPr>
        <w:t>"undefined"</w:t>
      </w:r>
      <w:r>
        <w:t xml:space="preserve"> where it is impossible to make the above distinction for a certain lacuna, to be used if and only if </w:t>
      </w:r>
    </w:p>
    <w:p>
      <w:pPr>
        <w:pStyle w:val="Lista2"/>
      </w:pPr>
      <w:r>
        <w:t>you are encoding your digital edition (or an apparatus reading) from a printed edition without access to the original inscription or a visual representation of it</w:t>
      </w:r>
    </w:p>
    <w:p>
      <w:pPr>
        <w:pStyle w:val="Lista2"/>
      </w:pPr>
      <w:r>
        <w:rPr>
          <w:rStyle w:val="Foreign"/>
        </w:rPr>
        <w:t>and</w:t>
      </w:r>
      <w:r>
        <w:t xml:space="preserve"> the previous editor gives no indication whether a lacuna is illegible or wholly lost</w:t>
      </w:r>
    </w:p>
    <w:p>
      <w:pPr>
        <w:pStyle w:val="Lista2"/>
      </w:pPr>
      <w:r>
        <w:rPr>
          <w:rStyle w:val="Foreign"/>
        </w:rPr>
        <w:t>and</w:t>
      </w:r>
      <w:r>
        <w:t xml:space="preserve"> you cannot make a reasonable guess as to which of these was the case when the previous editor did their work</w:t>
      </w:r>
    </w:p>
    <w:p>
      <w:pPr>
        <w:pStyle w:val="Lista"/>
      </w:pPr>
      <w:r>
        <w:t xml:space="preserve">in addition to the above three, the values </w:t>
      </w:r>
      <w:r>
        <w:rPr>
          <w:rStyle w:val="Codevalue"/>
        </w:rPr>
        <w:t>"omitted"</w:t>
      </w:r>
      <w:r>
        <w:t xml:space="preserve"> and </w:t>
      </w:r>
      <w:r>
        <w:rPr>
          <w:rStyle w:val="Codevalue"/>
        </w:rPr>
        <w:t>"ellipsis"</w:t>
      </w:r>
      <w:r>
        <w:t xml:space="preserve"> are permitted in contexts other than lacunae (§</w:t>
      </w:r>
      <w:r>
        <w:fldChar w:fldCharType="begin"/>
      </w:r>
      <w:r>
        <w:instrText xml:space="preserve"> REF _Ref63674857 \r \h </w:instrText>
      </w:r>
      <w:r>
        <w:fldChar w:fldCharType="separate"/>
      </w:r>
      <w:r>
        <w:t>7.7</w:t>
      </w:r>
      <w:r>
        <w:fldChar w:fldCharType="end"/>
      </w:r>
      <w:r>
        <w:t>, §</w:t>
      </w:r>
      <w:r>
        <w:fldChar w:fldCharType="begin"/>
      </w:r>
      <w:r>
        <w:instrText xml:space="preserve"> REF _Ref61250887 \r \h </w:instrText>
      </w:r>
      <w:r>
        <w:fldChar w:fldCharType="separate"/>
      </w:r>
      <w:r>
        <w:t>10.3</w:t>
      </w:r>
      <w:r>
        <w:fldChar w:fldCharType="end"/>
      </w:r>
      <w:r>
        <w:t>, §</w:t>
      </w:r>
      <w:r>
        <w:fldChar w:fldCharType="begin"/>
      </w:r>
      <w:r>
        <w:instrText xml:space="preserve"> REF _Ref43990112 \r \h </w:instrText>
      </w:r>
      <w:r>
        <w:fldChar w:fldCharType="separate"/>
      </w:r>
      <w:r>
        <w:t>11.4.3</w:t>
      </w:r>
      <w:r>
        <w:fldChar w:fldCharType="end"/>
      </w:r>
      <w:r>
        <w:t>)</w:t>
      </w:r>
    </w:p>
    <w:p>
      <w:pPr>
        <w:pStyle w:val="Cmsor4"/>
      </w:pPr>
      <w:bookmarkStart w:id="530" w:name="_Ref228262228"/>
      <w:r>
        <w:t>The size of lacunae</w:t>
      </w:r>
      <w:bookmarkEnd w:id="530"/>
    </w:p>
    <w:p>
      <w:pPr>
        <w:rPr>
          <w:lang w:eastAsia="en-US" w:bidi="ar-SA"/>
        </w:rPr>
      </w:pPr>
      <w:r>
        <w:rPr>
          <w:lang w:eastAsia="en-US" w:bidi="ar-SA"/>
        </w:rPr>
        <w:t>The size of a lacuna must be encoded through a combination of attributes. The relevant attributes and their permitted values are introduced here, while the following subsections on managing various kinds of lacunae will give specific instructions for their use in different situations.</w:t>
      </w:r>
    </w:p>
    <w:p>
      <w:pPr>
        <w:pStyle w:val="Lista"/>
      </w:pPr>
      <w:r>
        <w:rPr>
          <w:rStyle w:val="Codeattribute"/>
        </w:rPr>
        <w:t>@unit</w:t>
      </w:r>
      <w:r>
        <w:t xml:space="preserve"> is mandatory for all lacunae in DHARMA practice</w:t>
      </w:r>
      <w:r>
        <w:rPr>
          <w:rStyle w:val="Lbjegyzet-hivatkozs"/>
        </w:rPr>
        <w:footnoteReference w:id="30"/>
      </w:r>
      <w:r>
        <w:t xml:space="preserve"> and indicates the unit in which the size of a lacuna is recorded, with the following possible values</w:t>
      </w:r>
    </w:p>
    <w:p>
      <w:pPr>
        <w:pStyle w:val="Lista2"/>
      </w:pPr>
      <w:r>
        <w:rPr>
          <w:rStyle w:val="Codevalue"/>
        </w:rPr>
        <w:t>"character"</w:t>
      </w:r>
      <w:r>
        <w:t xml:space="preserve"> for lacunae measured by the number of lost </w:t>
      </w:r>
      <w:r>
        <w:rPr>
          <w:rStyle w:val="Foreign"/>
        </w:rPr>
        <w:t>akṣara</w:t>
      </w:r>
      <w:r>
        <w:rPr>
          <w:rStyle w:val="Foreign"/>
          <w:i w:val="0"/>
          <w:iCs w:val="0"/>
        </w:rPr>
        <w:t>s</w:t>
      </w:r>
      <w:r>
        <w:t>, which may be</w:t>
      </w:r>
    </w:p>
    <w:p>
      <w:pPr>
        <w:pStyle w:val="Lista3"/>
      </w:pPr>
      <w:r>
        <w:lastRenderedPageBreak/>
        <w:t>calculated fairly precisely, when</w:t>
      </w:r>
    </w:p>
    <w:p>
      <w:pPr>
        <w:pStyle w:val="Lista4"/>
      </w:pPr>
      <w:r>
        <w:t xml:space="preserve">the text is in syllabic verse which lets you determine the number of </w:t>
      </w:r>
      <w:r>
        <w:rPr>
          <w:rStyle w:val="Foreign"/>
        </w:rPr>
        <w:t>akṣara</w:t>
      </w:r>
      <w:r>
        <w:rPr>
          <w:noProof/>
        </w:rPr>
        <w:t>s</w:t>
      </w:r>
      <w:r>
        <w:t xml:space="preserve"> lost </w:t>
      </w:r>
      <w:r>
        <w:rPr>
          <w:noProof/>
        </w:rPr>
        <w:t>(</w:t>
      </w:r>
      <w:r>
        <w:t>give or take a few potential final consonants and/or punctuation marks)</w:t>
      </w:r>
    </w:p>
    <w:p>
      <w:pPr>
        <w:pStyle w:val="Lista4"/>
      </w:pPr>
      <w:r>
        <w:t>although the glyphs are damaged beyond recognition, their headmarks or outlines can nonetheless be counted with a very small margin for error</w:t>
      </w:r>
    </w:p>
    <w:p>
      <w:pPr>
        <w:pStyle w:val="Lista3"/>
      </w:pPr>
      <w:r>
        <w:t xml:space="preserve">estimated approximately (adding </w:t>
      </w:r>
      <w:r>
        <w:rPr>
          <w:rStyle w:val="Codeattribute"/>
        </w:rPr>
        <w:t>@precision</w:t>
      </w:r>
      <w:r>
        <w:t>, see below), for example when</w:t>
      </w:r>
    </w:p>
    <w:p>
      <w:pPr>
        <w:pStyle w:val="Lista4"/>
      </w:pPr>
      <w:r>
        <w:t>you can count the number of characters in an adjacent line for a span of the same width as that of the lacuna</w:t>
      </w:r>
    </w:p>
    <w:p>
      <w:pPr>
        <w:pStyle w:val="Lista4"/>
      </w:pPr>
      <w:r>
        <w:t>the text is in quantitative verse, and you estimate the number of syllables lost on the basis of the number of morae missing from the verse</w:t>
      </w:r>
      <w:r>
        <w:rPr>
          <w:rStyle w:val="Lbjegyzet-hivatkozs"/>
        </w:rPr>
        <w:footnoteReference w:id="31"/>
      </w:r>
    </w:p>
    <w:p>
      <w:pPr>
        <w:pStyle w:val="Lista2"/>
      </w:pPr>
      <w:r>
        <w:rPr>
          <w:rStyle w:val="Codevalue"/>
        </w:rPr>
        <w:t>"component"</w:t>
      </w:r>
      <w:r>
        <w:t xml:space="preserve"> for lacunae measured by the number of lost character components</w:t>
      </w:r>
    </w:p>
    <w:p>
      <w:pPr>
        <w:pStyle w:val="Lista3"/>
      </w:pPr>
      <w:r>
        <w:t>this unit is for use in lacunae affecting only a specific part of a glyph (§</w:t>
      </w:r>
      <w:r>
        <w:fldChar w:fldCharType="begin"/>
      </w:r>
      <w:r>
        <w:instrText xml:space="preserve"> REF _Ref43987049 \r \h </w:instrText>
      </w:r>
      <w:r>
        <w:fldChar w:fldCharType="separate"/>
      </w:r>
      <w:r>
        <w:t>6.5.2.4</w:t>
      </w:r>
      <w:r>
        <w:fldChar w:fldCharType="end"/>
      </w:r>
      <w:r>
        <w:t>)</w:t>
      </w:r>
    </w:p>
    <w:p>
      <w:pPr>
        <w:pStyle w:val="Lista2"/>
      </w:pPr>
      <w:r>
        <w:rPr>
          <w:rStyle w:val="Codevalue"/>
        </w:rPr>
        <w:t>"line"</w:t>
      </w:r>
      <w:r>
        <w:t xml:space="preserve"> for lacunae measured by the number of lost inscribed lines (§</w:t>
      </w:r>
      <w:r>
        <w:fldChar w:fldCharType="begin"/>
      </w:r>
      <w:r>
        <w:instrText xml:space="preserve"> REF _Ref224720139 \r \h </w:instrText>
      </w:r>
      <w:r>
        <w:fldChar w:fldCharType="separate"/>
      </w:r>
      <w:r>
        <w:t>4.5</w:t>
      </w:r>
      <w:r>
        <w:fldChar w:fldCharType="end"/>
      </w:r>
      <w:r>
        <w:t>)</w:t>
      </w:r>
    </w:p>
    <w:p>
      <w:pPr>
        <w:pStyle w:val="Lista3"/>
      </w:pPr>
      <w:r>
        <w:t>lost lines may be counted accurately or estimated</w:t>
      </w:r>
    </w:p>
    <w:p>
      <w:pPr>
        <w:pStyle w:val="Lista"/>
      </w:pPr>
      <w:r>
        <w:t xml:space="preserve">in addition to </w:t>
      </w:r>
      <w:r>
        <w:rPr>
          <w:rStyle w:val="Codeattribute"/>
        </w:rPr>
        <w:t>@unit</w:t>
      </w:r>
      <w:r>
        <w:t>, another mandatory attribute specifies the size of the lacuna in the recorded units</w:t>
      </w:r>
    </w:p>
    <w:p>
      <w:pPr>
        <w:pStyle w:val="Lista2"/>
      </w:pPr>
      <w:r>
        <w:t xml:space="preserve">in all cases where the number of lost units can be counted or estimated, this attribute is </w:t>
      </w:r>
      <w:r>
        <w:rPr>
          <w:rStyle w:val="Codeattribute"/>
        </w:rPr>
        <w:t>@quantity</w:t>
      </w:r>
      <w:r>
        <w:t>, whose value must be an integer number</w:t>
      </w:r>
    </w:p>
    <w:p>
      <w:pPr>
        <w:pStyle w:val="Lista2"/>
        <w:rPr>
          <w:rStyle w:val="Codeattribute"/>
          <w:rFonts w:ascii="Gentium" w:hAnsi="Gentium" w:cs="Tiro Devanagari Sanskrit"/>
          <w:noProof w:val="0"/>
          <w:color w:val="auto"/>
          <w:shd w:val="clear" w:color="auto" w:fill="auto"/>
        </w:rPr>
      </w:pPr>
      <w:r>
        <w:t xml:space="preserve">when the size of the lacuna cannot be quantified, it must be encoded with the attribute </w:t>
      </w:r>
      <w:r>
        <w:rPr>
          <w:rStyle w:val="Codeattribute"/>
        </w:rPr>
        <w:t>@extent</w:t>
      </w:r>
      <w:r>
        <w:t xml:space="preserve"> and the value </w:t>
      </w:r>
      <w:r>
        <w:rPr>
          <w:rStyle w:val="Codevalue"/>
        </w:rPr>
        <w:t>"unknown"</w:t>
      </w:r>
    </w:p>
    <w:p>
      <w:pPr>
        <w:pStyle w:val="Lista"/>
      </w:pPr>
      <w:r>
        <w:t xml:space="preserve">when the size of a lacuna is recorded in terms of quantity, but the number encoded in that attribute is approximate, add the attribute </w:t>
      </w:r>
      <w:r>
        <w:rPr>
          <w:rStyle w:val="Codeattribute"/>
        </w:rPr>
        <w:t>@precision</w:t>
      </w:r>
      <w:r>
        <w:t xml:space="preserve"> with the value </w:t>
      </w:r>
      <w:r>
        <w:rPr>
          <w:rStyle w:val="Codevalue"/>
        </w:rPr>
        <w:t>"low"</w:t>
      </w:r>
    </w:p>
    <w:p>
      <w:pPr>
        <w:pStyle w:val="Lista2"/>
      </w:pPr>
      <w:r>
        <w:t>as a rule of thumb, low precision should be indicated when the estimated quantity of a lacuna is likely to have an error margin below 20%</w:t>
      </w:r>
    </w:p>
    <w:p>
      <w:pPr>
        <w:pStyle w:val="Lista3"/>
      </w:pPr>
      <w:r>
        <w:t>if even this level of accuracy is unattainable, then encoding an unknown extent is preferable</w:t>
      </w:r>
    </w:p>
    <w:p>
      <w:pPr>
        <w:pStyle w:val="Lista2"/>
      </w:pPr>
      <w:r>
        <w:t>although TEI affords the facility to do so, in DHARMA practice we do not encode any other degrees of precision, nor use minimum and maximum possible values for the length of a lacuna</w:t>
      </w:r>
    </w:p>
    <w:p>
      <w:pPr>
        <w:pStyle w:val="Cmsor3"/>
      </w:pPr>
      <w:bookmarkStart w:id="531" w:name="_qo376k1007h" w:colFirst="0" w:colLast="0"/>
      <w:bookmarkStart w:id="532" w:name="_Ref43988016"/>
      <w:bookmarkStart w:id="533" w:name="_Toc242976647"/>
      <w:bookmarkEnd w:id="531"/>
      <w:r>
        <w:t>Managing inline lacunae</w:t>
      </w:r>
      <w:bookmarkEnd w:id="532"/>
      <w:bookmarkEnd w:id="533"/>
    </w:p>
    <w:p>
      <w:pPr>
        <w:rPr>
          <w:lang w:eastAsia="en-US" w:bidi="ar-SA"/>
        </w:rPr>
      </w:pPr>
      <w:r>
        <w:rPr>
          <w:lang w:eastAsia="en-US" w:bidi="ar-SA"/>
        </w:rPr>
        <w:t xml:space="preserve">Most lacunae are inline, meaning that they can be encoded as gap elements on the same level as the text, while the encoding for the extrinsic structure of the text, including line beginnings </w:t>
      </w:r>
      <w:r>
        <w:rPr>
          <w:noProof/>
        </w:rPr>
        <w:t>(</w:t>
      </w:r>
      <w:r>
        <w:t>§</w:t>
      </w:r>
      <w:r>
        <w:fldChar w:fldCharType="begin"/>
      </w:r>
      <w:r>
        <w:instrText xml:space="preserve"> REF _Ref43980100 \r \h </w:instrText>
      </w:r>
      <w:r>
        <w:fldChar w:fldCharType="separate"/>
      </w:r>
      <w:r>
        <w:t>4.5.1</w:t>
      </w:r>
      <w:r>
        <w:fldChar w:fldCharType="end"/>
      </w:r>
      <w:r>
        <w:t>)</w:t>
      </w:r>
      <w:r>
        <w:rPr>
          <w:lang w:eastAsia="en-US" w:bidi="ar-SA"/>
        </w:rPr>
        <w:t>, can be established without regard for the lacuna. Whenever feasible, lacunae should be encoded as inline features.</w:t>
      </w:r>
    </w:p>
    <w:p>
      <w:pPr>
        <w:pStyle w:val="Lista"/>
      </w:pPr>
      <w:r>
        <w:t xml:space="preserve">inline lacunae shall be encoded with a </w:t>
      </w:r>
      <w:r>
        <w:rPr>
          <w:rStyle w:val="Code"/>
        </w:rPr>
        <w:t>&lt;gap/&gt;</w:t>
      </w:r>
      <w:r>
        <w:t xml:space="preserve"> element at the same level of the encoding hierarchy as the text, with the following attributes</w:t>
      </w:r>
    </w:p>
    <w:p>
      <w:pPr>
        <w:pStyle w:val="Lista2"/>
      </w:pPr>
      <w:r>
        <w:t xml:space="preserve">mandatorily, </w:t>
      </w:r>
      <w:r>
        <w:rPr>
          <w:rStyle w:val="Codeattribute"/>
        </w:rPr>
        <w:t>@reason</w:t>
      </w:r>
      <w:r>
        <w:t xml:space="preserve"> as per §</w:t>
      </w:r>
      <w:r>
        <w:fldChar w:fldCharType="begin"/>
      </w:r>
      <w:r>
        <w:instrText xml:space="preserve"> REF _Ref43987758 \r \h </w:instrText>
      </w:r>
      <w:r>
        <w:fldChar w:fldCharType="separate"/>
      </w:r>
      <w:r>
        <w:t>6.5.1.1</w:t>
      </w:r>
      <w:r>
        <w:fldChar w:fldCharType="end"/>
      </w:r>
    </w:p>
    <w:p>
      <w:pPr>
        <w:pStyle w:val="Lista2"/>
      </w:pPr>
      <w:r>
        <w:t>mandatorily, a size measurement in units of characters and a quantity or extent, with precision encoded if applicable, as per §</w:t>
      </w:r>
      <w:r>
        <w:fldChar w:fldCharType="begin"/>
      </w:r>
      <w:r>
        <w:instrText xml:space="preserve"> REF _Ref228262228 \r \h </w:instrText>
      </w:r>
      <w:r>
        <w:fldChar w:fldCharType="separate"/>
      </w:r>
      <w:r>
        <w:t>6.5.1.2</w:t>
      </w:r>
      <w:r>
        <w:fldChar w:fldCharType="end"/>
      </w:r>
    </w:p>
    <w:p>
      <w:pPr>
        <w:pStyle w:val="Lista2"/>
        <w:rPr>
          <w:rStyle w:val="Code"/>
          <w:rFonts w:ascii="Gentium" w:hAnsi="Gentium" w:cs="Tiro Devanagari Sanskrit"/>
          <w:noProof w:val="0"/>
          <w:color w:val="auto"/>
          <w:shd w:val="clear" w:color="auto" w:fill="auto"/>
        </w:rPr>
      </w:pPr>
      <w:r>
        <w:t xml:space="preserve">e.g. </w:t>
      </w:r>
      <w:r>
        <w:rPr>
          <w:rStyle w:val="Code"/>
        </w:rPr>
        <w:t xml:space="preserve">&lt;gap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"7"</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w:t>
      </w:r>
    </w:p>
    <w:p>
      <w:pPr>
        <w:pStyle w:val="Lista"/>
      </w:pPr>
      <w:r>
        <w:t>while encoding inline lacunae, the boundaries of extrinsic and intrinsic structural units must be respected, as discussed in §</w:t>
      </w:r>
      <w:r>
        <w:fldChar w:fldCharType="begin"/>
      </w:r>
      <w:r>
        <w:instrText xml:space="preserve"> REF _Ref228267816 \r \h </w:instrText>
      </w:r>
      <w:r>
        <w:fldChar w:fldCharType="separate"/>
      </w:r>
      <w:r>
        <w:t>6.5.2.1</w:t>
      </w:r>
      <w:r>
        <w:fldChar w:fldCharType="end"/>
      </w:r>
      <w:r>
        <w:t xml:space="preserve"> and §</w:t>
      </w:r>
      <w:r>
        <w:fldChar w:fldCharType="begin"/>
      </w:r>
      <w:r>
        <w:instrText xml:space="preserve"> REF _Ref228267821 \r \h </w:instrText>
      </w:r>
      <w:r>
        <w:fldChar w:fldCharType="separate"/>
      </w:r>
      <w:r>
        <w:t>6.5.2.2</w:t>
      </w:r>
      <w:r>
        <w:fldChar w:fldCharType="end"/>
      </w:r>
    </w:p>
    <w:p>
      <w:pPr>
        <w:pStyle w:val="Lista"/>
      </w:pPr>
      <w:r>
        <w:t>when the metrical structure of lost text is known, this must be encoded as per §</w:t>
      </w:r>
      <w:r>
        <w:fldChar w:fldCharType="begin"/>
      </w:r>
      <w:r>
        <w:instrText xml:space="preserve"> REF _Ref228267857 \r \h </w:instrText>
      </w:r>
      <w:r>
        <w:fldChar w:fldCharType="separate"/>
      </w:r>
      <w:r>
        <w:t>6.5.2.3</w:t>
      </w:r>
      <w:r>
        <w:fldChar w:fldCharType="end"/>
      </w:r>
    </w:p>
    <w:p>
      <w:pPr>
        <w:pStyle w:val="Cmsor4"/>
      </w:pPr>
      <w:bookmarkStart w:id="534" w:name="_Ref228267816"/>
      <w:r>
        <w:t>Inline lacunae and extrinsic structure</w:t>
      </w:r>
      <w:bookmarkEnd w:id="534"/>
    </w:p>
    <w:p>
      <w:r>
        <w:t>Since inline lacunae are at the same hierarchical level as the text, they are subordinate to physical lines (as well as to all higher levels of the extrinsic hierarchy, §</w:t>
      </w:r>
      <w:r>
        <w:fldChar w:fldCharType="begin"/>
      </w:r>
      <w:r>
        <w:instrText xml:space="preserve"> REF _Ref182923075 \r \h </w:instrText>
      </w:r>
      <w:r>
        <w:fldChar w:fldCharType="separate"/>
      </w:r>
      <w:r>
        <w:t>4.1</w:t>
      </w:r>
      <w:r>
        <w:fldChar w:fldCharType="end"/>
      </w:r>
      <w:r>
        <w:t>), with the following implications.</w:t>
      </w:r>
    </w:p>
    <w:p>
      <w:pPr>
        <w:pStyle w:val="Lista"/>
      </w:pPr>
      <w:r>
        <w:t>a physical line will usually contain text on one or both sides of the lacuna</w:t>
      </w:r>
    </w:p>
    <w:p>
      <w:pPr>
        <w:pStyle w:val="Lista2"/>
      </w:pPr>
      <w:r>
        <w:lastRenderedPageBreak/>
        <w:t>there is no explicit encoding method for lacunae from the beginning of a line to a certain point, or from a certain point to the end of a line, since this is clearly implied by the encoding of the lacuna and the line beginnings</w:t>
      </w:r>
    </w:p>
    <w:p>
      <w:pPr>
        <w:pStyle w:val="Lista3"/>
      </w:pPr>
      <w:r>
        <w:t xml:space="preserve">e.g. </w:t>
      </w:r>
      <w:r>
        <w:rPr>
          <w:rStyle w:val="Code"/>
        </w:rPr>
        <w:t xml:space="preserve">&lt;lb </w:t>
      </w:r>
      <w:r>
        <w:rPr>
          <w:rStyle w:val="Codeattribute"/>
        </w:rPr>
        <w:t>n=</w:t>
      </w:r>
      <w:r>
        <w:rPr>
          <w:rStyle w:val="Codevalue"/>
        </w:rPr>
        <w:t>"1"</w:t>
      </w:r>
      <w:r>
        <w:rPr>
          <w:rStyle w:val="Code"/>
        </w:rPr>
        <w:t>/&gt;</w:t>
      </w:r>
      <w:r>
        <w:rPr>
          <w:rStyle w:val="Codetext"/>
        </w:rPr>
        <w:t xml:space="preserve">śrīmad-asanapura-nivāsa </w:t>
      </w:r>
      <w:r>
        <w:rPr>
          <w:rStyle w:val="Code"/>
        </w:rPr>
        <w:t xml:space="preserve">&lt;gap </w:t>
      </w:r>
      <w:r>
        <w:rPr>
          <w:rStyle w:val="Codeattribute"/>
        </w:rPr>
        <w:t>reason=</w:t>
      </w:r>
      <w:r>
        <w:rPr>
          <w:rStyle w:val="Codevalue"/>
        </w:rPr>
        <w:t>"lost"</w:t>
      </w:r>
      <w:r>
        <w:rPr>
          <w:rStyle w:val="Code"/>
        </w:rPr>
        <w:t xml:space="preserve"> </w:t>
      </w:r>
      <w:r>
        <w:rPr>
          <w:rStyle w:val="Codeattribute"/>
        </w:rPr>
        <w:t>quantity=</w:t>
      </w:r>
      <w:r>
        <w:rPr>
          <w:rStyle w:val="Codevalue"/>
        </w:rPr>
        <w:t>"15"</w:t>
      </w:r>
      <w:r>
        <w:rPr>
          <w:rStyle w:val="Code"/>
        </w:rPr>
        <w:t xml:space="preserve"> </w:t>
      </w:r>
      <w:r>
        <w:rPr>
          <w:rStyle w:val="Codeattribute"/>
        </w:rPr>
        <w:t>unit=</w:t>
      </w:r>
      <w:r>
        <w:rPr>
          <w:rStyle w:val="Codevalue"/>
        </w:rPr>
        <w:t>"character"</w:t>
      </w:r>
      <w:r>
        <w:rPr>
          <w:rStyle w:val="Code"/>
        </w:rPr>
        <w:t xml:space="preserve"> </w:t>
      </w:r>
      <w:r>
        <w:rPr>
          <w:rStyle w:val="Codeattribute"/>
        </w:rPr>
        <w:t>precision=</w:t>
      </w:r>
      <w:r>
        <w:rPr>
          <w:rStyle w:val="Codevalue"/>
        </w:rPr>
        <w:t>"low"</w:t>
      </w:r>
      <w:r>
        <w:rPr>
          <w:rStyle w:val="Code"/>
        </w:rPr>
        <w:t xml:space="preserve">/&gt;&lt;lb </w:t>
      </w:r>
      <w:r>
        <w:rPr>
          <w:rStyle w:val="Codeattribute"/>
        </w:rPr>
        <w:t>n=</w:t>
      </w:r>
      <w:r>
        <w:rPr>
          <w:rStyle w:val="Codevalue"/>
        </w:rPr>
        <w:t>"2"</w:t>
      </w:r>
      <w:r>
        <w:rPr>
          <w:rStyle w:val="Code"/>
        </w:rPr>
        <w:t xml:space="preserve">/&gt; </w:t>
      </w:r>
    </w:p>
    <w:p>
      <w:pPr>
        <w:pStyle w:val="Lista"/>
      </w:pPr>
      <w:r>
        <w:t>each encoded lacuna is an independent entity: if a single area of damage or loss causes lacunae in more than one line, the encoding does not reflect that these lacunae are connected</w:t>
      </w:r>
    </w:p>
    <w:p>
      <w:pPr>
        <w:pStyle w:val="Lista"/>
      </w:pPr>
      <w:r>
        <w:t>when an entire line is lost or illegible, but it is certain that the line did once exist, the line beginning must be encoded normally, followed by an inline lacuna and no text</w:t>
      </w:r>
    </w:p>
    <w:p>
      <w:pPr>
        <w:pStyle w:val="Lista"/>
      </w:pPr>
      <w:r>
        <w:t>even when a small and precisely known number of lines are lost, it is preferable to encode line beginnings and inline lacunae for each (§</w:t>
      </w:r>
      <w:r>
        <w:rPr>
          <w:lang w:eastAsia="en-US" w:bidi="ar-SA"/>
        </w:rPr>
        <w:fldChar w:fldCharType="begin"/>
      </w:r>
      <w:r>
        <w:instrText xml:space="preserve"> REF _Ref228368995 \r \h </w:instrText>
      </w:r>
      <w:r>
        <w:rPr>
          <w:lang w:eastAsia="en-US" w:bidi="ar-SA"/>
        </w:rPr>
      </w:r>
      <w:r>
        <w:rPr>
          <w:lang w:eastAsia="en-US" w:bidi="ar-SA"/>
        </w:rPr>
        <w:fldChar w:fldCharType="separate"/>
      </w:r>
      <w:r>
        <w:t>6.5.3.1</w:t>
      </w:r>
      <w:r>
        <w:rPr>
          <w:lang w:eastAsia="en-US" w:bidi="ar-SA"/>
        </w:rPr>
        <w:fldChar w:fldCharType="end"/>
      </w:r>
      <w:r>
        <w:t>)</w:t>
      </w:r>
    </w:p>
    <w:p>
      <w:pPr>
        <w:pStyle w:val="Cmsor4"/>
      </w:pPr>
      <w:bookmarkStart w:id="535" w:name="_gheocos7adm9" w:colFirst="0" w:colLast="0"/>
      <w:bookmarkStart w:id="536" w:name="_Ref228267821"/>
      <w:bookmarkStart w:id="537" w:name="_Ref43981586"/>
      <w:bookmarkEnd w:id="535"/>
      <w:r>
        <w:t>Inline lacunae and intrinsic structure</w:t>
      </w:r>
      <w:bookmarkEnd w:id="536"/>
    </w:p>
    <w:p>
      <w:pPr>
        <w:rPr>
          <w:lang w:eastAsia="en-US" w:bidi="ar-SA"/>
        </w:rPr>
      </w:pPr>
      <w:r>
        <w:t>Since inline lacunae are at the same hierarchical level as the text, they are subordinate to the block-level containers for intrinsic structure (§</w:t>
      </w:r>
      <w:r>
        <w:fldChar w:fldCharType="begin"/>
      </w:r>
      <w:r>
        <w:instrText xml:space="preserve"> REF _Ref225153755 \r \h </w:instrText>
      </w:r>
      <w:r>
        <w:fldChar w:fldCharType="separate"/>
      </w:r>
      <w:r>
        <w:t>3.1</w:t>
      </w:r>
      <w:r>
        <w:fldChar w:fldCharType="end"/>
      </w:r>
      <w:r>
        <w:t>), with the following implications.</w:t>
      </w:r>
    </w:p>
    <w:p>
      <w:pPr>
        <w:pStyle w:val="Lista"/>
        <w:rPr>
          <w:lang w:eastAsia="en-US" w:bidi="ar-SA"/>
        </w:rPr>
      </w:pPr>
      <w:r>
        <w:rPr>
          <w:lang w:eastAsia="en-US" w:bidi="ar-SA"/>
        </w:rPr>
        <w:t>when a lacuna affects both sides of a (presumable) boundary between units of intrinsic structure, then</w:t>
      </w:r>
    </w:p>
    <w:p>
      <w:pPr>
        <w:pStyle w:val="Lista2"/>
        <w:rPr>
          <w:lang w:eastAsia="en-US" w:bidi="ar-SA"/>
        </w:rPr>
      </w:pPr>
      <w:r>
        <w:rPr>
          <w:lang w:eastAsia="en-US" w:bidi="ar-SA"/>
        </w:rPr>
        <w:t>the boundary must be reconstructed and encoded at its estimated position</w:t>
      </w:r>
    </w:p>
    <w:p>
      <w:pPr>
        <w:pStyle w:val="Lista2"/>
        <w:rPr>
          <w:lang w:eastAsia="en-US" w:bidi="ar-SA"/>
        </w:rPr>
      </w:pPr>
      <w:r>
        <w:rPr>
          <w:lang w:eastAsia="en-US" w:bidi="ar-SA"/>
        </w:rPr>
        <w:t>separate inline lacunae must be encoded on both sides of the boundary</w:t>
      </w:r>
    </w:p>
    <w:p>
      <w:pPr>
        <w:pStyle w:val="Lista"/>
        <w:rPr>
          <w:lang w:eastAsia="en-US" w:bidi="ar-SA"/>
        </w:rPr>
      </w:pPr>
      <w:r>
        <w:rPr>
          <w:lang w:eastAsia="en-US" w:bidi="ar-SA"/>
        </w:rPr>
        <w:t>especially in verse, a physically single lacuna may affect multiple phrase-level containers one after the other</w:t>
      </w:r>
    </w:p>
    <w:p>
      <w:pPr>
        <w:pStyle w:val="Lista2"/>
      </w:pPr>
      <w:r>
        <w:t xml:space="preserve">the structural framework of stanzas </w:t>
      </w:r>
      <w:r>
        <w:rPr>
          <w:noProof/>
        </w:rPr>
        <w:t>(</w:t>
      </w:r>
      <w:r>
        <w:t xml:space="preserve">i.e. the </w:t>
      </w:r>
      <w:r>
        <w:rPr>
          <w:rStyle w:val="Code"/>
        </w:rPr>
        <w:t>&lt;lg&gt;</w:t>
      </w:r>
      <w:r>
        <w:t xml:space="preserve"> element and the applicable number of </w:t>
      </w:r>
      <w:r>
        <w:rPr>
          <w:rStyle w:val="Code"/>
        </w:rPr>
        <w:t>&lt;l&gt;</w:t>
      </w:r>
      <w:r>
        <w:t xml:space="preserve"> elements) must as a rule be fully encoded even if a significant part of a stanza is lost</w:t>
      </w:r>
    </w:p>
    <w:p>
      <w:pPr>
        <w:pStyle w:val="Lista2"/>
      </w:pPr>
      <w:r>
        <w:t xml:space="preserve">separate inline lacunae must then be distributed accordingly into each container, as in </w:t>
      </w:r>
      <w:r>
        <w:fldChar w:fldCharType="begin"/>
      </w:r>
      <w:r>
        <w:instrText xml:space="preserve"> REF _Ref181695652 \h </w:instrText>
      </w:r>
      <w:r>
        <w:fldChar w:fldCharType="separate"/>
      </w:r>
      <w:r>
        <w:t xml:space="preserve">Exhibit </w:t>
      </w:r>
      <w:r>
        <w:rPr>
          <w:noProof/>
        </w:rPr>
        <w:t>6.5</w:t>
      </w:r>
      <w:r>
        <w:t>.</w:t>
      </w:r>
      <w:r>
        <w:rPr>
          <w:noProof/>
        </w:rPr>
        <w:t>A</w:t>
      </w:r>
      <w:r>
        <w:fldChar w:fldCharType="end"/>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538" w:name="_Ref181695652"/>
            <w:bookmarkStart w:id="539" w:name="_Ref181695649"/>
            <w:r>
              <w:t xml:space="preserve">Exhibit </w:t>
            </w:r>
            <w:fldSimple w:instr=" STYLEREF 2 \s ">
              <w:r>
                <w:rPr>
                  <w:noProof/>
                </w:rPr>
                <w:t>6.5</w:t>
              </w:r>
            </w:fldSimple>
            <w:r>
              <w:t>.</w:t>
            </w:r>
            <w:fldSimple w:instr=" SEQ Exhibit \* ALPHABETIC \s 2 ">
              <w:r>
                <w:rPr>
                  <w:noProof/>
                </w:rPr>
                <w:t>A</w:t>
              </w:r>
            </w:fldSimple>
            <w:bookmarkEnd w:id="538"/>
            <w:r>
              <w:t>: structural markup in lacunose verse</w:t>
            </w:r>
            <w:bookmarkEnd w:id="539"/>
          </w:p>
        </w:tc>
      </w:tr>
      <w:tr>
        <w:tc>
          <w:tcPr>
            <w:tcW w:w="5000" w:type="pct"/>
          </w:tcPr>
          <w:p>
            <w:pPr>
              <w:pStyle w:val="CodeParagraph"/>
              <w:keepNext/>
              <w:rPr>
                <w:rStyle w:val="Code"/>
              </w:rPr>
            </w:pPr>
            <w:r>
              <w:rPr>
                <w:rStyle w:val="Code"/>
              </w:rPr>
              <w:t xml:space="preserve">&lt;lg </w:t>
            </w:r>
            <w:r>
              <w:rPr>
                <w:rStyle w:val="Codeattribute"/>
              </w:rPr>
              <w:t>n=</w:t>
            </w:r>
            <w:r>
              <w:rPr>
                <w:rStyle w:val="Codevalue"/>
              </w:rPr>
              <w:t>"25"</w:t>
            </w:r>
            <w:r>
              <w:rPr>
                <w:rStyle w:val="Code"/>
              </w:rPr>
              <w:t xml:space="preserve"> </w:t>
            </w:r>
            <w:r>
              <w:rPr>
                <w:rStyle w:val="Codeattribute"/>
              </w:rPr>
              <w:t>met=</w:t>
            </w:r>
            <w:r>
              <w:rPr>
                <w:rStyle w:val="Codevalue"/>
              </w:rPr>
              <w:t>"anuṣṭubh"</w:t>
            </w:r>
            <w:r>
              <w:rPr>
                <w:rStyle w:val="Code"/>
              </w:rPr>
              <w:t>&gt;</w:t>
            </w:r>
          </w:p>
          <w:p>
            <w:pPr>
              <w:pStyle w:val="CodeParagraph"/>
              <w:keepNext/>
              <w:rPr>
                <w:rStyle w:val="Code"/>
              </w:rPr>
            </w:pPr>
            <w:r>
              <w:rPr>
                <w:rStyle w:val="Code"/>
              </w:rPr>
              <w:t xml:space="preserve">  &lt;l </w:t>
            </w:r>
            <w:r>
              <w:rPr>
                <w:rStyle w:val="Codeattribute"/>
              </w:rPr>
              <w:t>n=</w:t>
            </w:r>
            <w:r>
              <w:rPr>
                <w:rStyle w:val="Codevalue"/>
              </w:rPr>
              <w:t>"a"</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"8"</w:t>
            </w:r>
            <w:r>
              <w:rPr>
                <w:rStyle w:val="Code"/>
              </w:rPr>
              <w:t xml:space="preserve"> </w:t>
            </w:r>
            <w:r>
              <w:rPr>
                <w:rStyle w:val="Codeattribute"/>
              </w:rPr>
              <w:t>unit=</w:t>
            </w:r>
            <w:r>
              <w:rPr>
                <w:rStyle w:val="Codevalue"/>
              </w:rPr>
              <w:t>"character"</w:t>
            </w:r>
            <w:r>
              <w:rPr>
                <w:rStyle w:val="Code"/>
              </w:rPr>
              <w:t>/&gt;&lt;/l&gt;</w:t>
            </w:r>
          </w:p>
          <w:p>
            <w:pPr>
              <w:pStyle w:val="CodeParagraph"/>
              <w:keepNext/>
              <w:rPr>
                <w:rStyle w:val="Code"/>
              </w:rPr>
            </w:pPr>
            <w:r>
              <w:rPr>
                <w:rStyle w:val="Code"/>
              </w:rPr>
              <w:t xml:space="preserve">  &lt;l </w:t>
            </w:r>
            <w:r>
              <w:rPr>
                <w:rStyle w:val="Codeattribute"/>
              </w:rPr>
              <w:t>n=</w:t>
            </w:r>
            <w:r>
              <w:rPr>
                <w:rStyle w:val="Codevalue"/>
              </w:rPr>
              <w:t>"b"</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"8"</w:t>
            </w:r>
            <w:r>
              <w:rPr>
                <w:rStyle w:val="Code"/>
              </w:rPr>
              <w:t xml:space="preserve"> </w:t>
            </w:r>
            <w:r>
              <w:rPr>
                <w:rStyle w:val="Codeattribute"/>
              </w:rPr>
              <w:t>unit=</w:t>
            </w:r>
            <w:r>
              <w:rPr>
                <w:rStyle w:val="Codevalue"/>
              </w:rPr>
              <w:t>"character"</w:t>
            </w:r>
            <w:r>
              <w:rPr>
                <w:rStyle w:val="Code"/>
              </w:rPr>
              <w:t>/&gt;&lt;/l&gt;</w:t>
            </w:r>
          </w:p>
          <w:p>
            <w:pPr>
              <w:pStyle w:val="CodeParagraph"/>
              <w:keepNext/>
              <w:rPr>
                <w:rStyle w:val="Code"/>
              </w:rPr>
            </w:pPr>
            <w:r>
              <w:rPr>
                <w:rStyle w:val="Code"/>
              </w:rPr>
              <w:t xml:space="preserve">  &lt;l </w:t>
            </w:r>
            <w:r>
              <w:rPr>
                <w:rStyle w:val="Codeattribute"/>
              </w:rPr>
              <w:t>n=</w:t>
            </w:r>
            <w:r>
              <w:rPr>
                <w:rStyle w:val="Code"/>
              </w:rPr>
              <w:t>"</w:t>
            </w:r>
            <w:r>
              <w:rPr>
                <w:rStyle w:val="Codevalue"/>
              </w:rPr>
              <w:t>c"</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"8"</w:t>
            </w:r>
            <w:r>
              <w:rPr>
                <w:rStyle w:val="Code"/>
              </w:rPr>
              <w:t xml:space="preserve"> </w:t>
            </w:r>
            <w:r>
              <w:rPr>
                <w:rStyle w:val="Codeattribute"/>
              </w:rPr>
              <w:t>unit=</w:t>
            </w:r>
            <w:r>
              <w:rPr>
                <w:rStyle w:val="Codevalue"/>
              </w:rPr>
              <w:t>"character"</w:t>
            </w:r>
            <w:r>
              <w:rPr>
                <w:rStyle w:val="Code"/>
              </w:rPr>
              <w:t>/&gt;&lt;/l&gt;</w:t>
            </w:r>
          </w:p>
          <w:p>
            <w:pPr>
              <w:pStyle w:val="CodeParagraph"/>
              <w:keepNext/>
              <w:rPr>
                <w:rStyle w:val="Code"/>
              </w:rPr>
            </w:pPr>
            <w:r>
              <w:rPr>
                <w:rStyle w:val="Code"/>
              </w:rPr>
              <w:t xml:space="preserve">  &lt;l </w:t>
            </w:r>
            <w:r>
              <w:rPr>
                <w:rStyle w:val="Codeattribute"/>
              </w:rPr>
              <w:t>n=</w:t>
            </w:r>
            <w:r>
              <w:rPr>
                <w:rStyle w:val="Code"/>
              </w:rPr>
              <w:t>"</w:t>
            </w:r>
            <w:r>
              <w:rPr>
                <w:rStyle w:val="Codevalue"/>
              </w:rPr>
              <w:t>d"</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"4"</w:t>
            </w:r>
            <w:r>
              <w:rPr>
                <w:rStyle w:val="Code"/>
              </w:rPr>
              <w:t xml:space="preserve"> </w:t>
            </w:r>
            <w:r>
              <w:rPr>
                <w:rStyle w:val="Codeattribute"/>
              </w:rPr>
              <w:t>unit=</w:t>
            </w:r>
            <w:r>
              <w:rPr>
                <w:rStyle w:val="Codevalue"/>
              </w:rPr>
              <w:t>"character"</w:t>
            </w:r>
            <w:r>
              <w:rPr>
                <w:rStyle w:val="Code"/>
              </w:rPr>
              <w:t xml:space="preserve">/&gt;&lt;lb </w:t>
            </w:r>
            <w:r>
              <w:rPr>
                <w:rStyle w:val="Codeattribute"/>
              </w:rPr>
              <w:t>n=</w:t>
            </w:r>
            <w:r>
              <w:rPr>
                <w:rStyle w:val="Codevalue"/>
              </w:rPr>
              <w:t>"72"</w:t>
            </w:r>
            <w:r>
              <w:rPr>
                <w:rStyle w:val="Code"/>
              </w:rPr>
              <w:t xml:space="preserve"> </w:t>
            </w:r>
            <w:r>
              <w:rPr>
                <w:rStyle w:val="Codeattribute"/>
              </w:rPr>
              <w:t>break=</w:t>
            </w:r>
            <w:r>
              <w:rPr>
                <w:rStyle w:val="Codevalue"/>
              </w:rPr>
              <w:t>"no"</w:t>
            </w:r>
            <w:r>
              <w:rPr>
                <w:rStyle w:val="Code"/>
              </w:rPr>
              <w:t>/&gt;yate kr̥miḥ&lt;/l&gt;</w:t>
            </w:r>
          </w:p>
          <w:p>
            <w:pPr>
              <w:pStyle w:val="CodeParagraph"/>
              <w:keepNext/>
            </w:pPr>
            <w:r>
              <w:rPr>
                <w:rStyle w:val="Code"/>
              </w:rPr>
              <w:t>&lt;/lg&gt;</w:t>
            </w:r>
          </w:p>
        </w:tc>
      </w:tr>
      <w:tr>
        <w:tc>
          <w:tcPr>
            <w:tcW w:w="5000" w:type="pct"/>
          </w:tcPr>
          <w:p>
            <w:pPr>
              <w:pStyle w:val="TableNote"/>
            </w:pPr>
            <w:r>
              <w:t>only the last line on this copper plate is legible, starting with the end of a known stanza</w:t>
            </w:r>
          </w:p>
          <w:p>
            <w:pPr>
              <w:pStyle w:val="TableNote"/>
            </w:pPr>
            <w:r>
              <w:t>the rest of this stanza would have been engraved in the now illegible penultimate line</w:t>
            </w:r>
          </w:p>
          <w:p>
            <w:pPr>
              <w:pStyle w:val="TableNote"/>
            </w:pPr>
            <w:r>
              <w:t>the editor chose not to restore the text because any one of several known variants of the stanza may have been used here</w:t>
            </w:r>
          </w:p>
          <w:p>
            <w:pPr>
              <w:pStyle w:val="TableNote"/>
            </w:pPr>
            <w:r>
              <w:t>verse markup has been created for all four lines of the stanza, each containing a lacuna of eight characters</w:t>
            </w:r>
          </w:p>
          <w:p>
            <w:pPr>
              <w:pStyle w:val="TableNote"/>
            </w:pPr>
            <w:r>
              <w:t>the prosody of the missing text (§</w:t>
            </w:r>
            <w:r>
              <w:fldChar w:fldCharType="begin"/>
            </w:r>
            <w:r>
              <w:instrText xml:space="preserve"> REF _Ref228267857 \r \h </w:instrText>
            </w:r>
            <w:r>
              <w:fldChar w:fldCharType="separate"/>
            </w:r>
            <w:r>
              <w:t>6.5.2.3</w:t>
            </w:r>
            <w:r>
              <w:fldChar w:fldCharType="end"/>
            </w:r>
            <w:r>
              <w:t>) has not been encoded because doing so would not help in reconstructing the missing text</w:t>
            </w:r>
          </w:p>
        </w:tc>
      </w:tr>
    </w:tbl>
    <w:p>
      <w:pPr>
        <w:pStyle w:val="Cmsor4"/>
      </w:pPr>
      <w:bookmarkStart w:id="540" w:name="_Ref228267857"/>
      <w:bookmarkStart w:id="541" w:name="_Ref228275301"/>
      <w:r>
        <w:t xml:space="preserve">Lacunae with known </w:t>
      </w:r>
      <w:bookmarkEnd w:id="537"/>
      <w:bookmarkEnd w:id="540"/>
      <w:r>
        <w:t>prosody</w:t>
      </w:r>
      <w:bookmarkEnd w:id="541"/>
    </w:p>
    <w:p>
      <w:pPr>
        <w:rPr>
          <w:lang w:eastAsia="en-US" w:bidi="ar-SA"/>
        </w:rPr>
      </w:pPr>
      <w:r>
        <w:rPr>
          <w:lang w:eastAsia="en-US" w:bidi="ar-SA"/>
        </w:rPr>
        <w:t xml:space="preserve">When the prosodic pattern of a lacuna can be established from the context, a representation of this pattern can be added to the encoding of the lacuna. Doing so is strongly recommended for all short lacunae in syllabo-quantitative verse, where explicitly representing the pattern may help the reader perceive the extant text as verse and may be an aid to conjectural restoration of the lost text. Because the overall prosodic pattern for a stanza is already encoded on its block-level container, encoding the prosody of longer gaps, especially complete verse lines, is not essential, but nonetheless desirable. When prosody is encoded for lacunae stretching across verse line boundaries, separate </w:t>
      </w:r>
      <w:r>
        <w:rPr>
          <w:rStyle w:val="Code"/>
        </w:rPr>
        <w:t>&lt;gap/&gt;</w:t>
      </w:r>
      <w:r>
        <w:t xml:space="preserve"> elements must of course be created within each line container as per §</w:t>
      </w:r>
      <w:r>
        <w:fldChar w:fldCharType="begin"/>
      </w:r>
      <w:r>
        <w:instrText xml:space="preserve"> REF _Ref228267821 \r \h </w:instrText>
      </w:r>
      <w:r>
        <w:fldChar w:fldCharType="separate"/>
      </w:r>
      <w:r>
        <w:t>6.5.2.2</w:t>
      </w:r>
      <w:r>
        <w:fldChar w:fldCharType="end"/>
      </w:r>
      <w:r>
        <w:t>.</w:t>
      </w:r>
    </w:p>
    <w:p>
      <w:pPr>
        <w:pStyle w:val="Lista"/>
        <w:rPr>
          <w:rStyle w:val="Codeattribute"/>
          <w:rFonts w:ascii="Gentium" w:hAnsi="Gentium" w:cs="Tiro Devanagari Sanskrit"/>
          <w:noProof w:val="0"/>
          <w:color w:val="auto"/>
          <w:shd w:val="clear" w:color="auto" w:fill="auto"/>
        </w:rPr>
      </w:pPr>
      <w:r>
        <w:t xml:space="preserve">to add a prosodic pattern to an encoded inline lacuna, wrap the </w:t>
      </w:r>
      <w:r>
        <w:rPr>
          <w:rStyle w:val="Code"/>
        </w:rPr>
        <w:t>&lt;gap/&gt;</w:t>
      </w:r>
      <w:r>
        <w:t xml:space="preserve"> element in a </w:t>
      </w:r>
      <w:r>
        <w:rPr>
          <w:rStyle w:val="Code"/>
        </w:rPr>
        <w:t>&lt;seg&gt;</w:t>
      </w:r>
      <w:r>
        <w:t xml:space="preserve"> element with the attribute </w:t>
      </w:r>
      <w:r>
        <w:rPr>
          <w:rStyle w:val="Codeattribute"/>
        </w:rPr>
        <w:t>@met</w:t>
      </w:r>
    </w:p>
    <w:p>
      <w:pPr>
        <w:pStyle w:val="Lista2"/>
      </w:pPr>
      <w:r>
        <w:t>the value of this attribute shall be the prosodic pattern of the missing text, in ASCII prosodic code (</w:t>
      </w:r>
      <w:r>
        <w:rPr>
          <w:highlight w:val="yellow"/>
        </w:rPr>
        <w:t>VG</w:t>
      </w:r>
      <w:r>
        <w:t xml:space="preserve"> §)</w:t>
      </w:r>
    </w:p>
    <w:p>
      <w:pPr>
        <w:pStyle w:val="Lista2"/>
      </w:pPr>
      <w:r>
        <w:lastRenderedPageBreak/>
        <w:t>example in a syllabo-quantitative metre (</w:t>
      </w:r>
      <w:proofErr w:type="spellStart"/>
      <w:r>
        <w:rPr>
          <w:rStyle w:val="Foreign"/>
        </w:rPr>
        <w:t>vasantatilakā</w:t>
      </w:r>
      <w:proofErr w:type="spellEnd"/>
      <w:r>
        <w:t xml:space="preserve">, </w:t>
      </w:r>
      <w:r>
        <w:rPr>
          <w:rStyle w:val="MetreCode"/>
        </w:rPr>
        <w:t>––⏑–⏑⏑⏑–⏑⏑–⏑–⏓</w:t>
      </w:r>
      <w:r>
        <w:t xml:space="preserve">): </w:t>
      </w:r>
      <w:r>
        <w:rPr>
          <w:rStyle w:val="Code"/>
        </w:rPr>
        <w:t xml:space="preserve">&lt;seg </w:t>
      </w:r>
      <w:r>
        <w:rPr>
          <w:rStyle w:val="Codeattribute"/>
        </w:rPr>
        <w:t>met</w:t>
      </w:r>
      <w:r>
        <w:rPr>
          <w:rStyle w:val="Code"/>
        </w:rPr>
        <w:t>=</w:t>
      </w:r>
      <w:r>
        <w:rPr>
          <w:rStyle w:val="Codevalue"/>
        </w:rPr>
        <w:t>"++-+---+-"</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"9"</w:t>
      </w:r>
      <w:r>
        <w:rPr>
          <w:rStyle w:val="Code"/>
        </w:rPr>
        <w:t xml:space="preserve"> </w:t>
      </w:r>
      <w:r>
        <w:rPr>
          <w:rStyle w:val="Codeattribute"/>
        </w:rPr>
        <w:t>unit</w:t>
      </w:r>
      <w:r>
        <w:rPr>
          <w:rStyle w:val="Code"/>
        </w:rPr>
        <w:t>=</w:t>
      </w:r>
      <w:r>
        <w:rPr>
          <w:rStyle w:val="Codevalue"/>
        </w:rPr>
        <w:t>"character"</w:t>
      </w:r>
      <w:r>
        <w:rPr>
          <w:rStyle w:val="Code"/>
        </w:rPr>
        <w:t>/&gt;&lt;/seg&gt;</w:t>
      </w:r>
      <w:r>
        <w:rPr>
          <w:rStyle w:val="Codetext"/>
        </w:rPr>
        <w:t xml:space="preserve"> suvarṇṇa-dāne</w:t>
      </w:r>
    </w:p>
    <w:p>
      <w:pPr>
        <w:pStyle w:val="Lista"/>
      </w:pPr>
      <w:r>
        <w:t>when encoding the prosody of lost text, disregard:</w:t>
      </w:r>
    </w:p>
    <w:p>
      <w:pPr>
        <w:pStyle w:val="Lista2"/>
      </w:pPr>
      <w:r>
        <w:t xml:space="preserve">caesurae </w:t>
      </w:r>
      <w:r>
        <w:rPr>
          <w:noProof/>
        </w:rPr>
        <w:t>(</w:t>
      </w:r>
      <w:r>
        <w:t>which may or may not have been observed by the composer)</w:t>
      </w:r>
    </w:p>
    <w:p>
      <w:pPr>
        <w:pStyle w:val="Lista2"/>
      </w:pPr>
      <w:r>
        <w:t xml:space="preserve">complex nuanced constraints, such as those applicable to the first half of an </w:t>
      </w:r>
      <w:r>
        <w:rPr>
          <w:rStyle w:val="Foreign"/>
        </w:rPr>
        <w:t>anuṣṭubh</w:t>
      </w:r>
      <w:r>
        <w:t xml:space="preserve"> line</w:t>
      </w:r>
    </w:p>
    <w:p>
      <w:pPr>
        <w:pStyle w:val="Lista3"/>
      </w:pPr>
      <w:r>
        <w:t xml:space="preserve">instead, any syllable that is not fully determined by the template should be denoted as anceps, e.g. </w:t>
      </w:r>
      <w:r>
        <w:rPr>
          <w:rStyle w:val="Code"/>
        </w:rPr>
        <w:t xml:space="preserve">&lt;l </w:t>
      </w:r>
      <w:r>
        <w:rPr>
          <w:rStyle w:val="Codeattribute"/>
        </w:rPr>
        <w:t>n=</w:t>
      </w:r>
      <w:r>
        <w:rPr>
          <w:rStyle w:val="Codevalue"/>
        </w:rPr>
        <w:t>"c"</w:t>
      </w:r>
      <w:r>
        <w:rPr>
          <w:rStyle w:val="Code"/>
        </w:rPr>
        <w:t xml:space="preserve">&gt;&lt;seg </w:t>
      </w:r>
      <w:r>
        <w:rPr>
          <w:rStyle w:val="Codeattribute"/>
        </w:rPr>
        <w:t>met</w:t>
      </w:r>
      <w:r>
        <w:rPr>
          <w:rStyle w:val="Code"/>
        </w:rPr>
        <w:t>=</w:t>
      </w:r>
      <w:r>
        <w:rPr>
          <w:rStyle w:val="Codevalue"/>
        </w:rPr>
        <w:t>"====-+"</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"6"</w:t>
      </w:r>
      <w:r>
        <w:rPr>
          <w:rStyle w:val="Code"/>
        </w:rPr>
        <w:t xml:space="preserve"> </w:t>
      </w:r>
      <w:r>
        <w:rPr>
          <w:rStyle w:val="Codeattribute"/>
        </w:rPr>
        <w:t>unit</w:t>
      </w:r>
      <w:r>
        <w:rPr>
          <w:rStyle w:val="Code"/>
        </w:rPr>
        <w:t>=</w:t>
      </w:r>
      <w:r>
        <w:rPr>
          <w:rStyle w:val="Codevalue"/>
        </w:rPr>
        <w:t>"character"</w:t>
      </w:r>
      <w:r>
        <w:rPr>
          <w:rStyle w:val="Code"/>
        </w:rPr>
        <w:t>/&gt;&lt;/seg&gt;</w:t>
      </w:r>
      <w:r>
        <w:rPr>
          <w:rStyle w:val="Codetext"/>
        </w:rPr>
        <w:t>vyāpi</w:t>
      </w:r>
      <w:r>
        <w:rPr>
          <w:rStyle w:val="Code"/>
        </w:rPr>
        <w:t xml:space="preserve">&lt;/l&gt;&lt;l </w:t>
      </w:r>
      <w:r>
        <w:rPr>
          <w:rStyle w:val="Codeattribute"/>
        </w:rPr>
        <w:t>n=</w:t>
      </w:r>
      <w:r>
        <w:rPr>
          <w:rStyle w:val="Codevalue"/>
        </w:rPr>
        <w:t>"d"</w:t>
      </w:r>
      <w:r>
        <w:rPr>
          <w:rStyle w:val="Code"/>
        </w:rPr>
        <w:t>&gt;</w:t>
      </w:r>
      <w:r>
        <w:rPr>
          <w:rStyle w:val="Codetext"/>
        </w:rPr>
        <w:t>candraguptākhyam adbhutaM</w:t>
      </w:r>
      <w:r>
        <w:rPr>
          <w:rStyle w:val="Code"/>
        </w:rPr>
        <w:t>&lt;/l&gt;</w:t>
      </w:r>
    </w:p>
    <w:p>
      <w:pPr>
        <w:pStyle w:val="Lista2"/>
      </w:pPr>
      <w:r>
        <w:t xml:space="preserve">legitimate metrical variations, as in </w:t>
      </w:r>
      <w:r>
        <w:rPr>
          <w:rStyle w:val="Foreign"/>
        </w:rPr>
        <w:t>vipulā anuṣṭubh</w:t>
      </w:r>
      <w:r>
        <w:t xml:space="preserve"> </w:t>
      </w:r>
      <w:r>
        <w:rPr>
          <w:noProof/>
        </w:rPr>
        <w:t>(</w:t>
      </w:r>
      <w:r>
        <w:t xml:space="preserve">instead, treat all lost </w:t>
      </w:r>
      <w:r>
        <w:rPr>
          <w:rStyle w:val="Foreign"/>
        </w:rPr>
        <w:t>anuṣṭubh</w:t>
      </w:r>
      <w:r>
        <w:t xml:space="preserve"> verse as </w:t>
      </w:r>
      <w:r>
        <w:rPr>
          <w:rStyle w:val="Foreign"/>
        </w:rPr>
        <w:t>pathyā</w:t>
      </w:r>
      <w:r>
        <w:t>)</w:t>
      </w:r>
    </w:p>
    <w:p>
      <w:pPr>
        <w:pStyle w:val="Lista2"/>
        <w:rPr>
          <w:i/>
          <w:iCs/>
          <w:noProof/>
        </w:rPr>
      </w:pPr>
      <w:r>
        <w:t xml:space="preserve">and optional constraints such as </w:t>
      </w:r>
      <w:r>
        <w:rPr>
          <w:rStyle w:val="Foreign"/>
        </w:rPr>
        <w:t>vipulā</w:t>
      </w:r>
      <w:r>
        <w:t xml:space="preserve"> and </w:t>
      </w:r>
      <w:r>
        <w:rPr>
          <w:rStyle w:val="Foreign"/>
        </w:rPr>
        <w:t>capalā āryā</w:t>
      </w:r>
      <w:r>
        <w:t xml:space="preserve"> </w:t>
      </w:r>
      <w:r>
        <w:rPr>
          <w:noProof/>
        </w:rPr>
        <w:t>(</w:t>
      </w:r>
      <w:r>
        <w:t xml:space="preserve">instead, treat all lost </w:t>
      </w:r>
      <w:r>
        <w:rPr>
          <w:rStyle w:val="Foreign"/>
        </w:rPr>
        <w:t>gāthā</w:t>
      </w:r>
      <w:r>
        <w:t xml:space="preserve">-type verse as </w:t>
      </w:r>
      <w:r>
        <w:rPr>
          <w:rStyle w:val="Foreign"/>
        </w:rPr>
        <w:t>pathyā</w:t>
      </w:r>
      <w:r>
        <w:t>)</w:t>
      </w:r>
    </w:p>
    <w:p>
      <w:pPr>
        <w:pStyle w:val="Lista"/>
      </w:pPr>
      <w:r>
        <w:t>encoding the prosody of a lacuna in moraic verse is a more complicated affair and less potentially helpful for reconstruction</w:t>
      </w:r>
    </w:p>
    <w:p>
      <w:pPr>
        <w:pStyle w:val="Lista2"/>
      </w:pPr>
      <w:r>
        <w:t xml:space="preserve">lacunae in moraic verse may therefore be encoded simply as </w:t>
      </w:r>
      <w:r>
        <w:rPr>
          <w:rStyle w:val="Code"/>
        </w:rPr>
        <w:t>&lt;gap/&gt;</w:t>
      </w:r>
      <w:r>
        <w:t xml:space="preserve"> elements at your discretion</w:t>
      </w:r>
    </w:p>
    <w:p>
      <w:pPr>
        <w:pStyle w:val="Lista3"/>
      </w:pPr>
      <w:r>
        <w:t xml:space="preserve">since the number of lost syllables cannot be determined on the basis of the metre, the length of such a lacuna must usually be estimated and accordingly encoded with </w:t>
      </w:r>
      <w:r>
        <w:rPr>
          <w:rStyle w:val="Codeattribute"/>
        </w:rPr>
        <w:t>@precision</w:t>
      </w:r>
      <w:r>
        <w:rPr>
          <w:rStyle w:val="Code"/>
        </w:rPr>
        <w:t>=</w:t>
      </w:r>
      <w:r>
        <w:rPr>
          <w:rStyle w:val="Codevalue"/>
        </w:rPr>
        <w:t>"low"</w:t>
      </w:r>
      <w:r>
        <w:t xml:space="preserve"> on the </w:t>
      </w:r>
      <w:r>
        <w:rPr>
          <w:rStyle w:val="Code"/>
        </w:rPr>
        <w:t>&lt;gap/&gt;</w:t>
      </w:r>
      <w:r>
        <w:t xml:space="preserve"> element</w:t>
      </w:r>
    </w:p>
    <w:p>
      <w:pPr>
        <w:pStyle w:val="Lista2"/>
      </w:pPr>
      <w:r>
        <w:t>if you choose to encode the prosody of such a lacuna, use an appropriate combination of numerical notation for mora counts with the notation of syllable length for syllables whose length can be determined on the basis of the metre and the adjacent extant text, remembering to use the foot separator | between moraic feet and adjacent feet or cola, but not at the end of a segment whose metre is encoded</w:t>
      </w:r>
    </w:p>
    <w:p>
      <w:pPr>
        <w:pStyle w:val="Lista3"/>
      </w:pPr>
      <w:r>
        <w:t>example in a moraic metre (</w:t>
      </w:r>
      <w:r>
        <w:rPr>
          <w:rStyle w:val="Foreign"/>
        </w:rPr>
        <w:t>āryā</w:t>
      </w:r>
      <w:r>
        <w:t xml:space="preserve">, first hemistich, 4|4|4|4|4|4|4|2): </w:t>
      </w:r>
      <w:r>
        <w:rPr>
          <w:rStyle w:val="Codetext"/>
        </w:rPr>
        <w:t xml:space="preserve">yo vīkṣya </w:t>
      </w:r>
      <w:r>
        <w:rPr>
          <w:rStyle w:val="Code"/>
        </w:rPr>
        <w:t xml:space="preserve">&lt;seg </w:t>
      </w:r>
      <w:r>
        <w:rPr>
          <w:rStyle w:val="Codeattribute"/>
        </w:rPr>
        <w:t>met</w:t>
      </w:r>
      <w:r>
        <w:rPr>
          <w:rStyle w:val="Code"/>
        </w:rPr>
        <w:t>=</w:t>
      </w:r>
      <w:r>
        <w:rPr>
          <w:rStyle w:val="Codevalue"/>
        </w:rPr>
        <w:t>"3|4|4|4|-"</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"12"</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/&gt;&lt;/seg&gt;</w:t>
      </w:r>
      <w:r>
        <w:rPr>
          <w:rStyle w:val="Codetext"/>
        </w:rPr>
        <w:t xml:space="preserve"> bandhana-niruddhaM</w:t>
      </w:r>
    </w:p>
    <w:p>
      <w:pPr>
        <w:pStyle w:val="Lista4"/>
      </w:pPr>
      <w:r>
        <w:t xml:space="preserve">the first foot is </w:t>
      </w:r>
      <w:r>
        <w:rPr>
          <w:rStyle w:val="Foreign"/>
        </w:rPr>
        <w:t>yo vīkṣ</w:t>
      </w:r>
    </w:p>
    <w:p>
      <w:pPr>
        <w:pStyle w:val="Lista4"/>
      </w:pPr>
      <w:r>
        <w:t xml:space="preserve">in the second foot, </w:t>
      </w:r>
      <w:r>
        <w:rPr>
          <w:rStyle w:val="Foreign"/>
        </w:rPr>
        <w:t>ya</w:t>
      </w:r>
      <w:r>
        <w:t xml:space="preserve"> would have been followed by 3 morae, which may have been comprised of either 2 or 3 syllables, so only numerical notation can be used for the lost part</w:t>
      </w:r>
    </w:p>
    <w:p>
      <w:pPr>
        <w:pStyle w:val="Lista4"/>
      </w:pPr>
      <w:r>
        <w:t>the third to fifth feet, each of 4 morae, are fully lost, and each may have been comprised of 2 to 4 syllables, so only numerical notation can be used for them</w:t>
      </w:r>
    </w:p>
    <w:p>
      <w:pPr>
        <w:pStyle w:val="Lista4"/>
      </w:pPr>
      <w:r>
        <w:t xml:space="preserve">the sixth foot ends in </w:t>
      </w:r>
      <w:r>
        <w:rPr>
          <w:rStyle w:val="Foreign"/>
        </w:rPr>
        <w:t>bandha</w:t>
      </w:r>
      <w:r>
        <w:t xml:space="preserve"> (3 morae), so one short syllable must have been lost at the beginning of this foot</w:t>
      </w:r>
    </w:p>
    <w:p>
      <w:pPr>
        <w:pStyle w:val="Lista4"/>
      </w:pPr>
      <w:r>
        <w:t xml:space="preserve">the seventh and eighth feet, </w:t>
      </w:r>
      <w:r>
        <w:rPr>
          <w:rStyle w:val="Foreign"/>
        </w:rPr>
        <w:t>na-niruddhaM</w:t>
      </w:r>
      <w:r>
        <w:t>, are extant</w:t>
      </w:r>
    </w:p>
    <w:p>
      <w:pPr>
        <w:pStyle w:val="Lista3"/>
      </w:pPr>
      <w:r>
        <w:t xml:space="preserve">moraic feet may be constrained </w:t>
      </w:r>
      <w:r>
        <w:rPr>
          <w:noProof/>
        </w:rPr>
        <w:t>(</w:t>
      </w:r>
      <w:r>
        <w:t xml:space="preserve">e.g. the pattern </w:t>
      </w:r>
      <w:r>
        <w:rPr>
          <w:rStyle w:val="MetreCode"/>
        </w:rPr>
        <w:t>⏑–⏑</w:t>
      </w:r>
      <w:r>
        <w:t xml:space="preserve"> is prohibited in many tetramoraic feet), but this depth of prosodic analysis is not desirable in our encoding of the prosody of lacunae: simply encode lost tetramoraic feet as 4 regardless of whether or not they exclude certain patterns</w:t>
      </w:r>
    </w:p>
    <w:p>
      <w:pPr>
        <w:pStyle w:val="Cmsor4"/>
      </w:pPr>
      <w:bookmarkStart w:id="542" w:name="_xrhzsspv9sor" w:colFirst="0" w:colLast="0"/>
      <w:bookmarkStart w:id="543" w:name="_Ref43987049"/>
      <w:bookmarkEnd w:id="542"/>
      <w:r>
        <w:t>Micro-level lacunae</w:t>
      </w:r>
      <w:bookmarkEnd w:id="543"/>
    </w:p>
    <w:p>
      <w:r>
        <w:rPr>
          <w:lang w:eastAsia="en-US" w:bidi="ar-SA"/>
        </w:rPr>
        <w:t xml:space="preserve">As a special case of inline lacunae, the loss or illegibility of specific components of a complex glyph can be represented explicitly in our digital editions. When this level of precision is deemed worth the while, lacunae affecting parts of a complex glyph may be encoded by using </w:t>
      </w:r>
      <w:r>
        <w:rPr>
          <w:rStyle w:val="Codevalue"/>
        </w:rPr>
        <w:t>"component"</w:t>
      </w:r>
      <w:r>
        <w:t xml:space="preserve"> as the value of </w:t>
      </w:r>
      <w:r>
        <w:rPr>
          <w:rStyle w:val="Codeattribute"/>
        </w:rPr>
        <w:t>@unit</w:t>
      </w:r>
      <w:r>
        <w:rPr>
          <w:lang w:eastAsia="en-US" w:bidi="ar-SA"/>
        </w:rPr>
        <w:t xml:space="preserve"> on the </w:t>
      </w:r>
      <w:r>
        <w:rPr>
          <w:rStyle w:val="Code"/>
        </w:rPr>
        <w:t>&lt;gap&gt;</w:t>
      </w:r>
      <w:r>
        <w:t xml:space="preserve"> element and combining this with </w:t>
      </w:r>
      <w:r>
        <w:rPr>
          <w:noProof/>
        </w:rPr>
        <w:t>sub-</w:t>
      </w:r>
      <w:r>
        <w:rPr>
          <w:rStyle w:val="Foreign"/>
        </w:rPr>
        <w:t>akṣara</w:t>
      </w:r>
      <w:r>
        <w:t xml:space="preserve"> encoding (§</w:t>
      </w:r>
      <w:r>
        <w:fldChar w:fldCharType="begin"/>
      </w:r>
      <w:r>
        <w:instrText xml:space="preserve"> REF _Ref228202081 \r \h </w:instrText>
      </w:r>
      <w:r>
        <w:fldChar w:fldCharType="separate"/>
      </w:r>
      <w:r>
        <w:t>5.1.2</w:t>
      </w:r>
      <w:r>
        <w:fldChar w:fldCharType="end"/>
      </w:r>
      <w:r>
        <w:t>) in the following manner. A less sophisticated but much simpler alternative, permitted under §</w:t>
      </w:r>
      <w:r>
        <w:fldChar w:fldCharType="begin"/>
      </w:r>
      <w:r>
        <w:instrText xml:space="preserve"> REF _Ref228202081 \r \h </w:instrText>
      </w:r>
      <w:r>
        <w:fldChar w:fldCharType="separate"/>
      </w:r>
      <w:r>
        <w:t>5.1.2</w:t>
      </w:r>
      <w:r>
        <w:fldChar w:fldCharType="end"/>
      </w:r>
      <w:r>
        <w:t xml:space="preserve"> and TG§3.3.2.2, is to use the placeholders V and C instead of encoding illegible or lost graphemes as component-level lacunae.</w:t>
      </w:r>
    </w:p>
    <w:p>
      <w:pPr>
        <w:pStyle w:val="Lista"/>
      </w:pPr>
      <w:r>
        <w:t xml:space="preserve">mark up available parts of the same </w:t>
      </w:r>
      <w:r>
        <w:rPr>
          <w:rStyle w:val="Foreign"/>
        </w:rPr>
        <w:t>akṣara</w:t>
      </w:r>
      <w:r>
        <w:t xml:space="preserve"> normally as unclear or supplied if applicable</w:t>
      </w:r>
    </w:p>
    <w:p>
      <w:pPr>
        <w:pStyle w:val="Lista"/>
      </w:pPr>
      <w:r>
        <w:t xml:space="preserve">at the lost component’s logical position in the transliterated text, create a </w:t>
      </w:r>
      <w:r>
        <w:rPr>
          <w:rStyle w:val="Code"/>
        </w:rPr>
        <w:t>&lt;gap/&gt;</w:t>
      </w:r>
      <w:r>
        <w:t xml:space="preserve"> element with the following attributes</w:t>
      </w:r>
    </w:p>
    <w:p>
      <w:pPr>
        <w:pStyle w:val="Lista2"/>
      </w:pPr>
      <w:r>
        <w:t xml:space="preserve">mandatorily, </w:t>
      </w:r>
      <w:r>
        <w:rPr>
          <w:rStyle w:val="Codeattribute"/>
        </w:rPr>
        <w:t>@reason</w:t>
      </w:r>
      <w:r>
        <w:t xml:space="preserve"> as per §</w:t>
      </w:r>
      <w:r>
        <w:fldChar w:fldCharType="begin"/>
      </w:r>
      <w:r>
        <w:instrText xml:space="preserve"> REF _Ref43987758 \r \h </w:instrText>
      </w:r>
      <w:r>
        <w:fldChar w:fldCharType="separate"/>
      </w:r>
      <w:r>
        <w:t>6.5.1.1</w:t>
      </w:r>
      <w:r>
        <w:fldChar w:fldCharType="end"/>
      </w:r>
    </w:p>
    <w:p>
      <w:pPr>
        <w:pStyle w:val="Lista2"/>
      </w:pPr>
      <w:r>
        <w:t xml:space="preserve">mandatorily, </w:t>
      </w:r>
      <w:r>
        <w:rPr>
          <w:rStyle w:val="Codeattribute"/>
        </w:rPr>
        <w:t>@unit</w:t>
      </w:r>
      <w:r>
        <w:t xml:space="preserve"> with the value </w:t>
      </w:r>
      <w:r>
        <w:rPr>
          <w:rStyle w:val="Codevalue"/>
        </w:rPr>
        <w:t>"component"</w:t>
      </w:r>
      <w:r>
        <w:t xml:space="preserve"> </w:t>
      </w:r>
    </w:p>
    <w:p>
      <w:pPr>
        <w:pStyle w:val="Lista2"/>
      </w:pPr>
      <w:r>
        <w:t xml:space="preserve">mandatorily, </w:t>
      </w:r>
      <w:r>
        <w:rPr>
          <w:rStyle w:val="Codeattribute"/>
        </w:rPr>
        <w:t>@quantity</w:t>
      </w:r>
      <w:r>
        <w:t>, normally with the value of 1 (see below)</w:t>
      </w:r>
    </w:p>
    <w:p>
      <w:pPr>
        <w:pStyle w:val="Lista"/>
      </w:pPr>
      <w:r>
        <w:t xml:space="preserve">wrap the </w:t>
      </w:r>
      <w:r>
        <w:rPr>
          <w:rStyle w:val="Code"/>
        </w:rPr>
        <w:t>&lt;gap/&gt;</w:t>
      </w:r>
      <w:r>
        <w:t xml:space="preserve"> element in </w:t>
      </w:r>
      <w:r>
        <w:rPr>
          <w:rStyle w:val="Code"/>
        </w:rPr>
        <w:t xml:space="preserve">&lt;seg </w:t>
      </w:r>
      <w:r>
        <w:rPr>
          <w:rStyle w:val="Codeattribute"/>
        </w:rPr>
        <w:t>type</w:t>
      </w:r>
      <w:r>
        <w:rPr>
          <w:rStyle w:val="Code"/>
        </w:rPr>
        <w:t>=</w:t>
      </w:r>
      <w:r>
        <w:rPr>
          <w:rStyle w:val="Codevalue"/>
        </w:rPr>
        <w:t>"component"</w:t>
      </w:r>
      <w:r>
        <w:rPr>
          <w:rStyle w:val="Code"/>
        </w:rPr>
        <w:t>&gt;</w:t>
      </w:r>
      <w:r>
        <w:t xml:space="preserve"> with an applicable value of </w:t>
      </w:r>
      <w:r>
        <w:rPr>
          <w:rStyle w:val="Codeattribute"/>
        </w:rPr>
        <w:t>@subtype</w:t>
      </w:r>
      <w:r>
        <w:t xml:space="preserve"> as per §</w:t>
      </w:r>
      <w:r>
        <w:fldChar w:fldCharType="begin"/>
      </w:r>
      <w:r>
        <w:instrText xml:space="preserve"> REF _Ref43987131 \w \h  \* MERGEFORMAT </w:instrText>
      </w:r>
      <w:r>
        <w:fldChar w:fldCharType="separate"/>
      </w:r>
      <w:r>
        <w:t>5.1.2</w:t>
      </w:r>
      <w:r>
        <w:fldChar w:fldCharType="end"/>
      </w:r>
    </w:p>
    <w:p>
      <w:pPr>
        <w:pStyle w:val="Lista2"/>
      </w:pPr>
      <w:r>
        <w:lastRenderedPageBreak/>
        <w:t xml:space="preserve">if the lost component is a vowel whose prosodic length is known, then add the attribute </w:t>
      </w:r>
      <w:r>
        <w:rPr>
          <w:rStyle w:val="Codeattribute"/>
        </w:rPr>
        <w:t>@met</w:t>
      </w:r>
      <w:r>
        <w:t xml:space="preserve"> </w:t>
      </w:r>
      <w:r>
        <w:rPr>
          <w:noProof/>
        </w:rPr>
        <w:t>(</w:t>
      </w:r>
      <w:r>
        <w:t>as per §</w:t>
      </w:r>
      <w:r>
        <w:fldChar w:fldCharType="begin"/>
      </w:r>
      <w:r>
        <w:instrText xml:space="preserve"> REF _Ref228275301 \r \h </w:instrText>
      </w:r>
      <w:r>
        <w:fldChar w:fldCharType="separate"/>
      </w:r>
      <w:r>
        <w:t>6.5.2.3</w:t>
      </w:r>
      <w:r>
        <w:fldChar w:fldCharType="end"/>
      </w:r>
      <w:r>
        <w:t xml:space="preserve">) to the </w:t>
      </w:r>
      <w:r>
        <w:rPr>
          <w:rStyle w:val="Code"/>
        </w:rPr>
        <w:t xml:space="preserve">&lt;seg </w:t>
      </w:r>
      <w:r>
        <w:rPr>
          <w:rStyle w:val="Codeattribute"/>
        </w:rPr>
        <w:t>type</w:t>
      </w:r>
      <w:r>
        <w:rPr>
          <w:rStyle w:val="Code"/>
        </w:rPr>
        <w:t>=</w:t>
      </w:r>
      <w:r>
        <w:rPr>
          <w:rStyle w:val="Codevalue"/>
        </w:rPr>
        <w:t>"component"</w:t>
      </w:r>
      <w:r>
        <w:rPr>
          <w:rStyle w:val="Code"/>
        </w:rPr>
        <w:t>&gt;</w:t>
      </w:r>
      <w:r>
        <w:t xml:space="preserve"> wrapper </w:t>
      </w:r>
      <w:r>
        <w:rPr>
          <w:noProof/>
        </w:rPr>
        <w:t>(</w:t>
      </w:r>
      <w:r>
        <w:t xml:space="preserve">instead of adding an extra </w:t>
      </w:r>
      <w:r>
        <w:rPr>
          <w:rStyle w:val="Code"/>
        </w:rPr>
        <w:t>&lt;seg&gt;</w:t>
      </w:r>
      <w:r>
        <w:t xml:space="preserve"> element to be qualified by </w:t>
      </w:r>
      <w:r>
        <w:rPr>
          <w:rStyle w:val="Codeattribute"/>
        </w:rPr>
        <w:t>@met</w:t>
      </w:r>
      <w:r>
        <w:t>)</w:t>
      </w:r>
    </w:p>
    <w:p>
      <w:pPr>
        <w:pStyle w:val="Lista3"/>
      </w:pPr>
      <w:r>
        <w:t>such markup should reflect the positional value of the vowel and not its length by nature: if a vowel is followed by more than one consonant, then it is positionally long even if it is a short vowel by nature</w:t>
      </w:r>
    </w:p>
    <w:p>
      <w:pPr>
        <w:pStyle w:val="Lista"/>
      </w:pPr>
      <w:r>
        <w:t xml:space="preserve">because it is the </w:t>
      </w:r>
      <w:r>
        <w:rPr>
          <w:rStyle w:val="Code"/>
        </w:rPr>
        <w:t>&lt;seg&gt;</w:t>
      </w:r>
      <w:r>
        <w:t xml:space="preserve"> wrapper that identifies the kind of component affected by the lacuna, </w:t>
      </w:r>
    </w:p>
    <w:p>
      <w:pPr>
        <w:pStyle w:val="Lista2"/>
      </w:pPr>
      <w:r>
        <w:t xml:space="preserve">the </w:t>
      </w:r>
      <w:r>
        <w:rPr>
          <w:rStyle w:val="Codeattribute"/>
        </w:rPr>
        <w:t>@quantity</w:t>
      </w:r>
      <w:r>
        <w:t xml:space="preserve"> of such a gap will normally be 1</w:t>
      </w:r>
    </w:p>
    <w:p>
      <w:pPr>
        <w:pStyle w:val="Lista3"/>
      </w:pPr>
      <w:r>
        <w:t>except in rare cases where you are confident that two (or even more) components of the same kind (e.g. subscript) have been lost</w:t>
      </w:r>
    </w:p>
    <w:p>
      <w:pPr>
        <w:pStyle w:val="Lista2"/>
      </w:pPr>
      <w:r>
        <w:t xml:space="preserve">several components lost within a single </w:t>
      </w:r>
      <w:r>
        <w:rPr>
          <w:rStyle w:val="Foreign"/>
        </w:rPr>
        <w:t>akṣara</w:t>
      </w:r>
      <w:r>
        <w:t xml:space="preserve"> must normally be encoded with a separate </w:t>
      </w:r>
      <w:r>
        <w:rPr>
          <w:rStyle w:val="Code"/>
        </w:rPr>
        <w:t>&lt;gap/&gt;</w:t>
      </w:r>
      <w:r>
        <w:t xml:space="preserve"> enclosed in a separate </w:t>
      </w:r>
      <w:r>
        <w:rPr>
          <w:rStyle w:val="Code"/>
        </w:rPr>
        <w:t>&lt;seg&gt;</w:t>
      </w:r>
    </w:p>
    <w:p>
      <w:pPr>
        <w:pStyle w:val="Lista2"/>
      </w:pPr>
      <w:r>
        <w:t>however, a component as understood in sub-</w:t>
      </w:r>
      <w:proofErr w:type="spellStart"/>
      <w:r>
        <w:rPr>
          <w:rStyle w:val="Foreign"/>
        </w:rPr>
        <w:t>akṣara</w:t>
      </w:r>
      <w:proofErr w:type="spellEnd"/>
      <w:r>
        <w:t xml:space="preserve"> markup (§</w:t>
      </w:r>
      <w:r>
        <w:fldChar w:fldCharType="begin"/>
      </w:r>
      <w:r>
        <w:instrText xml:space="preserve"> REF _Ref228202081 \r \h </w:instrText>
      </w:r>
      <w:r>
        <w:fldChar w:fldCharType="separate"/>
      </w:r>
      <w:r>
        <w:t>5.1.2</w:t>
      </w:r>
      <w:r>
        <w:fldChar w:fldCharType="end"/>
      </w:r>
      <w:r>
        <w:t xml:space="preserve">) is not necessarily a single glyph component (i.e. a single graph representing a single grapheme): some values of </w:t>
      </w:r>
      <w:r>
        <w:rPr>
          <w:rStyle w:val="Codeattribute"/>
        </w:rPr>
        <w:t>@subtype</w:t>
      </w:r>
      <w:r>
        <w:t xml:space="preserve"> (e.g. </w:t>
      </w:r>
      <w:r>
        <w:rPr>
          <w:rStyle w:val="Codevalue"/>
        </w:rPr>
        <w:t>"body"</w:t>
      </w:r>
      <w:r>
        <w:t xml:space="preserve">, </w:t>
      </w:r>
      <w:r>
        <w:rPr>
          <w:rStyle w:val="Codevalue"/>
        </w:rPr>
        <w:t>"conjunct"</w:t>
      </w:r>
      <w:r>
        <w:t>) permit or require more than one grapheme</w:t>
      </w:r>
    </w:p>
    <w:p>
      <w:pPr>
        <w:pStyle w:val="Lista"/>
      </w:pPr>
      <w:r>
        <w:t xml:space="preserve">if you deem that the resulting complicated markup leads to potential ambiguity regarding </w:t>
      </w:r>
      <w:r>
        <w:rPr>
          <w:rStyle w:val="Foreign"/>
        </w:rPr>
        <w:t>akṣara</w:t>
      </w:r>
      <w:r>
        <w:t xml:space="preserve"> boundaries, feel free to wrap target graphemes and lacunae belonging to a single original glyph in the element </w:t>
      </w:r>
      <w:r>
        <w:rPr>
          <w:rStyle w:val="Code"/>
        </w:rPr>
        <w:t xml:space="preserve">&lt;seg </w:t>
      </w:r>
      <w:r>
        <w:rPr>
          <w:rStyle w:val="Codeattribute"/>
        </w:rPr>
        <w:t>type</w:t>
      </w:r>
      <w:r>
        <w:rPr>
          <w:rStyle w:val="Code"/>
        </w:rPr>
        <w:t>=</w:t>
      </w:r>
      <w:r>
        <w:rPr>
          <w:rStyle w:val="Codevalue"/>
        </w:rPr>
        <w:t>"aksara"</w:t>
      </w:r>
      <w:r>
        <w:rPr>
          <w:rStyle w:val="Code"/>
        </w:rPr>
        <w:t>&gt;</w:t>
      </w:r>
      <w:r>
        <w:t xml:space="preserve"> as per §</w:t>
      </w:r>
      <w:r>
        <w:fldChar w:fldCharType="begin"/>
      </w:r>
      <w:r>
        <w:instrText xml:space="preserve"> REF _Ref43987221 \w \h  \* MERGEFORMAT </w:instrText>
      </w:r>
      <w:r>
        <w:fldChar w:fldCharType="separate"/>
      </w:r>
      <w:r>
        <w:t>5.1.1</w:t>
      </w:r>
      <w:r>
        <w:fldChar w:fldCharType="end"/>
      </w:r>
    </w:p>
    <w:p/>
    <w:tbl>
      <w:tblPr>
        <w:tblStyle w:val="CodeSampleTable"/>
        <w:tblW w:w="0" w:type="auto"/>
        <w:tblLook w:val="04A0" w:firstRow="1" w:lastRow="0" w:firstColumn="1" w:lastColumn="0" w:noHBand="0" w:noVBand="1"/>
      </w:tblPr>
      <w:tblGrid>
        <w:gridCol w:w="5263"/>
        <w:gridCol w:w="4365"/>
      </w:tblGrid>
      <w:tr>
        <w:trPr>
          <w:cnfStyle w:val="100000000000" w:firstRow="1" w:lastRow="0" w:firstColumn="0" w:lastColumn="0" w:oddVBand="0" w:evenVBand="0" w:oddHBand="0" w:evenHBand="0" w:firstRowFirstColumn="0" w:firstRowLastColumn="0" w:lastRowFirstColumn="0" w:lastRowLastColumn="0"/>
        </w:trPr>
        <w:tc>
          <w:tcPr>
            <w:tcW w:w="9054" w:type="dxa"/>
            <w:gridSpan w:val="2"/>
          </w:tcPr>
          <w:p>
            <w:pPr>
              <w:pStyle w:val="Kpalrs"/>
            </w:pPr>
            <w:r>
              <w:t xml:space="preserve">Exhibit </w:t>
            </w:r>
            <w:fldSimple w:instr=" STYLEREF 2 \s ">
              <w:r>
                <w:rPr>
                  <w:noProof/>
                </w:rPr>
                <w:t>6.5</w:t>
              </w:r>
            </w:fldSimple>
            <w:r>
              <w:t>.</w:t>
            </w:r>
            <w:fldSimple w:instr=" SEQ Exhibit \* ALPHABETIC \s 2 ">
              <w:r>
                <w:rPr>
                  <w:noProof/>
                </w:rPr>
                <w:t>B</w:t>
              </w:r>
            </w:fldSimple>
            <w:r>
              <w:t>: lost consonants</w:t>
            </w:r>
          </w:p>
        </w:tc>
      </w:tr>
      <w:tr>
        <w:tc>
          <w:tcPr>
            <w:tcW w:w="5946" w:type="dxa"/>
          </w:tcPr>
          <w:p>
            <w:pPr>
              <w:pStyle w:val="TableNote"/>
              <w:keepNext/>
            </w:pPr>
            <w:r>
              <w:t xml:space="preserve">a vowel marker for </w:t>
            </w:r>
            <w:r>
              <w:rPr>
                <w:rStyle w:val="Foreign"/>
              </w:rPr>
              <w:t>ā</w:t>
            </w:r>
            <w:r>
              <w:t xml:space="preserve"> and an </w:t>
            </w:r>
            <w:r>
              <w:rPr>
                <w:rStyle w:val="Foreign"/>
              </w:rPr>
              <w:t>anusvāra</w:t>
            </w:r>
            <w:r>
              <w:t xml:space="preserve"> are visible in the last partial line of a fragment</w:t>
            </w:r>
          </w:p>
        </w:tc>
        <w:tc>
          <w:tcPr>
            <w:tcW w:w="3108" w:type="dxa"/>
            <w:vMerge w:val="restart"/>
          </w:tcPr>
          <w:p>
            <w:pPr>
              <w:pStyle w:val="Image"/>
            </w:pPr>
            <w:r>
              <w:drawing>
                <wp:inline distT="114300" distB="114300" distL="114300" distR="114300">
                  <wp:extent cx="2768600" cy="1074382"/>
                  <wp:effectExtent l="0" t="0" r="0" b="0"/>
                  <wp:docPr id="2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73"/>
                          <a:srcRect/>
                          <a:stretch>
                            <a:fillRect/>
                          </a:stretch>
                        </pic:blipFill>
                        <pic:spPr>
                          <a:xfrm>
                            <a:off x="0" y="0"/>
                            <a:ext cx="2920140" cy="1133189"/>
                          </a:xfrm>
                          <a:prstGeom prst="rect">
                            <a:avLst/>
                          </a:prstGeom>
                          <a:ln/>
                        </pic:spPr>
                      </pic:pic>
                    </a:graphicData>
                  </a:graphic>
                </wp:inline>
              </w:drawing>
            </w:r>
          </w:p>
        </w:tc>
      </w:tr>
      <w:tr>
        <w:tc>
          <w:tcPr>
            <w:tcW w:w="5946" w:type="dxa"/>
          </w:tcPr>
          <w:p>
            <w:pPr>
              <w:pStyle w:val="CodeParagraph"/>
              <w:rPr>
                <w:rStyle w:val="Code"/>
              </w:rPr>
            </w:pPr>
            <w:r>
              <w:rPr>
                <w:rStyle w:val="Code"/>
              </w:rPr>
              <w:t xml:space="preserve">&lt;seg </w:t>
            </w:r>
            <w:r>
              <w:rPr>
                <w:rStyle w:val="Codeattribute"/>
              </w:rPr>
              <w:t>type</w:t>
            </w:r>
            <w:r>
              <w:rPr>
                <w:rStyle w:val="Code"/>
              </w:rPr>
              <w:t>=</w:t>
            </w:r>
            <w:r>
              <w:rPr>
                <w:rStyle w:val="Codevalue"/>
              </w:rPr>
              <w:t>"aksara"</w:t>
            </w:r>
            <w:r>
              <w:rPr>
                <w:rStyle w:val="Code"/>
              </w:rPr>
              <w:t xml:space="preserve">&gt;&lt;seg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"body"</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w:t>
            </w:r>
            <w:r>
              <w:rPr>
                <w:rStyle w:val="Codetext"/>
              </w:rPr>
              <w:t>ā</w:t>
            </w:r>
            <w:r>
              <w:rPr>
                <w:rStyle w:val="Code"/>
              </w:rPr>
              <w:t>&lt;/seg&gt;</w:t>
            </w:r>
          </w:p>
          <w:p>
            <w:pPr>
              <w:pStyle w:val="CodeParagraph"/>
              <w:rPr>
                <w:rStyle w:val="Code"/>
              </w:rPr>
            </w:pPr>
            <w:r>
              <w:rPr>
                <w:rStyle w:val="Code"/>
              </w:rPr>
              <w:t xml:space="preserve">&lt;seg </w:t>
            </w:r>
            <w:r>
              <w:rPr>
                <w:rStyle w:val="Codeattribute"/>
              </w:rPr>
              <w:t>type</w:t>
            </w:r>
            <w:r>
              <w:rPr>
                <w:rStyle w:val="Code"/>
              </w:rPr>
              <w:t>=</w:t>
            </w:r>
            <w:r>
              <w:rPr>
                <w:rStyle w:val="Codevalue"/>
              </w:rPr>
              <w:t>"aksara"</w:t>
            </w:r>
            <w:r>
              <w:rPr>
                <w:rStyle w:val="Code"/>
              </w:rPr>
              <w:t xml:space="preserve">&gt;&lt;seg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"body"</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 xml:space="preserve">/&gt;&lt;/seg&gt;&lt;unclear </w:t>
            </w:r>
            <w:r>
              <w:rPr>
                <w:rStyle w:val="Codeattribute"/>
              </w:rPr>
              <w:t>cert</w:t>
            </w:r>
            <w:r>
              <w:rPr>
                <w:rStyle w:val="Code"/>
              </w:rPr>
              <w:t>=</w:t>
            </w:r>
            <w:r>
              <w:rPr>
                <w:rStyle w:val="Codevalue"/>
              </w:rPr>
              <w:t>"low"</w:t>
            </w:r>
            <w:r>
              <w:rPr>
                <w:rStyle w:val="Code"/>
              </w:rPr>
              <w:t>&gt;</w:t>
            </w:r>
            <w:r>
              <w:rPr>
                <w:rStyle w:val="Codetext"/>
              </w:rPr>
              <w:t>a</w:t>
            </w:r>
            <w:r>
              <w:rPr>
                <w:rStyle w:val="Code"/>
              </w:rPr>
              <w:t>&lt;/unclear&gt;</w:t>
            </w:r>
            <w:r>
              <w:rPr>
                <w:rStyle w:val="Codetext"/>
              </w:rPr>
              <w:t>ṁ</w:t>
            </w:r>
            <w:r>
              <w:rPr>
                <w:rStyle w:val="Code"/>
              </w:rPr>
              <w:t>&lt;/seg&gt;</w:t>
            </w:r>
          </w:p>
        </w:tc>
        <w:tc>
          <w:tcPr>
            <w:tcW w:w="3108" w:type="dxa"/>
            <w:vMerge/>
          </w:tcPr>
          <w:p>
            <w:pPr>
              <w:pStyle w:val="CodeParagraph"/>
              <w:rPr>
                <w:rStyle w:val="Code"/>
              </w:rPr>
            </w:pP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r>
              <w:t xml:space="preserve">Exhibit </w:t>
            </w:r>
            <w:fldSimple w:instr=" STYLEREF 2 \s ">
              <w:r>
                <w:rPr>
                  <w:noProof/>
                </w:rPr>
                <w:t>6.5</w:t>
              </w:r>
            </w:fldSimple>
            <w:r>
              <w:t>.</w:t>
            </w:r>
            <w:fldSimple w:instr=" SEQ Exhibit \* ALPHABETIC \s 2 ">
              <w:r>
                <w:rPr>
                  <w:noProof/>
                </w:rPr>
                <w:t>C</w:t>
              </w:r>
            </w:fldSimple>
            <w:r>
              <w:t>: lost vowel marker</w:t>
            </w:r>
          </w:p>
        </w:tc>
      </w:tr>
      <w:tr>
        <w:tc>
          <w:tcPr>
            <w:tcW w:w="5000" w:type="pct"/>
          </w:tcPr>
          <w:p>
            <w:pPr>
              <w:pStyle w:val="Image"/>
            </w:pPr>
            <w:r>
              <w:drawing>
                <wp:inline distT="0" distB="0" distL="0" distR="0">
                  <wp:extent cx="2187575" cy="875030"/>
                  <wp:effectExtent l="0" t="0" r="3175" b="127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4">
                            <a:extLst>
                              <a:ext uri="{28A0092B-C50C-407E-A947-70E740481C1C}">
                                <a14:useLocalDpi xmlns:a14="http://schemas.microsoft.com/office/drawing/2010/main" val="0"/>
                              </a:ext>
                            </a:extLst>
                          </a:blip>
                          <a:srcRect/>
                          <a:stretch>
                            <a:fillRect/>
                          </a:stretch>
                        </pic:blipFill>
                        <pic:spPr>
                          <a:xfrm>
                            <a:off x="0" y="0"/>
                            <a:ext cx="2187575" cy="875030"/>
                          </a:xfrm>
                          <a:prstGeom prst="rect">
                            <a:avLst/>
                          </a:prstGeom>
                          <a:ln/>
                        </pic:spPr>
                      </pic:pic>
                    </a:graphicData>
                  </a:graphic>
                </wp:inline>
              </w:drawing>
            </w:r>
          </w:p>
        </w:tc>
      </w:tr>
      <w:tr>
        <w:tc>
          <w:tcPr>
            <w:tcW w:w="5000" w:type="pct"/>
          </w:tcPr>
          <w:p>
            <w:pPr>
              <w:pStyle w:val="TableNote"/>
              <w:keepNext/>
            </w:pPr>
            <w:r>
              <w:t xml:space="preserve">the consonant </w:t>
            </w:r>
            <w:r>
              <w:rPr>
                <w:rStyle w:val="Foreign"/>
              </w:rPr>
              <w:t>t</w:t>
            </w:r>
            <w:r>
              <w:t xml:space="preserve"> has so much damage around it that it may have had any of several vowel marks or none, as in the hypothetical image here</w:t>
            </w:r>
          </w:p>
          <w:p>
            <w:pPr>
              <w:pStyle w:val="TableNote"/>
              <w:keepNext/>
            </w:pPr>
            <w:r>
              <w:t>some candidates are shown on the right</w:t>
            </w:r>
          </w:p>
          <w:p>
            <w:pPr>
              <w:pStyle w:val="TableNote"/>
              <w:keepNext/>
            </w:pPr>
            <w:r>
              <w:t xml:space="preserve">the same might be represented through transliteration without markup using the optional shorthand </w:t>
            </w:r>
            <w:r>
              <w:rPr>
                <w:rStyle w:val="Foreign"/>
              </w:rPr>
              <w:t>tV</w:t>
            </w:r>
            <w:r>
              <w:t xml:space="preserve"> (TG §3.3.2.2)</w:t>
            </w:r>
          </w:p>
        </w:tc>
      </w:tr>
      <w:tr>
        <w:tc>
          <w:tcPr>
            <w:tcW w:w="5000" w:type="pct"/>
          </w:tcPr>
          <w:p>
            <w:pPr>
              <w:pStyle w:val="CodeParagraph"/>
              <w:rPr>
                <w:rStyle w:val="Code"/>
              </w:rPr>
            </w:pPr>
            <w:r>
              <w:rPr>
                <w:rStyle w:val="Codetext"/>
              </w:rPr>
              <w:t>t</w:t>
            </w: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"vowel"</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r>
              <w:lastRenderedPageBreak/>
              <w:t xml:space="preserve">Exhibit </w:t>
            </w:r>
            <w:fldSimple w:instr=" STYLEREF 2 \s ">
              <w:r>
                <w:rPr>
                  <w:noProof/>
                </w:rPr>
                <w:t>6.5</w:t>
              </w:r>
            </w:fldSimple>
            <w:r>
              <w:t>.</w:t>
            </w:r>
            <w:fldSimple w:instr=" SEQ Exhibit \* ALPHABETIC \s 2 ">
              <w:r>
                <w:rPr>
                  <w:noProof/>
                </w:rPr>
                <w:t>D</w:t>
              </w:r>
            </w:fldSimple>
            <w:r>
              <w:t>: lost body with subscript component</w:t>
            </w:r>
          </w:p>
        </w:tc>
      </w:tr>
      <w:tr>
        <w:tc>
          <w:tcPr>
            <w:tcW w:w="5000" w:type="pct"/>
          </w:tcPr>
          <w:p>
            <w:pPr>
              <w:pStyle w:val="Image"/>
            </w:pPr>
            <w:r>
              <w:drawing>
                <wp:inline distT="0" distB="0" distL="0" distR="0">
                  <wp:extent cx="2967186" cy="844550"/>
                  <wp:effectExtent l="0" t="0" r="5080" b="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5">
                            <a:extLst>
                              <a:ext uri="{28A0092B-C50C-407E-A947-70E740481C1C}">
                                <a14:useLocalDpi xmlns:a14="http://schemas.microsoft.com/office/drawing/2010/main" val="0"/>
                              </a:ext>
                            </a:extLst>
                          </a:blip>
                          <a:srcRect/>
                          <a:stretch>
                            <a:fillRect/>
                          </a:stretch>
                        </pic:blipFill>
                        <pic:spPr>
                          <a:xfrm>
                            <a:off x="0" y="0"/>
                            <a:ext cx="2985276" cy="849699"/>
                          </a:xfrm>
                          <a:prstGeom prst="rect">
                            <a:avLst/>
                          </a:prstGeom>
                          <a:ln/>
                        </pic:spPr>
                      </pic:pic>
                    </a:graphicData>
                  </a:graphic>
                </wp:inline>
              </w:drawing>
            </w:r>
          </w:p>
        </w:tc>
      </w:tr>
      <w:tr>
        <w:tc>
          <w:tcPr>
            <w:tcW w:w="5000" w:type="pct"/>
          </w:tcPr>
          <w:p>
            <w:pPr>
              <w:pStyle w:val="TableNote"/>
              <w:keepNext/>
            </w:pPr>
            <w:r>
              <w:t xml:space="preserve">a clear subscript </w:t>
            </w:r>
            <w:r>
              <w:rPr>
                <w:rStyle w:val="Foreign"/>
              </w:rPr>
              <w:t>y</w:t>
            </w:r>
            <w:r>
              <w:t xml:space="preserve"> survives but the principal consonant</w:t>
            </w:r>
            <w:r>
              <w:rPr>
                <w:noProof/>
              </w:rPr>
              <w:t>(</w:t>
            </w:r>
            <w:r>
              <w:t>s) are obliterated along with any vowel marker, as in the hypothetical image above</w:t>
            </w:r>
          </w:p>
          <w:p>
            <w:pPr>
              <w:pStyle w:val="TableNote"/>
              <w:keepNext/>
            </w:pPr>
            <w:r>
              <w:t>some candidates are shown on the right</w:t>
            </w:r>
          </w:p>
        </w:tc>
      </w:tr>
      <w:tr>
        <w:tc>
          <w:tcPr>
            <w:tcW w:w="5000" w:type="pct"/>
          </w:tcPr>
          <w:p>
            <w:pPr>
              <w:pStyle w:val="CodeParagraph"/>
              <w:rPr>
                <w:rStyle w:val="Code"/>
              </w:rPr>
            </w:pP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"body"</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w:t>
            </w:r>
            <w:r>
              <w:rPr>
                <w:rStyle w:val="Codetext"/>
              </w:rPr>
              <w:t>y</w:t>
            </w: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"vowel"</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r>
              <w:t xml:space="preserve">Exhibit </w:t>
            </w:r>
            <w:fldSimple w:instr=" STYLEREF 2 \s ">
              <w:r>
                <w:rPr>
                  <w:noProof/>
                </w:rPr>
                <w:t>6.5</w:t>
              </w:r>
            </w:fldSimple>
            <w:r>
              <w:t>.</w:t>
            </w:r>
            <w:fldSimple w:instr=" SEQ Exhibit \* ALPHABETIC \s 2 ">
              <w:r>
                <w:rPr>
                  <w:noProof/>
                </w:rPr>
                <w:t>E</w:t>
              </w:r>
            </w:fldSimple>
            <w:r>
              <w:t>: a complex sequence of partially lost glyphs</w:t>
            </w:r>
          </w:p>
        </w:tc>
      </w:tr>
      <w:tr>
        <w:tc>
          <w:tcPr>
            <w:tcW w:w="5000" w:type="pct"/>
          </w:tcPr>
          <w:p>
            <w:pPr>
              <w:pStyle w:val="TableNote"/>
              <w:keepNext/>
            </w:pPr>
            <w:r>
              <w:t xml:space="preserve">a sequence comprised of the following elements, which are known to follow the prosodic pattern </w:t>
            </w:r>
            <w:r>
              <w:rPr>
                <w:rStyle w:val="MetreCode"/>
              </w:rPr>
              <w:t>−−⏑</w:t>
            </w:r>
          </w:p>
          <w:p>
            <w:pPr>
              <w:pStyle w:val="TableNote"/>
              <w:keepNext/>
            </w:pPr>
            <w:r>
              <w:t xml:space="preserve">the legible glyph </w:t>
            </w:r>
            <w:r>
              <w:rPr>
                <w:rStyle w:val="Foreign"/>
              </w:rPr>
              <w:t>ku</w:t>
            </w:r>
            <w:r>
              <w:t>, which is simply transliterated</w:t>
            </w:r>
          </w:p>
          <w:p>
            <w:pPr>
              <w:pStyle w:val="TableNote"/>
              <w:keepNext/>
            </w:pPr>
            <w:r>
              <w:t xml:space="preserve">one wholly illegible </w:t>
            </w:r>
            <w:r>
              <w:rPr>
                <w:rStyle w:val="Foreign"/>
              </w:rPr>
              <w:t>akṣara</w:t>
            </w:r>
            <w:r>
              <w:t xml:space="preserve">, which we prefer not to encode simply as a lacuna of one character which is prosodically long, as this would obscure the fact that since the preceding </w:t>
            </w:r>
            <w:r>
              <w:rPr>
                <w:noProof/>
              </w:rPr>
              <w:t>(</w:t>
            </w:r>
            <w:r>
              <w:t xml:space="preserve">clear) </w:t>
            </w:r>
            <w:r>
              <w:rPr>
                <w:rStyle w:val="Foreign"/>
              </w:rPr>
              <w:t>ku</w:t>
            </w:r>
            <w:r>
              <w:t xml:space="preserve"> is prosodically long, the present lost </w:t>
            </w:r>
            <w:r>
              <w:rPr>
                <w:rStyle w:val="Foreign"/>
              </w:rPr>
              <w:t>akṣara</w:t>
            </w:r>
            <w:r>
              <w:t xml:space="preserve"> must be a conjunct</w:t>
            </w:r>
          </w:p>
          <w:p>
            <w:pPr>
              <w:pStyle w:val="TableNote"/>
              <w:keepNext/>
            </w:pPr>
            <w:r>
              <w:t xml:space="preserve">a clear regular </w:t>
            </w:r>
            <w:r>
              <w:rPr>
                <w:rStyle w:val="Foreign"/>
              </w:rPr>
              <w:t>y</w:t>
            </w:r>
            <w:r>
              <w:t xml:space="preserve"> that may or may not have had a vowel marker attached</w:t>
            </w:r>
          </w:p>
        </w:tc>
      </w:tr>
      <w:tr>
        <w:tc>
          <w:tcPr>
            <w:tcW w:w="5000" w:type="pct"/>
          </w:tcPr>
          <w:p>
            <w:pPr>
              <w:pStyle w:val="CodeParagraph"/>
              <w:keepNext/>
              <w:rPr>
                <w:rStyle w:val="Code"/>
              </w:rPr>
            </w:pPr>
            <w:r>
              <w:rPr>
                <w:rStyle w:val="Codetext"/>
              </w:rPr>
              <w:t>ku</w:t>
            </w:r>
            <w:r>
              <w:rPr>
                <w:rStyle w:val="Code"/>
              </w:rPr>
              <w:t xml:space="preserve">&lt;seg </w:t>
            </w:r>
            <w:r>
              <w:rPr>
                <w:rStyle w:val="Codeattribute"/>
              </w:rPr>
              <w:t>type</w:t>
            </w:r>
            <w:r>
              <w:rPr>
                <w:rStyle w:val="Code"/>
              </w:rPr>
              <w:t>=</w:t>
            </w:r>
            <w:r>
              <w:rPr>
                <w:rStyle w:val="Codevalue"/>
              </w:rPr>
              <w:t>"aksara"</w:t>
            </w:r>
            <w:r>
              <w:rPr>
                <w:rStyle w:val="Code"/>
              </w:rPr>
              <w:t xml:space="preserve">&gt;&lt;seg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"conjunct"</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 xml:space="preserve">/&gt;&lt;/seg&gt;&lt;seg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"vowel"</w:t>
            </w:r>
            <w:r>
              <w:rPr>
                <w:rStyle w:val="Code"/>
              </w:rPr>
              <w:t xml:space="preserve"> </w:t>
            </w:r>
            <w:r>
              <w:rPr>
                <w:rStyle w:val="Codeattribute"/>
              </w:rPr>
              <w:t>met</w:t>
            </w:r>
            <w:r>
              <w:rPr>
                <w:rStyle w:val="Code"/>
              </w:rPr>
              <w:t>=</w:t>
            </w:r>
            <w:r>
              <w:rPr>
                <w:rStyle w:val="Codevalue"/>
              </w:rPr>
              <w:t>"+"</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/&gt;&lt;/seg&gt;&lt;/seg&gt;</w:t>
            </w:r>
            <w:r>
              <w:rPr>
                <w:rStyle w:val="Codetext"/>
              </w:rPr>
              <w:t>y</w:t>
            </w: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"vowel"</w:t>
            </w:r>
            <w:r>
              <w:rPr>
                <w:rStyle w:val="Code"/>
              </w:rPr>
              <w:t xml:space="preserve"> </w:t>
            </w:r>
            <w:r>
              <w:rPr>
                <w:rStyle w:val="Codeattribute"/>
              </w:rPr>
              <w:t>met</w:t>
            </w:r>
            <w:r>
              <w:rPr>
                <w:rStyle w:val="Code"/>
              </w:rPr>
              <w:t>=</w:t>
            </w:r>
            <w:r>
              <w:rPr>
                <w:rStyle w:val="Codevalue"/>
              </w:rPr>
              <w:t>"+"</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w:t>
            </w:r>
          </w:p>
        </w:tc>
      </w:tr>
      <w:tr>
        <w:tc>
          <w:tcPr>
            <w:tcW w:w="5000" w:type="pct"/>
          </w:tcPr>
          <w:p>
            <w:pPr>
              <w:pStyle w:val="TableNote"/>
              <w:rPr>
                <w:rStyle w:val="Codetext"/>
              </w:rPr>
            </w:pPr>
            <w:r>
              <w:t xml:space="preserve">in the above example, the tag </w:t>
            </w:r>
            <w:r>
              <w:rPr>
                <w:rStyle w:val="Code"/>
              </w:rPr>
              <w:t xml:space="preserve">&lt;seg </w:t>
            </w:r>
            <w:r>
              <w:rPr>
                <w:rStyle w:val="Codeattribute"/>
              </w:rPr>
              <w:t>type</w:t>
            </w:r>
            <w:r>
              <w:rPr>
                <w:rStyle w:val="Code"/>
              </w:rPr>
              <w:t>=</w:t>
            </w:r>
            <w:r>
              <w:rPr>
                <w:rStyle w:val="Codevalue"/>
              </w:rPr>
              <w:t>"aksara"</w:t>
            </w:r>
            <w:r>
              <w:rPr>
                <w:rStyle w:val="Code"/>
              </w:rPr>
              <w:t>&gt;</w:t>
            </w:r>
            <w:r>
              <w:t xml:space="preserve"> around the second </w:t>
            </w:r>
            <w:r>
              <w:rPr>
                <w:noProof/>
              </w:rPr>
              <w:t>(</w:t>
            </w:r>
            <w:r>
              <w:t xml:space="preserve">wholly lost) character is not strictly necessary, but it has been added to make it explicit that the illegible conjunct consonant and the illegible vowel comprise one </w:t>
            </w:r>
            <w:r>
              <w:rPr>
                <w:rStyle w:val="Foreign"/>
              </w:rPr>
              <w:t>akṣara</w:t>
            </w:r>
          </w:p>
        </w:tc>
      </w:tr>
    </w:tbl>
    <w:p>
      <w:pPr>
        <w:pStyle w:val="Cmsor3"/>
      </w:pPr>
      <w:bookmarkStart w:id="544" w:name="_ks1ouwdqdoh4" w:colFirst="0" w:colLast="0"/>
      <w:bookmarkStart w:id="545" w:name="_Ref228348376"/>
      <w:bookmarkStart w:id="546" w:name="_Toc242976648"/>
      <w:bookmarkEnd w:id="544"/>
      <w:r>
        <w:t>Managing line-level lacunae</w:t>
      </w:r>
      <w:bookmarkEnd w:id="545"/>
      <w:bookmarkEnd w:id="546"/>
    </w:p>
    <w:p>
      <w:pPr>
        <w:rPr>
          <w:lang w:eastAsia="en-US" w:bidi="ar-SA"/>
        </w:rPr>
      </w:pPr>
      <w:r>
        <w:rPr>
          <w:lang w:eastAsia="en-US" w:bidi="ar-SA"/>
        </w:rPr>
        <w:t>As noted in §</w:t>
      </w:r>
      <w:r>
        <w:rPr>
          <w:lang w:eastAsia="en-US" w:bidi="ar-SA"/>
        </w:rPr>
        <w:fldChar w:fldCharType="begin"/>
      </w:r>
      <w:r>
        <w:rPr>
          <w:lang w:eastAsia="en-US" w:bidi="ar-SA"/>
        </w:rPr>
        <w:instrText xml:space="preserve"> REF _Ref43988016 \r \h </w:instrText>
      </w:r>
      <w:r>
        <w:rPr>
          <w:lang w:eastAsia="en-US" w:bidi="ar-SA"/>
        </w:rPr>
      </w:r>
      <w:r>
        <w:rPr>
          <w:lang w:eastAsia="en-US" w:bidi="ar-SA"/>
        </w:rPr>
        <w:fldChar w:fldCharType="separate"/>
      </w:r>
      <w:r>
        <w:rPr>
          <w:lang w:eastAsia="en-US" w:bidi="ar-SA"/>
        </w:rPr>
        <w:t>6.5.2</w:t>
      </w:r>
      <w:r>
        <w:rPr>
          <w:lang w:eastAsia="en-US" w:bidi="ar-SA"/>
        </w:rPr>
        <w:fldChar w:fldCharType="end"/>
      </w:r>
      <w:r>
        <w:rPr>
          <w:lang w:eastAsia="en-US" w:bidi="ar-SA"/>
        </w:rPr>
        <w:t xml:space="preserve">, the preferred method for encoding lacunae is to treat them as inline. Consequently, when </w:t>
      </w:r>
    </w:p>
    <w:p>
      <w:pPr>
        <w:rPr>
          <w:lang w:eastAsia="en-US" w:bidi="ar-SA"/>
        </w:rPr>
      </w:pPr>
      <w:r>
        <w:rPr>
          <w:lang w:eastAsia="en-US" w:bidi="ar-SA"/>
        </w:rPr>
        <w:t>a lacuna extends over one or more entire physical lines, the preferred encoding method is to mark up the beginning of each line, with an inline lacuna occupying the entire line. Doing so allows the edition to reflect the source’s extrinsic structure accurately and to number physical lines consecutively without complications. This, of course, is only feasible when the number of lost or illegible lines is small and can be precisely determined.</w:t>
      </w:r>
    </w:p>
    <w:p>
      <w:pPr>
        <w:pStyle w:val="Cmsor4"/>
      </w:pPr>
      <w:bookmarkStart w:id="547" w:name="_Ref228368995"/>
      <w:r>
        <w:t>Inline lacunae for full lines</w:t>
      </w:r>
      <w:bookmarkEnd w:id="547"/>
    </w:p>
    <w:p>
      <w:r>
        <w:t>When the number of lost or illegible lines is small (as a rule of thumb, up to five) and can be determined precisely, reconstruct the extrinsic structure in your edition and encode inline lacunae as follows.</w:t>
      </w:r>
    </w:p>
    <w:p>
      <w:pPr>
        <w:pStyle w:val="Lista"/>
      </w:pPr>
      <w:r>
        <w:t xml:space="preserve">encode each line beginning </w:t>
      </w:r>
      <w:r>
        <w:rPr>
          <w:noProof/>
        </w:rPr>
        <w:t>(</w:t>
      </w:r>
      <w:r>
        <w:t>§</w:t>
      </w:r>
      <w:r>
        <w:fldChar w:fldCharType="begin"/>
      </w:r>
      <w:r>
        <w:instrText xml:space="preserve"> REF _Ref43980100 \r \h </w:instrText>
      </w:r>
      <w:r>
        <w:fldChar w:fldCharType="separate"/>
      </w:r>
      <w:r>
        <w:t>4.5.1</w:t>
      </w:r>
      <w:r>
        <w:fldChar w:fldCharType="end"/>
      </w:r>
      <w:r>
        <w:t>), numbering them consecutively</w:t>
      </w:r>
    </w:p>
    <w:p>
      <w:pPr>
        <w:pStyle w:val="Lista"/>
      </w:pPr>
      <w:r>
        <w:t xml:space="preserve">populate each line with separate inline </w:t>
      </w:r>
      <w:r>
        <w:rPr>
          <w:rStyle w:val="Code"/>
        </w:rPr>
        <w:t>&lt;gap/&gt;</w:t>
      </w:r>
      <w:r>
        <w:t xml:space="preserve"> elements </w:t>
      </w:r>
      <w:r>
        <w:rPr>
          <w:noProof/>
        </w:rPr>
        <w:t>(</w:t>
      </w:r>
      <w:r>
        <w:t>§</w:t>
      </w:r>
      <w:r>
        <w:fldChar w:fldCharType="begin"/>
      </w:r>
      <w:r>
        <w:instrText xml:space="preserve"> REF _Ref43988016 \w \h  \* MERGEFORMAT </w:instrText>
      </w:r>
      <w:r>
        <w:fldChar w:fldCharType="separate"/>
      </w:r>
      <w:r>
        <w:t>6.5.2</w:t>
      </w:r>
      <w:r>
        <w:fldChar w:fldCharType="end"/>
      </w:r>
      <w:r>
        <w:t>), encoded as lost or illegible (§</w:t>
      </w:r>
      <w:r>
        <w:fldChar w:fldCharType="begin"/>
      </w:r>
      <w:r>
        <w:instrText xml:space="preserve"> REF _Ref43987758 \r \h </w:instrText>
      </w:r>
      <w:r>
        <w:fldChar w:fldCharType="separate"/>
      </w:r>
      <w:r>
        <w:t>6.5.1.1</w:t>
      </w:r>
      <w:r>
        <w:fldChar w:fldCharType="end"/>
      </w:r>
      <w:r>
        <w:t>) as the case may be, with estimated quantity or unknown extent (§</w:t>
      </w:r>
      <w:r>
        <w:fldChar w:fldCharType="begin"/>
      </w:r>
      <w:r>
        <w:instrText xml:space="preserve"> REF _Ref228262228 \r \h </w:instrText>
      </w:r>
      <w:r>
        <w:fldChar w:fldCharType="separate"/>
      </w:r>
      <w:r>
        <w:t>6.5.1.2</w:t>
      </w:r>
      <w:r>
        <w:fldChar w:fldCharType="end"/>
      </w:r>
      <w:r>
        <w:t>)</w:t>
      </w:r>
    </w:p>
    <w:p>
      <w:pPr>
        <w:pStyle w:val="Lista"/>
      </w:pPr>
      <w:r>
        <w:t xml:space="preserve">e.g. for a gap of two full lines, </w:t>
      </w:r>
      <w:r>
        <w:rPr>
          <w:rStyle w:val="Code"/>
        </w:rPr>
        <w:t xml:space="preserve">&lt;lb </w:t>
      </w:r>
      <w:r>
        <w:rPr>
          <w:rStyle w:val="Codeattribute"/>
        </w:rPr>
        <w:t>n</w:t>
      </w:r>
      <w:r>
        <w:rPr>
          <w:rStyle w:val="Code"/>
        </w:rPr>
        <w:t>=</w:t>
      </w:r>
      <w:r>
        <w:rPr>
          <w:rStyle w:val="Codevalue"/>
        </w:rPr>
        <w:t>"3"</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"30"</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 xml:space="preserve">/&gt;&lt;lb </w:t>
      </w:r>
      <w:r>
        <w:rPr>
          <w:rStyle w:val="Codeattribute"/>
        </w:rPr>
        <w:t>n</w:t>
      </w:r>
      <w:r>
        <w:rPr>
          <w:rStyle w:val="Code"/>
        </w:rPr>
        <w:t>=</w:t>
      </w:r>
      <w:r>
        <w:rPr>
          <w:rStyle w:val="Codevalue"/>
        </w:rPr>
        <w:t>"4"</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"30"</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w:t>
      </w:r>
    </w:p>
    <w:p>
      <w:pPr>
        <w:pStyle w:val="Cmsor4"/>
      </w:pPr>
      <w:bookmarkStart w:id="548" w:name="_Ref228349461"/>
      <w:r>
        <w:t>Multiline lacunae</w:t>
      </w:r>
      <w:bookmarkEnd w:id="548"/>
    </w:p>
    <w:p>
      <w:pPr>
        <w:rPr>
          <w:lang w:eastAsia="en-US" w:bidi="ar-SA"/>
        </w:rPr>
      </w:pPr>
      <w:r>
        <w:rPr>
          <w:lang w:eastAsia="en-US" w:bidi="ar-SA"/>
        </w:rPr>
        <w:t xml:space="preserve">When a large number of lines (as a rule of thumb, more than five) lines are lost or illegible, or the number of lines affected by a lacuna cannot be determined exactly, encode line-level lacunae as follows. </w:t>
      </w:r>
    </w:p>
    <w:p>
      <w:pPr>
        <w:pStyle w:val="Lista"/>
      </w:pPr>
      <w:r>
        <w:t>do not encode line beginnings for the lost lines</w:t>
      </w:r>
    </w:p>
    <w:p>
      <w:pPr>
        <w:pStyle w:val="Lista"/>
      </w:pPr>
      <w:r>
        <w:t xml:space="preserve">use the </w:t>
      </w:r>
      <w:r>
        <w:rPr>
          <w:rStyle w:val="Code"/>
        </w:rPr>
        <w:t>&lt;gap/&gt;</w:t>
      </w:r>
      <w:r>
        <w:t xml:space="preserve"> element, encoded as lost or illegible (§</w:t>
      </w:r>
      <w:r>
        <w:fldChar w:fldCharType="begin"/>
      </w:r>
      <w:r>
        <w:instrText xml:space="preserve"> REF _Ref43987758 \r \h </w:instrText>
      </w:r>
      <w:r>
        <w:fldChar w:fldCharType="separate"/>
      </w:r>
      <w:r>
        <w:t>6.5.1.1</w:t>
      </w:r>
      <w:r>
        <w:fldChar w:fldCharType="end"/>
      </w:r>
      <w:r>
        <w:t xml:space="preserve">) as the case may be, with </w:t>
      </w:r>
      <w:r>
        <w:rPr>
          <w:rStyle w:val="Codevalue"/>
        </w:rPr>
        <w:t>"line"</w:t>
      </w:r>
      <w:r>
        <w:t xml:space="preserve"> as the value of </w:t>
      </w:r>
      <w:r>
        <w:rPr>
          <w:rStyle w:val="Codeattribute"/>
        </w:rPr>
        <w:t>@unit</w:t>
      </w:r>
      <w:r>
        <w:t xml:space="preserve"> (§</w:t>
      </w:r>
      <w:r>
        <w:fldChar w:fldCharType="begin"/>
      </w:r>
      <w:r>
        <w:instrText xml:space="preserve"> REF _Ref228262228 \r \h </w:instrText>
      </w:r>
      <w:r>
        <w:fldChar w:fldCharType="separate"/>
      </w:r>
      <w:r>
        <w:t>6.5.1.2</w:t>
      </w:r>
      <w:r>
        <w:fldChar w:fldCharType="end"/>
      </w:r>
      <w:r>
        <w:t>)</w:t>
      </w:r>
    </w:p>
    <w:p>
      <w:pPr>
        <w:pStyle w:val="Lista"/>
      </w:pPr>
      <w:r>
        <w:lastRenderedPageBreak/>
        <w:t xml:space="preserve">for a precisely known number of lost or illegible lines, record the number in </w:t>
      </w:r>
      <w:r>
        <w:rPr>
          <w:rStyle w:val="Codeattribute"/>
        </w:rPr>
        <w:t>@quantity</w:t>
      </w:r>
    </w:p>
    <w:p>
      <w:pPr>
        <w:pStyle w:val="Lista2"/>
      </w:pPr>
      <w:r>
        <w:t xml:space="preserve">e.g.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"6"</w:t>
      </w:r>
      <w:r>
        <w:rPr>
          <w:rStyle w:val="Code"/>
        </w:rPr>
        <w:t xml:space="preserve"> </w:t>
      </w:r>
      <w:r>
        <w:rPr>
          <w:rStyle w:val="Codeattribute"/>
        </w:rPr>
        <w:t>unit</w:t>
      </w:r>
      <w:r>
        <w:rPr>
          <w:rStyle w:val="Code"/>
        </w:rPr>
        <w:t>=</w:t>
      </w:r>
      <w:r>
        <w:rPr>
          <w:rStyle w:val="Codevalue"/>
        </w:rPr>
        <w:t>"line"</w:t>
      </w:r>
      <w:r>
        <w:rPr>
          <w:rStyle w:val="Code"/>
        </w:rPr>
        <w:t>/&gt;</w:t>
      </w:r>
    </w:p>
    <w:p>
      <w:pPr>
        <w:pStyle w:val="Lista"/>
      </w:pPr>
      <w:r>
        <w:t xml:space="preserve">for an estimated number of lost or illegible lines, record the number in </w:t>
      </w:r>
      <w:r>
        <w:rPr>
          <w:rStyle w:val="Codeattribute"/>
        </w:rPr>
        <w:t>@quantity</w:t>
      </w:r>
      <w:r>
        <w:t xml:space="preserve"> and add </w:t>
      </w:r>
      <w:r>
        <w:rPr>
          <w:rStyle w:val="Codeattribute"/>
        </w:rPr>
        <w:t>@precision</w:t>
      </w:r>
      <w:r>
        <w:rPr>
          <w:rStyle w:val="Code"/>
        </w:rPr>
        <w:t>=</w:t>
      </w:r>
      <w:r>
        <w:rPr>
          <w:rStyle w:val="Codevalue"/>
        </w:rPr>
        <w:t>"low"</w:t>
      </w:r>
    </w:p>
    <w:p>
      <w:pPr>
        <w:pStyle w:val="Lista2"/>
      </w:pPr>
      <w:r>
        <w:t xml:space="preserve">e.g.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"6"</w:t>
      </w:r>
      <w:r>
        <w:rPr>
          <w:rStyle w:val="Code"/>
        </w:rPr>
        <w:t xml:space="preserve"> </w:t>
      </w:r>
      <w:r>
        <w:rPr>
          <w:rStyle w:val="Codeattribute"/>
        </w:rPr>
        <w:t>unit</w:t>
      </w:r>
      <w:r>
        <w:rPr>
          <w:rStyle w:val="Code"/>
        </w:rPr>
        <w:t>=</w:t>
      </w:r>
      <w:r>
        <w:rPr>
          <w:rStyle w:val="Codevalue"/>
        </w:rPr>
        <w:t>"line"</w:t>
      </w:r>
      <w:r>
        <w:rPr>
          <w:rStyle w:val="Code"/>
        </w:rPr>
        <w:t xml:space="preserve"> </w:t>
      </w:r>
      <w:r>
        <w:rPr>
          <w:rStyle w:val="Codeattribute"/>
        </w:rPr>
        <w:t>precision</w:t>
      </w:r>
      <w:r>
        <w:rPr>
          <w:rStyle w:val="Code"/>
        </w:rPr>
        <w:t>=</w:t>
      </w:r>
      <w:r>
        <w:rPr>
          <w:rStyle w:val="Codevalue"/>
        </w:rPr>
        <w:t>"low"</w:t>
      </w:r>
      <w:r>
        <w:rPr>
          <w:rStyle w:val="Code"/>
        </w:rPr>
        <w:t>/&gt;</w:t>
      </w:r>
    </w:p>
    <w:p>
      <w:pPr>
        <w:pStyle w:val="Lista"/>
      </w:pPr>
      <w:r>
        <w:t xml:space="preserve">for an unknown number of lost (or illegible) lines, use </w:t>
      </w:r>
      <w:r>
        <w:rPr>
          <w:rStyle w:val="Codeattribute"/>
        </w:rPr>
        <w:t>@extent</w:t>
      </w:r>
      <w:r>
        <w:t xml:space="preserve"> with the value </w:t>
      </w:r>
      <w:r>
        <w:rPr>
          <w:rStyle w:val="Codevalue"/>
        </w:rPr>
        <w:t>"unknown"</w:t>
      </w:r>
      <w:r>
        <w:t xml:space="preserve"> (but retain </w:t>
      </w:r>
      <w:r>
        <w:rPr>
          <w:rStyle w:val="Codeattribute"/>
        </w:rPr>
        <w:t>@unit</w:t>
      </w:r>
      <w:r>
        <w:t xml:space="preserve"> with the value </w:t>
      </w:r>
      <w:r>
        <w:rPr>
          <w:rStyle w:val="Codevalue"/>
        </w:rPr>
        <w:t>"line"</w:t>
      </w:r>
      <w:r>
        <w:t xml:space="preserve"> to distinguish such lacunae from inline lacunae of unknown length)</w:t>
      </w:r>
    </w:p>
    <w:p>
      <w:pPr>
        <w:pStyle w:val="Lista2"/>
        <w:rPr>
          <w:rStyle w:val="Code"/>
          <w:rFonts w:ascii="Gentium" w:hAnsi="Gentium" w:cs="Tiro Devanagari Sanskrit"/>
          <w:noProof w:val="0"/>
          <w:color w:val="auto"/>
          <w:shd w:val="clear" w:color="auto" w:fill="auto"/>
        </w:rPr>
      </w:pPr>
      <w:r>
        <w:t xml:space="preserve">e.g.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 </w:t>
      </w:r>
      <w:r>
        <w:rPr>
          <w:rStyle w:val="Codeattribute"/>
        </w:rPr>
        <w:t>unit</w:t>
      </w:r>
      <w:r>
        <w:rPr>
          <w:rStyle w:val="Code"/>
        </w:rPr>
        <w:t>=</w:t>
      </w:r>
      <w:r>
        <w:rPr>
          <w:rStyle w:val="Codevalue"/>
        </w:rPr>
        <w:t>"line"</w:t>
      </w:r>
      <w:r>
        <w:rPr>
          <w:rStyle w:val="Code"/>
        </w:rPr>
        <w:t>/&gt;</w:t>
      </w:r>
    </w:p>
    <w:p>
      <w:pPr>
        <w:pStyle w:val="Lista"/>
      </w:pPr>
      <w:r>
        <w:t>if a multiline lacuna occurs at any place other than the end of an inscription, the editorial numbering of the extant lines will need special consideration, with the following general recommendations</w:t>
      </w:r>
    </w:p>
    <w:p>
      <w:pPr>
        <w:pStyle w:val="Lista2"/>
      </w:pPr>
      <w:r>
        <w:t>if the number of lines in the lacuna is known precisely, it is best if you mentally assign numbers to these lines and start or continue numbering after the lacuna accordingly</w:t>
      </w:r>
    </w:p>
    <w:p>
      <w:pPr>
        <w:pStyle w:val="Lista3"/>
      </w:pPr>
      <w:r>
        <w:t>for example, if an inscription has three extant lines, followed by a six-line lacuna and three more extant lines, then number the extant lines 1 to 3 and 10 to 12</w:t>
      </w:r>
    </w:p>
    <w:p>
      <w:pPr>
        <w:pStyle w:val="Lista2"/>
      </w:pPr>
      <w:r>
        <w:t>if the number of lines in the lacuna is unknown, disregard the lacuna and start or continue numbering extant lines consecutively</w:t>
      </w:r>
    </w:p>
    <w:p>
      <w:pPr>
        <w:pStyle w:val="Lista3"/>
      </w:pPr>
      <w:r>
        <w:t>for example, if an inscription has three extant lines, followed by an indeterminate lacuna and three more extant lines, then number the extant lines 1 to 3 and 4 to 6</w:t>
      </w:r>
    </w:p>
    <w:p>
      <w:pPr>
        <w:pStyle w:val="Lista2"/>
      </w:pPr>
      <w:r>
        <w:t>if the number of lines in the lacuna is estimated, then choose one of the above methods at your discretion</w:t>
      </w:r>
    </w:p>
    <w:p>
      <w:pPr>
        <w:pStyle w:val="Lista"/>
      </w:pPr>
      <w:r>
        <w:t>additional considerations for the interaction of multiline lacunae with intrinsic and extrinsic structure are discussed in the section on massive lacunae (§</w:t>
      </w:r>
      <w:r>
        <w:fldChar w:fldCharType="begin"/>
      </w:r>
      <w:r>
        <w:instrText xml:space="preserve"> REF _Ref43981711 \w \h  \* MERGEFORMAT </w:instrText>
      </w:r>
      <w:r>
        <w:fldChar w:fldCharType="separate"/>
      </w:r>
      <w:r>
        <w:t>6.5.4</w:t>
      </w:r>
      <w:r>
        <w:fldChar w:fldCharType="end"/>
      </w:r>
      <w:r>
        <w:t>)</w:t>
      </w:r>
    </w:p>
    <w:p>
      <w:pPr>
        <w:pStyle w:val="Cmsor4"/>
      </w:pPr>
      <w:bookmarkStart w:id="549" w:name="_Ref228262561"/>
      <w:r>
        <w:t>Possibly lost</w:t>
      </w:r>
      <w:bookmarkEnd w:id="549"/>
      <w:r>
        <w:t xml:space="preserve"> lines</w:t>
      </w:r>
    </w:p>
    <w:p>
      <w:pPr>
        <w:rPr>
          <w:lang w:eastAsia="en-US" w:bidi="ar-SA"/>
        </w:rPr>
      </w:pPr>
      <w:r>
        <w:rPr>
          <w:lang w:eastAsia="en-US" w:bidi="ar-SA"/>
        </w:rPr>
        <w:t xml:space="preserve">In some cases </w:t>
      </w:r>
      <w:r>
        <w:t>it is impossible to tell whether there were more lines to an inscription than are now extant. Such situations are best described in the annotation of an edition, but if you wish to represent it in encoding, proceed as follows.</w:t>
      </w:r>
    </w:p>
    <w:p>
      <w:pPr>
        <w:pStyle w:val="Lista"/>
      </w:pPr>
      <w:r>
        <w:t xml:space="preserve">create a </w:t>
      </w:r>
      <w:r>
        <w:rPr>
          <w:rStyle w:val="Code"/>
        </w:rPr>
        <w:t>&lt;gap&gt;</w:t>
      </w:r>
      <w:r>
        <w:t xml:space="preserve"> element for a multiline lacuna (§</w:t>
      </w:r>
      <w:r>
        <w:fldChar w:fldCharType="begin"/>
      </w:r>
      <w:r>
        <w:instrText xml:space="preserve"> REF _Ref228349461 \r \h </w:instrText>
      </w:r>
      <w:r>
        <w:fldChar w:fldCharType="separate"/>
      </w:r>
      <w:r>
        <w:t>6.5.3.2</w:t>
      </w:r>
      <w:r>
        <w:fldChar w:fldCharType="end"/>
      </w:r>
      <w:r>
        <w:t>) even if you estimate or know the number of possibly lost lines to be small</w:t>
      </w:r>
    </w:p>
    <w:p>
      <w:pPr>
        <w:pStyle w:val="Lista2"/>
      </w:pPr>
      <w:r>
        <w:t xml:space="preserve">the value of </w:t>
      </w:r>
      <w:r>
        <w:rPr>
          <w:rStyle w:val="Codeattribute"/>
        </w:rPr>
        <w:t>@reason</w:t>
      </w:r>
      <w:r>
        <w:t xml:space="preserve"> shall always be </w:t>
      </w:r>
      <w:r>
        <w:rPr>
          <w:rStyle w:val="Codevalue"/>
        </w:rPr>
        <w:t>"lost"</w:t>
      </w:r>
      <w:r>
        <w:t xml:space="preserve"> in such a case</w:t>
      </w:r>
    </w:p>
    <w:p>
      <w:pPr>
        <w:pStyle w:val="Lista3"/>
      </w:pPr>
      <w:r>
        <w:t>just conceivably, the support might be extant but so effaced that it may or may not bear vestiges of writing, but this is for all practical purposes equivalent to saying that the writing (if it ever existed) is now lost</w:t>
      </w:r>
    </w:p>
    <w:p>
      <w:pPr>
        <w:pStyle w:val="Lista"/>
      </w:pPr>
      <w:r>
        <w:t xml:space="preserve">within this element, add </w:t>
      </w:r>
      <w:r>
        <w:rPr>
          <w:rStyle w:val="Code"/>
        </w:rPr>
        <w:t xml:space="preserve">&lt;certainty </w:t>
      </w:r>
      <w:r>
        <w:rPr>
          <w:rStyle w:val="Codeattribute"/>
        </w:rPr>
        <w:t>match</w:t>
      </w:r>
      <w:r>
        <w:rPr>
          <w:rStyle w:val="Code"/>
        </w:rPr>
        <w:t>=</w:t>
      </w:r>
      <w:r>
        <w:rPr>
          <w:rStyle w:val="Codevalue"/>
        </w:rPr>
        <w:t xml:space="preserve">".." </w:t>
      </w:r>
      <w:r>
        <w:rPr>
          <w:rStyle w:val="Codeattribute"/>
        </w:rPr>
        <w:t>locus</w:t>
      </w:r>
      <w:r>
        <w:rPr>
          <w:rStyle w:val="Code"/>
        </w:rPr>
        <w:t>=</w:t>
      </w:r>
      <w:r>
        <w:rPr>
          <w:rStyle w:val="Codevalue"/>
        </w:rPr>
        <w:t>"name"</w:t>
      </w:r>
      <w:r>
        <w:rPr>
          <w:rStyle w:val="Code"/>
        </w:rPr>
        <w:t>/&gt;</w:t>
      </w:r>
      <w:r>
        <w:t>, where</w:t>
      </w:r>
    </w:p>
    <w:p>
      <w:pPr>
        <w:pStyle w:val="Lista2"/>
      </w:pPr>
      <w:r>
        <w:rPr>
          <w:rStyle w:val="Codeattribute"/>
        </w:rPr>
        <w:t>@match</w:t>
      </w:r>
      <w:r>
        <w:rPr>
          <w:rStyle w:val="Code"/>
        </w:rPr>
        <w:t>=</w:t>
      </w:r>
      <w:r>
        <w:rPr>
          <w:rStyle w:val="Codevalue"/>
        </w:rPr>
        <w:t>".."</w:t>
      </w:r>
      <w:r>
        <w:t xml:space="preserve"> indicates that we are making a statement regarding certainty</w:t>
      </w:r>
      <w:r>
        <w:rPr>
          <w:rStyle w:val="Lbjegyzet-hivatkozs"/>
        </w:rPr>
        <w:footnoteReference w:id="32"/>
      </w:r>
      <w:r>
        <w:t xml:space="preserve"> applicable to the parent element </w:t>
      </w:r>
      <w:r>
        <w:rPr>
          <w:noProof/>
        </w:rPr>
        <w:t>(</w:t>
      </w:r>
      <w:r>
        <w:t xml:space="preserve">i.e. </w:t>
      </w:r>
      <w:r>
        <w:rPr>
          <w:rStyle w:val="Code"/>
        </w:rPr>
        <w:t>&lt;gap&gt;</w:t>
      </w:r>
      <w:r>
        <w:t>)</w:t>
      </w:r>
    </w:p>
    <w:p>
      <w:pPr>
        <w:pStyle w:val="Lista2"/>
      </w:pPr>
      <w:r>
        <w:rPr>
          <w:rStyle w:val="Codeattribute"/>
        </w:rPr>
        <w:t>@locus</w:t>
      </w:r>
      <w:r>
        <w:rPr>
          <w:rStyle w:val="Code"/>
        </w:rPr>
        <w:t>=</w:t>
      </w:r>
      <w:r>
        <w:rPr>
          <w:rStyle w:val="Codevalue"/>
        </w:rPr>
        <w:t>"name"</w:t>
      </w:r>
      <w:r>
        <w:t xml:space="preserve"> indicates that the uncertainty concerns the name of the parent element </w:t>
      </w:r>
      <w:r>
        <w:rPr>
          <w:noProof/>
        </w:rPr>
        <w:t xml:space="preserve">(viz. “gap”, </w:t>
      </w:r>
      <w:r>
        <w:t>and thus the fact that what we have there is a lacuna)</w:t>
      </w:r>
    </w:p>
    <w:p>
      <w:pPr>
        <w:pStyle w:val="Lista2"/>
      </w:pPr>
      <w:r>
        <w:t xml:space="preserve">note that in this single case, the </w:t>
      </w:r>
      <w:r>
        <w:rPr>
          <w:rStyle w:val="Code"/>
        </w:rPr>
        <w:t>&lt;gap&gt;</w:t>
      </w:r>
      <w:r>
        <w:t xml:space="preserve"> element is not empty but comprised of separate opening and closing tags wrapping the </w:t>
      </w:r>
      <w:r>
        <w:rPr>
          <w:rStyle w:val="Code"/>
        </w:rPr>
        <w:t>&lt;certainty&gt;</w:t>
      </w:r>
      <w:r>
        <w:t xml:space="preserve"> element</w:t>
      </w:r>
    </w:p>
    <w:p>
      <w:pPr>
        <w:pStyle w:val="Lista"/>
      </w:pPr>
      <w:r>
        <w:t>for example,</w:t>
      </w:r>
    </w:p>
    <w:p>
      <w:pPr>
        <w:pStyle w:val="Lista2"/>
      </w:pPr>
      <w:r>
        <w:t xml:space="preserve">one line possibly lost: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"line"</w:t>
      </w:r>
      <w:r>
        <w:rPr>
          <w:rStyle w:val="Code"/>
        </w:rPr>
        <w:t xml:space="preserve">&gt;&lt;certainty </w:t>
      </w:r>
      <w:r>
        <w:rPr>
          <w:rStyle w:val="Codeattribute"/>
        </w:rPr>
        <w:t>match</w:t>
      </w:r>
      <w:r>
        <w:rPr>
          <w:rStyle w:val="Code"/>
        </w:rPr>
        <w:t>=</w:t>
      </w:r>
      <w:r>
        <w:rPr>
          <w:rStyle w:val="Codevalue"/>
        </w:rPr>
        <w:t>".."</w:t>
      </w:r>
      <w:r>
        <w:rPr>
          <w:rStyle w:val="Code"/>
        </w:rPr>
        <w:t xml:space="preserve"> </w:t>
      </w:r>
      <w:r>
        <w:rPr>
          <w:rStyle w:val="Codeattribute"/>
        </w:rPr>
        <w:t>locus</w:t>
      </w:r>
      <w:r>
        <w:rPr>
          <w:rStyle w:val="Code"/>
        </w:rPr>
        <w:t>=</w:t>
      </w:r>
      <w:r>
        <w:rPr>
          <w:rStyle w:val="Codevalue"/>
        </w:rPr>
        <w:t>"name"</w:t>
      </w:r>
      <w:r>
        <w:rPr>
          <w:rStyle w:val="Code"/>
        </w:rPr>
        <w:t>/&gt;&lt;/gap&gt;</w:t>
      </w:r>
    </w:p>
    <w:p>
      <w:pPr>
        <w:pStyle w:val="Lista2"/>
      </w:pPr>
      <w:bookmarkStart w:id="550" w:name="_2xcytpi" w:colFirst="0" w:colLast="0"/>
      <w:bookmarkEnd w:id="550"/>
      <w:r>
        <w:t xml:space="preserve">approximately two lines possibly lost: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"2"</w:t>
      </w:r>
      <w:r>
        <w:rPr>
          <w:rStyle w:val="Code"/>
        </w:rPr>
        <w:t xml:space="preserve"> </w:t>
      </w:r>
      <w:r>
        <w:rPr>
          <w:rStyle w:val="Codeattribute"/>
        </w:rPr>
        <w:t>unit</w:t>
      </w:r>
      <w:r>
        <w:rPr>
          <w:rStyle w:val="Code"/>
        </w:rPr>
        <w:t>=</w:t>
      </w:r>
      <w:r>
        <w:rPr>
          <w:rStyle w:val="Codevalue"/>
        </w:rPr>
        <w:t>"line"</w:t>
      </w:r>
      <w:r>
        <w:rPr>
          <w:rStyle w:val="Code"/>
        </w:rPr>
        <w:t xml:space="preserve"> </w:t>
      </w:r>
      <w:r>
        <w:rPr>
          <w:rStyle w:val="Codeattribute"/>
        </w:rPr>
        <w:t>precision</w:t>
      </w:r>
      <w:r>
        <w:rPr>
          <w:rStyle w:val="Code"/>
        </w:rPr>
        <w:t>=</w:t>
      </w:r>
      <w:r>
        <w:rPr>
          <w:rStyle w:val="Codevalue"/>
        </w:rPr>
        <w:t>"low"</w:t>
      </w:r>
      <w:r>
        <w:rPr>
          <w:rStyle w:val="Code"/>
        </w:rPr>
        <w:t xml:space="preserve">&gt;&lt;certainty </w:t>
      </w:r>
      <w:r>
        <w:rPr>
          <w:rStyle w:val="Codeattribute"/>
        </w:rPr>
        <w:t>match</w:t>
      </w:r>
      <w:r>
        <w:rPr>
          <w:rStyle w:val="Code"/>
        </w:rPr>
        <w:t>=</w:t>
      </w:r>
      <w:r>
        <w:rPr>
          <w:rStyle w:val="Codevalue"/>
        </w:rPr>
        <w:t>".."</w:t>
      </w:r>
      <w:r>
        <w:rPr>
          <w:rStyle w:val="Code"/>
        </w:rPr>
        <w:t xml:space="preserve"> </w:t>
      </w:r>
      <w:r>
        <w:rPr>
          <w:rStyle w:val="Codeattribute"/>
        </w:rPr>
        <w:t>locus</w:t>
      </w:r>
      <w:r>
        <w:rPr>
          <w:rStyle w:val="Code"/>
        </w:rPr>
        <w:t>=</w:t>
      </w:r>
      <w:r>
        <w:rPr>
          <w:rStyle w:val="Codevalue"/>
        </w:rPr>
        <w:t>"name"</w:t>
      </w:r>
      <w:r>
        <w:rPr>
          <w:rStyle w:val="Code"/>
        </w:rPr>
        <w:t>/&gt;&lt;/gap&gt;</w:t>
      </w:r>
    </w:p>
    <w:p>
      <w:pPr>
        <w:pStyle w:val="Lista2"/>
      </w:pPr>
      <w:bookmarkStart w:id="551" w:name="_dag8mx6ycrl2" w:colFirst="0" w:colLast="0"/>
      <w:bookmarkEnd w:id="551"/>
      <w:r>
        <w:t xml:space="preserve">any number of lines possibly lost: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 </w:t>
      </w:r>
      <w:r>
        <w:rPr>
          <w:rStyle w:val="Codeattribute"/>
        </w:rPr>
        <w:t>unit</w:t>
      </w:r>
      <w:r>
        <w:rPr>
          <w:rStyle w:val="Code"/>
        </w:rPr>
        <w:t>=</w:t>
      </w:r>
      <w:r>
        <w:rPr>
          <w:rStyle w:val="Codevalue"/>
        </w:rPr>
        <w:t>"line"</w:t>
      </w:r>
      <w:r>
        <w:rPr>
          <w:rStyle w:val="Code"/>
        </w:rPr>
        <w:t xml:space="preserve">&gt;&lt;certainty </w:t>
      </w:r>
      <w:r>
        <w:rPr>
          <w:rStyle w:val="Codeattribute"/>
        </w:rPr>
        <w:t>match</w:t>
      </w:r>
      <w:r>
        <w:rPr>
          <w:rStyle w:val="Code"/>
        </w:rPr>
        <w:t>=</w:t>
      </w:r>
      <w:r>
        <w:rPr>
          <w:rStyle w:val="Codevalue"/>
        </w:rPr>
        <w:t>".."</w:t>
      </w:r>
      <w:r>
        <w:rPr>
          <w:rStyle w:val="Code"/>
        </w:rPr>
        <w:t xml:space="preserve"> </w:t>
      </w:r>
      <w:r>
        <w:rPr>
          <w:rStyle w:val="Codeattribute"/>
        </w:rPr>
        <w:t>locus</w:t>
      </w:r>
      <w:r>
        <w:rPr>
          <w:rStyle w:val="Code"/>
        </w:rPr>
        <w:t>=</w:t>
      </w:r>
      <w:r>
        <w:rPr>
          <w:rStyle w:val="Codevalue"/>
        </w:rPr>
        <w:t>"name"</w:t>
      </w:r>
      <w:r>
        <w:rPr>
          <w:rStyle w:val="Code"/>
        </w:rPr>
        <w:t>/&gt;&lt;/gap&gt;</w:t>
      </w:r>
    </w:p>
    <w:p>
      <w:pPr>
        <w:pStyle w:val="Cmsor3"/>
      </w:pPr>
      <w:bookmarkStart w:id="552" w:name="_bj792jk8c4tv" w:colFirst="0" w:colLast="0"/>
      <w:bookmarkStart w:id="553" w:name="_Ref43981711"/>
      <w:bookmarkStart w:id="554" w:name="_Toc242976649"/>
      <w:bookmarkEnd w:id="552"/>
      <w:r>
        <w:lastRenderedPageBreak/>
        <w:t>Managing massive lacunae</w:t>
      </w:r>
      <w:bookmarkEnd w:id="553"/>
      <w:bookmarkEnd w:id="554"/>
    </w:p>
    <w:p>
      <w:pPr>
        <w:rPr>
          <w:lang w:eastAsia="en-US" w:bidi="ar-SA"/>
        </w:rPr>
      </w:pPr>
      <w:r>
        <w:rPr>
          <w:lang w:eastAsia="en-US" w:bidi="ar-SA"/>
        </w:rPr>
        <w:t>The preferred method for dealing with lacunae extending over more than one line of text is to reconstruct the lost line beginnings and populate each reconstructed line with an inline lacuna as per §</w:t>
      </w:r>
      <w:r>
        <w:rPr>
          <w:lang w:eastAsia="en-US" w:bidi="ar-SA"/>
        </w:rPr>
        <w:fldChar w:fldCharType="begin"/>
      </w:r>
      <w:r>
        <w:rPr>
          <w:lang w:eastAsia="en-US" w:bidi="ar-SA"/>
        </w:rPr>
        <w:instrText xml:space="preserve"> REF _Ref228368995 \r \h </w:instrText>
      </w:r>
      <w:r>
        <w:rPr>
          <w:lang w:eastAsia="en-US" w:bidi="ar-SA"/>
        </w:rPr>
      </w:r>
      <w:r>
        <w:rPr>
          <w:lang w:eastAsia="en-US" w:bidi="ar-SA"/>
        </w:rPr>
        <w:fldChar w:fldCharType="separate"/>
      </w:r>
      <w:r>
        <w:rPr>
          <w:lang w:eastAsia="en-US" w:bidi="ar-SA"/>
        </w:rPr>
        <w:t>6.5.3.1</w:t>
      </w:r>
      <w:r>
        <w:rPr>
          <w:lang w:eastAsia="en-US" w:bidi="ar-SA"/>
        </w:rPr>
        <w:fldChar w:fldCharType="end"/>
      </w:r>
      <w:r>
        <w:rPr>
          <w:lang w:eastAsia="en-US" w:bidi="ar-SA"/>
        </w:rPr>
        <w:t xml:space="preserve">. However, extensive lacunae can make it impossible or at least unfeasible to fully reconstruct the extrinsic and/or intrinsic structure of a text. When this happens, we speak of a massive lacuna. </w:t>
      </w:r>
    </w:p>
    <w:p>
      <w:pPr>
        <w:pStyle w:val="Normlbehzs"/>
        <w:rPr>
          <w:lang w:eastAsia="en-US" w:bidi="ar-SA"/>
        </w:rPr>
      </w:pPr>
      <w:r>
        <w:rPr>
          <w:lang w:eastAsia="en-US" w:bidi="ar-SA"/>
        </w:rPr>
        <w:t>Around massive lacunae (i.e. at the points where a massive lacuna meets the extant text), we must still create the essential minimum of structural elements for any text that is present in the edition, but the lacuna itself will in this case be encoded outside the usual text containers and does not need to be divided into parts corresponding to lost lines or other units of extrinsic structure. Importantly, however, some text can often be restored (</w:t>
      </w:r>
      <w:r>
        <w:t>§</w:t>
      </w:r>
      <w:r>
        <w:fldChar w:fldCharType="begin"/>
      </w:r>
      <w:r>
        <w:instrText xml:space="preserve"> REF _Ref228459751 \r \h </w:instrText>
      </w:r>
      <w:r>
        <w:fldChar w:fldCharType="separate"/>
      </w:r>
      <w:r>
        <w:t>6.4</w:t>
      </w:r>
      <w:r>
        <w:fldChar w:fldCharType="end"/>
      </w:r>
      <w:r>
        <w:rPr>
          <w:lang w:eastAsia="en-US" w:bidi="ar-SA"/>
        </w:rPr>
        <w:t xml:space="preserve">) at the edge of a massive lacuna, such as the end of a word at the start of the lacuna, or the beginning of a word at the end of the lacuna. Restored text is no less available in the edition than extant text read from the source, so any applicable structural elements must also be present for restored text. The basic framework for encoding a massive lacuna is illustrated in </w:t>
      </w:r>
      <w:r>
        <w:rPr>
          <w:lang w:eastAsia="en-US" w:bidi="ar-SA"/>
        </w:rPr>
        <w:fldChar w:fldCharType="begin"/>
      </w:r>
      <w:r>
        <w:rPr>
          <w:lang w:eastAsia="en-US" w:bidi="ar-SA"/>
        </w:rPr>
        <w:instrText xml:space="preserve"> REF _Ref228352584 \h </w:instrText>
      </w:r>
      <w:r>
        <w:rPr>
          <w:lang w:eastAsia="en-US" w:bidi="ar-SA"/>
        </w:rPr>
      </w:r>
      <w:r>
        <w:rPr>
          <w:lang w:eastAsia="en-US" w:bidi="ar-SA"/>
        </w:rPr>
        <w:fldChar w:fldCharType="separate"/>
      </w:r>
      <w:r>
        <w:t xml:space="preserve">Exhibit </w:t>
      </w:r>
      <w:r>
        <w:rPr>
          <w:noProof/>
        </w:rPr>
        <w:t>6.5</w:t>
      </w:r>
      <w:r>
        <w:t>.</w:t>
      </w:r>
      <w:r>
        <w:rPr>
          <w:noProof/>
        </w:rPr>
        <w:t>F</w:t>
      </w:r>
      <w:r>
        <w:rPr>
          <w:lang w:eastAsia="en-US" w:bidi="ar-SA"/>
        </w:rPr>
        <w:fldChar w:fldCharType="end"/>
      </w:r>
      <w:r>
        <w:rPr>
          <w:lang w:eastAsia="en-US" w:bidi="ar-SA"/>
        </w:rPr>
        <w:t>, which shows a massive medial lacuna (i.e. one in the middle of a text). The part of the table up to the lacuna is applicable to all situations where text is available before a lacuna, and the part of the table from the lacuna onward is applicable to all situations where text is available after a lacuna.</w:t>
      </w:r>
    </w:p>
    <w:p>
      <w:pPr>
        <w:pStyle w:val="Normlbehzs"/>
        <w:rPr>
          <w:lang w:eastAsia="en-US" w:bidi="ar-SA"/>
        </w:rPr>
      </w:pPr>
      <w:r>
        <w:rPr>
          <w:lang w:eastAsia="en-US" w:bidi="ar-SA"/>
        </w:rPr>
        <w:t>Throughout this section, ‘available text’ includes both extant text (readings) and supplied text (restorations), while ‘unavailable text’ refers to text that is lost and not restored.</w:t>
      </w:r>
    </w:p>
    <w:p>
      <w:pPr>
        <w:rPr>
          <w:lang w:eastAsia="en-US" w:bidi="ar-SA"/>
        </w:rPr>
      </w:pPr>
    </w:p>
    <w:tbl>
      <w:tblPr>
        <w:tblStyle w:val="FigureTable"/>
        <w:tblW w:w="0" w:type="auto"/>
        <w:tblLook w:val="04A0" w:firstRow="1" w:lastRow="0" w:firstColumn="1" w:lastColumn="0" w:noHBand="0" w:noVBand="1"/>
      </w:tblPr>
      <w:tblGrid>
        <w:gridCol w:w="2263"/>
        <w:gridCol w:w="3682"/>
        <w:gridCol w:w="3683"/>
      </w:tblGrid>
      <w:tr>
        <w:trPr>
          <w:cnfStyle w:val="100000000000" w:firstRow="1" w:lastRow="0" w:firstColumn="0" w:lastColumn="0" w:oddVBand="0" w:evenVBand="0" w:oddHBand="0" w:evenHBand="0" w:firstRowFirstColumn="0" w:firstRowLastColumn="0" w:lastRowFirstColumn="0" w:lastRowLastColumn="0"/>
        </w:trPr>
        <w:tc>
          <w:tcPr>
            <w:tcW w:w="9628" w:type="dxa"/>
            <w:gridSpan w:val="3"/>
          </w:tcPr>
          <w:p>
            <w:pPr>
              <w:pStyle w:val="Kpalrs"/>
              <w:rPr>
                <w:lang w:eastAsia="en-US" w:bidi="ar-SA"/>
              </w:rPr>
            </w:pPr>
            <w:bookmarkStart w:id="555" w:name="_Ref228352584"/>
            <w:r>
              <w:t xml:space="preserve">Exhibit </w:t>
            </w:r>
            <w:fldSimple w:instr=" STYLEREF 2 \s ">
              <w:r>
                <w:rPr>
                  <w:noProof/>
                </w:rPr>
                <w:t>6.5</w:t>
              </w:r>
            </w:fldSimple>
            <w:r>
              <w:t>.</w:t>
            </w:r>
            <w:fldSimple w:instr=" SEQ Exhibit \* ALPHABETIC \s 2 ">
              <w:r>
                <w:rPr>
                  <w:noProof/>
                </w:rPr>
                <w:t>F</w:t>
              </w:r>
            </w:fldSimple>
            <w:bookmarkEnd w:id="555"/>
            <w:r>
              <w:t>: structure around a massive lacuna</w:t>
            </w:r>
          </w:p>
        </w:tc>
      </w:tr>
      <w:tr>
        <w:tc>
          <w:tcPr>
            <w:tcW w:w="2263" w:type="dxa"/>
            <w:tcBorders>
              <w:right w:val="single" w:sz="4" w:space="0" w:color="auto"/>
            </w:tcBorders>
            <w:shd w:val="clear" w:color="auto" w:fill="F0F7D7"/>
          </w:tcPr>
          <w:p>
            <w:pPr>
              <w:jc w:val="right"/>
              <w:rPr>
                <w:b/>
                <w:bCs/>
                <w:lang w:eastAsia="en-US" w:bidi="ar-SA"/>
              </w:rPr>
            </w:pPr>
          </w:p>
        </w:tc>
        <w:tc>
          <w:tcPr>
            <w:tcW w:w="3682" w:type="dxa"/>
            <w:tcBorders>
              <w:left w:val="single" w:sz="4" w:space="0" w:color="auto"/>
              <w:right w:val="single" w:sz="4" w:space="0" w:color="auto"/>
            </w:tcBorders>
            <w:shd w:val="clear" w:color="auto" w:fill="F0F7D7"/>
          </w:tcPr>
          <w:p>
            <w:pPr>
              <w:jc w:val="center"/>
              <w:rPr>
                <w:b/>
                <w:bCs/>
                <w:lang w:eastAsia="en-US" w:bidi="ar-SA"/>
              </w:rPr>
            </w:pPr>
            <w:r>
              <w:rPr>
                <w:b/>
                <w:bCs/>
                <w:lang w:eastAsia="en-US" w:bidi="ar-SA"/>
              </w:rPr>
              <w:t>intrinsic structure</w:t>
            </w:r>
          </w:p>
        </w:tc>
        <w:tc>
          <w:tcPr>
            <w:tcW w:w="3683" w:type="dxa"/>
            <w:tcBorders>
              <w:left w:val="single" w:sz="4" w:space="0" w:color="auto"/>
            </w:tcBorders>
            <w:shd w:val="clear" w:color="auto" w:fill="F0F7D7"/>
          </w:tcPr>
          <w:p>
            <w:pPr>
              <w:jc w:val="center"/>
              <w:rPr>
                <w:b/>
                <w:bCs/>
                <w:lang w:eastAsia="en-US" w:bidi="ar-SA"/>
              </w:rPr>
            </w:pPr>
            <w:r>
              <w:rPr>
                <w:b/>
                <w:bCs/>
                <w:lang w:eastAsia="en-US" w:bidi="ar-SA"/>
              </w:rPr>
              <w:t>extrinsic structure</w:t>
            </w:r>
          </w:p>
        </w:tc>
      </w:tr>
      <w:tr>
        <w:tc>
          <w:tcPr>
            <w:tcW w:w="2263" w:type="dxa"/>
            <w:tcBorders>
              <w:right w:val="single" w:sz="4" w:space="0" w:color="auto"/>
            </w:tcBorders>
            <w:shd w:val="clear" w:color="auto" w:fill="FFFF00"/>
          </w:tcPr>
          <w:p>
            <w:pPr>
              <w:jc w:val="right"/>
              <w:rPr>
                <w:b/>
                <w:bCs/>
                <w:lang w:eastAsia="en-US" w:bidi="ar-SA"/>
              </w:rPr>
            </w:pPr>
            <w:r>
              <w:rPr>
                <w:b/>
                <w:bCs/>
                <w:lang w:eastAsia="en-US" w:bidi="ar-SA"/>
              </w:rPr>
              <w:t>structure start</w:t>
            </w:r>
          </w:p>
        </w:tc>
        <w:tc>
          <w:tcPr>
            <w:tcW w:w="3682" w:type="dxa"/>
            <w:tcBorders>
              <w:left w:val="single" w:sz="4" w:space="0" w:color="auto"/>
              <w:right w:val="single" w:sz="4" w:space="0" w:color="auto"/>
            </w:tcBorders>
          </w:tcPr>
          <w:p>
            <w:pPr>
              <w:jc w:val="center"/>
              <w:rPr>
                <w:lang w:eastAsia="en-US" w:bidi="ar-SA"/>
              </w:rPr>
            </w:pPr>
            <w:r>
              <w:rPr>
                <w:rStyle w:val="Code"/>
                <w:lang w:eastAsia="en-US" w:bidi="ar-SA"/>
              </w:rPr>
              <w:t>&lt;p</w:t>
            </w:r>
            <w:r>
              <w:rPr>
                <w:rStyle w:val="Codeattribute"/>
              </w:rPr>
              <w:t xml:space="preserve"> part</w:t>
            </w:r>
            <w:r>
              <w:rPr>
                <w:rStyle w:val="Code"/>
              </w:rPr>
              <w:t>=</w:t>
            </w:r>
            <w:r>
              <w:rPr>
                <w:rStyle w:val="Codevalue"/>
              </w:rPr>
              <w:t>"I"</w:t>
            </w:r>
            <w:r>
              <w:rPr>
                <w:rStyle w:val="Code"/>
                <w:lang w:eastAsia="en-US" w:bidi="ar-SA"/>
              </w:rPr>
              <w:t>&gt;</w:t>
            </w:r>
          </w:p>
        </w:tc>
        <w:tc>
          <w:tcPr>
            <w:tcW w:w="3683" w:type="dxa"/>
            <w:tcBorders>
              <w:left w:val="single" w:sz="4" w:space="0" w:color="auto"/>
            </w:tcBorders>
          </w:tcPr>
          <w:p>
            <w:pPr>
              <w:jc w:val="center"/>
              <w:rPr>
                <w:lang w:eastAsia="en-US" w:bidi="ar-SA"/>
              </w:rPr>
            </w:pPr>
            <w:r>
              <w:rPr>
                <w:rStyle w:val="Code"/>
                <w:lang w:eastAsia="en-US" w:bidi="ar-SA"/>
              </w:rPr>
              <w:t>&lt;lb</w:t>
            </w:r>
            <w:r>
              <w:rPr>
                <w:rStyle w:val="Codeattribute"/>
              </w:rPr>
              <w:t xml:space="preserve"> n</w:t>
            </w:r>
            <w:r>
              <w:rPr>
                <w:rStyle w:val="Code"/>
              </w:rPr>
              <w:t>=</w:t>
            </w:r>
            <w:r>
              <w:rPr>
                <w:rStyle w:val="Codevalue"/>
              </w:rPr>
              <w:t>"x"/</w:t>
            </w:r>
            <w:r>
              <w:rPr>
                <w:rStyle w:val="Code"/>
                <w:lang w:eastAsia="en-US" w:bidi="ar-SA"/>
              </w:rPr>
              <w:t>&gt;</w:t>
            </w:r>
          </w:p>
        </w:tc>
      </w:tr>
      <w:tr>
        <w:tc>
          <w:tcPr>
            <w:tcW w:w="2263" w:type="dxa"/>
            <w:tcBorders>
              <w:right w:val="single" w:sz="4" w:space="0" w:color="auto"/>
            </w:tcBorders>
            <w:shd w:val="clear" w:color="auto" w:fill="FFFFFF" w:themeFill="background1"/>
          </w:tcPr>
          <w:p>
            <w:pPr>
              <w:jc w:val="right"/>
              <w:rPr>
                <w:b/>
                <w:bCs/>
                <w:lang w:eastAsia="en-US" w:bidi="ar-SA"/>
              </w:rPr>
            </w:pPr>
            <w:r>
              <w:rPr>
                <w:b/>
                <w:bCs/>
                <w:lang w:eastAsia="en-US" w:bidi="ar-SA"/>
              </w:rPr>
              <w:t>extant text</w:t>
            </w:r>
          </w:p>
        </w:tc>
        <w:tc>
          <w:tcPr>
            <w:tcW w:w="7365" w:type="dxa"/>
            <w:gridSpan w:val="2"/>
            <w:tcBorders>
              <w:left w:val="single" w:sz="4" w:space="0" w:color="auto"/>
            </w:tcBorders>
          </w:tcPr>
          <w:p>
            <w:pPr>
              <w:jc w:val="center"/>
              <w:rPr>
                <w:rStyle w:val="Code"/>
                <w:lang w:eastAsia="en-US" w:bidi="ar-SA"/>
              </w:rPr>
            </w:pPr>
            <w:proofErr w:type="spellStart"/>
            <w:r>
              <w:rPr>
                <w:lang w:eastAsia="en-US" w:bidi="ar-SA"/>
              </w:rPr>
              <w:t>abc</w:t>
            </w:r>
            <w:proofErr w:type="spellEnd"/>
          </w:p>
        </w:tc>
      </w:tr>
      <w:tr>
        <w:tc>
          <w:tcPr>
            <w:tcW w:w="2263" w:type="dxa"/>
            <w:tcBorders>
              <w:right w:val="single" w:sz="4" w:space="0" w:color="auto"/>
            </w:tcBorders>
            <w:shd w:val="clear" w:color="auto" w:fill="D9D9D9" w:themeFill="background1" w:themeFillShade="D9"/>
          </w:tcPr>
          <w:p>
            <w:pPr>
              <w:jc w:val="right"/>
              <w:rPr>
                <w:b/>
                <w:bCs/>
                <w:lang w:eastAsia="en-US" w:bidi="ar-SA"/>
              </w:rPr>
            </w:pPr>
            <w:r>
              <w:rPr>
                <w:b/>
                <w:bCs/>
                <w:lang w:eastAsia="en-US" w:bidi="ar-SA"/>
              </w:rPr>
              <w:t>restored text</w:t>
            </w:r>
          </w:p>
        </w:tc>
        <w:tc>
          <w:tcPr>
            <w:tcW w:w="7365" w:type="dxa"/>
            <w:gridSpan w:val="2"/>
            <w:tcBorders>
              <w:left w:val="single" w:sz="4" w:space="0" w:color="auto"/>
            </w:tcBorders>
          </w:tcPr>
          <w:p>
            <w:pPr>
              <w:jc w:val="center"/>
              <w:rPr>
                <w:lang w:eastAsia="en-US" w:bidi="ar-SA"/>
              </w:rPr>
            </w:pPr>
            <w:r>
              <w:rPr>
                <w:rStyle w:val="Code"/>
                <w:lang w:eastAsia="en-US" w:bidi="ar-SA"/>
              </w:rPr>
              <w:t>&lt;supplied&gt;</w:t>
            </w:r>
            <w:r>
              <w:rPr>
                <w:lang w:eastAsia="en-US" w:bidi="ar-SA"/>
              </w:rPr>
              <w:t>def</w:t>
            </w:r>
            <w:r>
              <w:rPr>
                <w:rStyle w:val="Code"/>
                <w:lang w:eastAsia="en-US" w:bidi="ar-SA"/>
              </w:rPr>
              <w:t>&lt;/supplied&gt;</w:t>
            </w:r>
          </w:p>
        </w:tc>
      </w:tr>
      <w:tr>
        <w:tc>
          <w:tcPr>
            <w:tcW w:w="2263" w:type="dxa"/>
            <w:tcBorders>
              <w:right w:val="single" w:sz="4" w:space="0" w:color="auto"/>
            </w:tcBorders>
            <w:shd w:val="clear" w:color="auto" w:fill="FFFF00"/>
          </w:tcPr>
          <w:p>
            <w:pPr>
              <w:jc w:val="right"/>
              <w:rPr>
                <w:b/>
                <w:bCs/>
                <w:lang w:eastAsia="en-US" w:bidi="ar-SA"/>
              </w:rPr>
            </w:pPr>
            <w:r>
              <w:rPr>
                <w:b/>
                <w:bCs/>
                <w:lang w:eastAsia="en-US" w:bidi="ar-SA"/>
              </w:rPr>
              <w:t>structure end</w:t>
            </w:r>
          </w:p>
        </w:tc>
        <w:tc>
          <w:tcPr>
            <w:tcW w:w="3682" w:type="dxa"/>
            <w:tcBorders>
              <w:left w:val="single" w:sz="4" w:space="0" w:color="auto"/>
              <w:right w:val="single" w:sz="4" w:space="0" w:color="auto"/>
            </w:tcBorders>
          </w:tcPr>
          <w:p>
            <w:pPr>
              <w:jc w:val="center"/>
              <w:rPr>
                <w:lang w:eastAsia="en-US" w:bidi="ar-SA"/>
              </w:rPr>
            </w:pPr>
            <w:r>
              <w:rPr>
                <w:rStyle w:val="Code"/>
                <w:lang w:eastAsia="en-US" w:bidi="ar-SA"/>
              </w:rPr>
              <w:t>&lt;/p&gt;</w:t>
            </w:r>
          </w:p>
        </w:tc>
        <w:tc>
          <w:tcPr>
            <w:tcW w:w="3683" w:type="dxa"/>
            <w:tcBorders>
              <w:left w:val="single" w:sz="4" w:space="0" w:color="auto"/>
            </w:tcBorders>
          </w:tcPr>
          <w:p>
            <w:pPr>
              <w:jc w:val="center"/>
              <w:rPr>
                <w:lang w:eastAsia="en-US" w:bidi="ar-SA"/>
              </w:rPr>
            </w:pPr>
          </w:p>
        </w:tc>
      </w:tr>
      <w:tr>
        <w:tc>
          <w:tcPr>
            <w:tcW w:w="2263" w:type="dxa"/>
            <w:tcBorders>
              <w:right w:val="single" w:sz="4" w:space="0" w:color="auto"/>
            </w:tcBorders>
            <w:shd w:val="clear" w:color="auto" w:fill="000000" w:themeFill="text1"/>
          </w:tcPr>
          <w:p>
            <w:pPr>
              <w:jc w:val="right"/>
              <w:rPr>
                <w:b/>
                <w:bCs/>
                <w:lang w:eastAsia="en-US" w:bidi="ar-SA"/>
              </w:rPr>
            </w:pPr>
            <w:r>
              <w:rPr>
                <w:b/>
                <w:bCs/>
                <w:lang w:eastAsia="en-US" w:bidi="ar-SA"/>
              </w:rPr>
              <w:t>unavailable text</w:t>
            </w:r>
          </w:p>
        </w:tc>
        <w:tc>
          <w:tcPr>
            <w:tcW w:w="7365" w:type="dxa"/>
            <w:gridSpan w:val="2"/>
            <w:tcBorders>
              <w:left w:val="single" w:sz="4" w:space="0" w:color="auto"/>
            </w:tcBorders>
          </w:tcPr>
          <w:p>
            <w:pPr>
              <w:jc w:val="center"/>
              <w:rPr>
                <w:lang w:eastAsia="en-US" w:bidi="ar-SA"/>
              </w:rPr>
            </w:pPr>
            <w:r>
              <w:rPr>
                <w:rStyle w:val="Code"/>
                <w:lang w:eastAsia="en-US" w:bidi="ar-SA"/>
              </w:rPr>
              <w:t>&lt;g</w:t>
            </w:r>
            <w:r>
              <w:rPr>
                <w:rStyle w:val="Code"/>
              </w:rPr>
              <w:t>a</w:t>
            </w:r>
            <w:r>
              <w:rPr>
                <w:rStyle w:val="Code"/>
                <w:lang w:eastAsia="en-US" w:bidi="ar-SA"/>
              </w:rPr>
              <w:t xml:space="preserve">p </w:t>
            </w:r>
            <w:r>
              <w:rPr>
                <w:rStyle w:val="Code"/>
              </w:rPr>
              <w:t>...</w:t>
            </w:r>
            <w:r>
              <w:rPr>
                <w:rStyle w:val="Code"/>
                <w:lang w:eastAsia="en-US" w:bidi="ar-SA"/>
              </w:rPr>
              <w:t>/&gt;</w:t>
            </w:r>
          </w:p>
        </w:tc>
      </w:tr>
      <w:tr>
        <w:tc>
          <w:tcPr>
            <w:tcW w:w="2263" w:type="dxa"/>
            <w:tcBorders>
              <w:right w:val="single" w:sz="4" w:space="0" w:color="auto"/>
            </w:tcBorders>
            <w:shd w:val="clear" w:color="auto" w:fill="FFFF00"/>
          </w:tcPr>
          <w:p>
            <w:pPr>
              <w:jc w:val="right"/>
              <w:rPr>
                <w:b/>
                <w:bCs/>
                <w:lang w:eastAsia="en-US" w:bidi="ar-SA"/>
              </w:rPr>
            </w:pPr>
            <w:r>
              <w:rPr>
                <w:b/>
                <w:bCs/>
                <w:lang w:eastAsia="en-US" w:bidi="ar-SA"/>
              </w:rPr>
              <w:t>structure start</w:t>
            </w:r>
          </w:p>
        </w:tc>
        <w:tc>
          <w:tcPr>
            <w:tcW w:w="3682" w:type="dxa"/>
            <w:tcBorders>
              <w:left w:val="single" w:sz="4" w:space="0" w:color="auto"/>
              <w:right w:val="single" w:sz="4" w:space="0" w:color="auto"/>
            </w:tcBorders>
          </w:tcPr>
          <w:p>
            <w:pPr>
              <w:jc w:val="center"/>
              <w:rPr>
                <w:rStyle w:val="Code"/>
                <w:lang w:eastAsia="en-US" w:bidi="ar-SA"/>
              </w:rPr>
            </w:pPr>
            <w:r>
              <w:rPr>
                <w:rStyle w:val="Code"/>
                <w:lang w:eastAsia="en-US" w:bidi="ar-SA"/>
              </w:rPr>
              <w:t>&lt;p</w:t>
            </w:r>
            <w:r>
              <w:rPr>
                <w:rStyle w:val="Codeattribute"/>
              </w:rPr>
              <w:t xml:space="preserve"> part</w:t>
            </w:r>
            <w:r>
              <w:rPr>
                <w:rStyle w:val="Code"/>
              </w:rPr>
              <w:t>=</w:t>
            </w:r>
            <w:r>
              <w:rPr>
                <w:rStyle w:val="Codevalue"/>
              </w:rPr>
              <w:t>"F"</w:t>
            </w:r>
            <w:r>
              <w:rPr>
                <w:rStyle w:val="Code"/>
                <w:lang w:eastAsia="en-US" w:bidi="ar-SA"/>
              </w:rPr>
              <w:t>&gt;</w:t>
            </w:r>
          </w:p>
        </w:tc>
        <w:tc>
          <w:tcPr>
            <w:tcW w:w="3683" w:type="dxa"/>
            <w:tcBorders>
              <w:left w:val="single" w:sz="4" w:space="0" w:color="auto"/>
            </w:tcBorders>
          </w:tcPr>
          <w:p>
            <w:pPr>
              <w:jc w:val="center"/>
              <w:rPr>
                <w:rStyle w:val="Code"/>
                <w:lang w:eastAsia="en-US" w:bidi="ar-SA"/>
              </w:rPr>
            </w:pPr>
            <w:r>
              <w:rPr>
                <w:rStyle w:val="Code"/>
                <w:lang w:eastAsia="en-US" w:bidi="ar-SA"/>
              </w:rPr>
              <w:t>&lt;lb</w:t>
            </w:r>
            <w:r>
              <w:rPr>
                <w:rStyle w:val="Codeattribute"/>
              </w:rPr>
              <w:t xml:space="preserve"> n</w:t>
            </w:r>
            <w:r>
              <w:rPr>
                <w:rStyle w:val="Code"/>
              </w:rPr>
              <w:t>=</w:t>
            </w:r>
            <w:r>
              <w:rPr>
                <w:rStyle w:val="Codevalue"/>
              </w:rPr>
              <w:t>"y"/</w:t>
            </w:r>
            <w:r>
              <w:rPr>
                <w:rStyle w:val="Code"/>
                <w:lang w:eastAsia="en-US" w:bidi="ar-SA"/>
              </w:rPr>
              <w:t>&gt;</w:t>
            </w:r>
          </w:p>
        </w:tc>
      </w:tr>
      <w:tr>
        <w:tc>
          <w:tcPr>
            <w:tcW w:w="2263" w:type="dxa"/>
            <w:tcBorders>
              <w:right w:val="single" w:sz="4" w:space="0" w:color="auto"/>
            </w:tcBorders>
            <w:shd w:val="clear" w:color="auto" w:fill="D9D9D9" w:themeFill="background1" w:themeFillShade="D9"/>
          </w:tcPr>
          <w:p>
            <w:pPr>
              <w:jc w:val="right"/>
              <w:rPr>
                <w:b/>
                <w:bCs/>
                <w:lang w:eastAsia="en-US" w:bidi="ar-SA"/>
              </w:rPr>
            </w:pPr>
            <w:r>
              <w:rPr>
                <w:b/>
                <w:bCs/>
                <w:lang w:eastAsia="en-US" w:bidi="ar-SA"/>
              </w:rPr>
              <w:t>restored text</w:t>
            </w:r>
          </w:p>
        </w:tc>
        <w:tc>
          <w:tcPr>
            <w:tcW w:w="7365" w:type="dxa"/>
            <w:gridSpan w:val="2"/>
            <w:tcBorders>
              <w:left w:val="single" w:sz="4" w:space="0" w:color="auto"/>
            </w:tcBorders>
          </w:tcPr>
          <w:p>
            <w:pPr>
              <w:jc w:val="center"/>
              <w:rPr>
                <w:lang w:eastAsia="en-US" w:bidi="ar-SA"/>
              </w:rPr>
            </w:pPr>
            <w:r>
              <w:rPr>
                <w:rStyle w:val="Code"/>
                <w:lang w:eastAsia="en-US" w:bidi="ar-SA"/>
              </w:rPr>
              <w:t>&lt;supplied&gt;</w:t>
            </w:r>
            <w:proofErr w:type="spellStart"/>
            <w:r>
              <w:t>uvw</w:t>
            </w:r>
            <w:proofErr w:type="spellEnd"/>
            <w:r>
              <w:rPr>
                <w:rStyle w:val="Code"/>
                <w:lang w:eastAsia="en-US" w:bidi="ar-SA"/>
              </w:rPr>
              <w:t>&lt;/supplied&gt;</w:t>
            </w:r>
          </w:p>
        </w:tc>
      </w:tr>
      <w:tr>
        <w:tc>
          <w:tcPr>
            <w:tcW w:w="2263" w:type="dxa"/>
            <w:tcBorders>
              <w:right w:val="single" w:sz="4" w:space="0" w:color="auto"/>
            </w:tcBorders>
            <w:shd w:val="clear" w:color="auto" w:fill="FFFFFF" w:themeFill="background1"/>
          </w:tcPr>
          <w:p>
            <w:pPr>
              <w:jc w:val="right"/>
              <w:rPr>
                <w:b/>
                <w:bCs/>
                <w:lang w:eastAsia="en-US" w:bidi="ar-SA"/>
              </w:rPr>
            </w:pPr>
            <w:r>
              <w:rPr>
                <w:b/>
                <w:bCs/>
                <w:lang w:eastAsia="en-US" w:bidi="ar-SA"/>
              </w:rPr>
              <w:t>extant text</w:t>
            </w:r>
          </w:p>
        </w:tc>
        <w:tc>
          <w:tcPr>
            <w:tcW w:w="7365" w:type="dxa"/>
            <w:gridSpan w:val="2"/>
            <w:tcBorders>
              <w:left w:val="single" w:sz="4" w:space="0" w:color="auto"/>
            </w:tcBorders>
          </w:tcPr>
          <w:p>
            <w:pPr>
              <w:jc w:val="center"/>
              <w:rPr>
                <w:lang w:eastAsia="en-US" w:bidi="ar-SA"/>
              </w:rPr>
            </w:pPr>
            <w:proofErr w:type="spellStart"/>
            <w:r>
              <w:rPr>
                <w:lang w:eastAsia="en-US" w:bidi="ar-SA"/>
              </w:rPr>
              <w:t>xyz</w:t>
            </w:r>
            <w:proofErr w:type="spellEnd"/>
          </w:p>
        </w:tc>
      </w:tr>
      <w:tr>
        <w:tc>
          <w:tcPr>
            <w:tcW w:w="2263" w:type="dxa"/>
            <w:tcBorders>
              <w:right w:val="single" w:sz="4" w:space="0" w:color="auto"/>
            </w:tcBorders>
            <w:shd w:val="clear" w:color="auto" w:fill="FFFF00"/>
          </w:tcPr>
          <w:p>
            <w:pPr>
              <w:jc w:val="right"/>
              <w:rPr>
                <w:b/>
                <w:bCs/>
                <w:lang w:eastAsia="en-US" w:bidi="ar-SA"/>
              </w:rPr>
            </w:pPr>
            <w:r>
              <w:rPr>
                <w:b/>
                <w:bCs/>
                <w:lang w:eastAsia="en-US" w:bidi="ar-SA"/>
              </w:rPr>
              <w:t>structure end</w:t>
            </w:r>
          </w:p>
        </w:tc>
        <w:tc>
          <w:tcPr>
            <w:tcW w:w="3682" w:type="dxa"/>
            <w:tcBorders>
              <w:left w:val="single" w:sz="4" w:space="0" w:color="auto"/>
              <w:right w:val="single" w:sz="4" w:space="0" w:color="auto"/>
            </w:tcBorders>
          </w:tcPr>
          <w:p>
            <w:pPr>
              <w:jc w:val="center"/>
              <w:rPr>
                <w:lang w:eastAsia="en-US" w:bidi="ar-SA"/>
              </w:rPr>
            </w:pPr>
            <w:r>
              <w:rPr>
                <w:rStyle w:val="Code"/>
                <w:lang w:eastAsia="en-US" w:bidi="ar-SA"/>
              </w:rPr>
              <w:t>&lt;/p&gt;</w:t>
            </w:r>
          </w:p>
        </w:tc>
        <w:tc>
          <w:tcPr>
            <w:tcW w:w="3683" w:type="dxa"/>
            <w:tcBorders>
              <w:left w:val="single" w:sz="4" w:space="0" w:color="auto"/>
            </w:tcBorders>
          </w:tcPr>
          <w:p>
            <w:pPr>
              <w:jc w:val="center"/>
              <w:rPr>
                <w:lang w:eastAsia="en-US" w:bidi="ar-SA"/>
              </w:rPr>
            </w:pPr>
          </w:p>
        </w:tc>
      </w:tr>
    </w:tbl>
    <w:p>
      <w:pPr>
        <w:rPr>
          <w:lang w:eastAsia="en-US" w:bidi="ar-SA"/>
        </w:rPr>
      </w:pPr>
    </w:p>
    <w:p>
      <w:pPr>
        <w:pStyle w:val="Cmsor4"/>
      </w:pPr>
      <w:bookmarkStart w:id="556" w:name="_Ref228452369"/>
      <w:r>
        <w:t>Encoding a massive lacuna</w:t>
      </w:r>
    </w:p>
    <w:p>
      <w:pPr>
        <w:pStyle w:val="Lista"/>
        <w:rPr>
          <w:lang w:eastAsia="en-US" w:bidi="ar-SA"/>
        </w:rPr>
      </w:pPr>
      <w:r>
        <w:rPr>
          <w:lang w:eastAsia="en-US" w:bidi="ar-SA"/>
        </w:rPr>
        <w:t xml:space="preserve">the massive lacuna itself must usually be encoded with a single </w:t>
      </w:r>
      <w:r>
        <w:rPr>
          <w:rStyle w:val="Code"/>
        </w:rPr>
        <w:t>&lt;gap/&gt;</w:t>
      </w:r>
      <w:r>
        <w:t xml:space="preserve"> element for a multiline lacuna as per §</w:t>
      </w:r>
      <w:r>
        <w:fldChar w:fldCharType="begin"/>
      </w:r>
      <w:r>
        <w:instrText xml:space="preserve"> REF _Ref228349461 \r \h </w:instrText>
      </w:r>
      <w:r>
        <w:fldChar w:fldCharType="separate"/>
      </w:r>
      <w:r>
        <w:t>6.5.3.2</w:t>
      </w:r>
      <w:r>
        <w:fldChar w:fldCharType="end"/>
      </w:r>
      <w:r>
        <w:t>, with a known, estimated or unknown number of lines</w:t>
      </w:r>
    </w:p>
    <w:p>
      <w:pPr>
        <w:pStyle w:val="Lista"/>
        <w:rPr>
          <w:lang w:eastAsia="en-US" w:bidi="ar-SA"/>
        </w:rPr>
      </w:pPr>
      <w:r>
        <w:rPr>
          <w:lang w:eastAsia="en-US" w:bidi="ar-SA"/>
        </w:rPr>
        <w:t xml:space="preserve">this </w:t>
      </w:r>
      <w:r>
        <w:rPr>
          <w:rStyle w:val="Code"/>
        </w:rPr>
        <w:t>&lt;gap/&gt;</w:t>
      </w:r>
      <w:r>
        <w:t xml:space="preserve"> element is to be placed, exceptionally, outside block-level text containers, so it will be a direct child of the edition division or (if present), a textpart division</w:t>
      </w:r>
    </w:p>
    <w:p>
      <w:pPr>
        <w:pStyle w:val="Lista"/>
        <w:rPr>
          <w:lang w:eastAsia="en-US" w:bidi="ar-SA"/>
        </w:rPr>
      </w:pPr>
      <w:r>
        <w:t>the subsections below provide additional considerations for encoding an edition involving a massive lacuna, of which the following are indispensable:</w:t>
      </w:r>
    </w:p>
    <w:p>
      <w:pPr>
        <w:pStyle w:val="Lista2"/>
        <w:rPr>
          <w:lang w:eastAsia="en-US" w:bidi="ar-SA"/>
        </w:rPr>
      </w:pPr>
      <w:r>
        <w:rPr>
          <w:lang w:eastAsia="en-US" w:bidi="ar-SA"/>
        </w:rPr>
        <w:t>for a massive final lacuna (i.e. where the end of an inscription is lost): §</w:t>
      </w:r>
      <w:r>
        <w:rPr>
          <w:lang w:eastAsia="en-US" w:bidi="ar-SA"/>
        </w:rPr>
        <w:fldChar w:fldCharType="begin"/>
      </w:r>
      <w:r>
        <w:rPr>
          <w:lang w:eastAsia="en-US" w:bidi="ar-SA"/>
        </w:rPr>
        <w:instrText xml:space="preserve"> REF _Ref228453535 \r \h </w:instrText>
      </w:r>
      <w:r>
        <w:rPr>
          <w:lang w:eastAsia="en-US" w:bidi="ar-SA"/>
        </w:rPr>
      </w:r>
      <w:r>
        <w:rPr>
          <w:lang w:eastAsia="en-US" w:bidi="ar-SA"/>
        </w:rPr>
        <w:fldChar w:fldCharType="separate"/>
      </w:r>
      <w:r>
        <w:rPr>
          <w:lang w:eastAsia="en-US" w:bidi="ar-SA"/>
        </w:rPr>
        <w:t>6.5.4.3</w:t>
      </w:r>
      <w:r>
        <w:rPr>
          <w:lang w:eastAsia="en-US" w:bidi="ar-SA"/>
        </w:rPr>
        <w:fldChar w:fldCharType="end"/>
      </w:r>
    </w:p>
    <w:p>
      <w:pPr>
        <w:pStyle w:val="Lista2"/>
        <w:rPr>
          <w:lang w:eastAsia="en-US" w:bidi="ar-SA"/>
        </w:rPr>
      </w:pPr>
      <w:r>
        <w:rPr>
          <w:lang w:eastAsia="en-US" w:bidi="ar-SA"/>
        </w:rPr>
        <w:t>for a massive initial lacuna (i.e. where the beginning of an inscription is lost): §</w:t>
      </w:r>
      <w:r>
        <w:rPr>
          <w:lang w:eastAsia="en-US" w:bidi="ar-SA"/>
        </w:rPr>
        <w:fldChar w:fldCharType="begin"/>
      </w:r>
      <w:r>
        <w:rPr>
          <w:lang w:eastAsia="en-US" w:bidi="ar-SA"/>
        </w:rPr>
        <w:instrText xml:space="preserve"> REF _Ref228453546 \r \h </w:instrText>
      </w:r>
      <w:r>
        <w:rPr>
          <w:lang w:eastAsia="en-US" w:bidi="ar-SA"/>
        </w:rPr>
      </w:r>
      <w:r>
        <w:rPr>
          <w:lang w:eastAsia="en-US" w:bidi="ar-SA"/>
        </w:rPr>
        <w:fldChar w:fldCharType="separate"/>
      </w:r>
      <w:r>
        <w:rPr>
          <w:lang w:eastAsia="en-US" w:bidi="ar-SA"/>
        </w:rPr>
        <w:t>6.5.4.4</w:t>
      </w:r>
      <w:r>
        <w:rPr>
          <w:lang w:eastAsia="en-US" w:bidi="ar-SA"/>
        </w:rPr>
        <w:fldChar w:fldCharType="end"/>
      </w:r>
    </w:p>
    <w:p>
      <w:pPr>
        <w:pStyle w:val="Lista2"/>
        <w:rPr>
          <w:lang w:eastAsia="en-US" w:bidi="ar-SA"/>
        </w:rPr>
      </w:pPr>
      <w:r>
        <w:rPr>
          <w:lang w:eastAsia="en-US" w:bidi="ar-SA"/>
        </w:rPr>
        <w:t>for a massive medial lacuna (i.e. where the middle of an inscription is lost): §</w:t>
      </w:r>
      <w:r>
        <w:rPr>
          <w:lang w:eastAsia="en-US" w:bidi="ar-SA"/>
        </w:rPr>
        <w:fldChar w:fldCharType="begin"/>
      </w:r>
      <w:r>
        <w:rPr>
          <w:lang w:eastAsia="en-US" w:bidi="ar-SA"/>
        </w:rPr>
        <w:instrText xml:space="preserve"> REF _Ref228453535 \r \h </w:instrText>
      </w:r>
      <w:r>
        <w:rPr>
          <w:lang w:eastAsia="en-US" w:bidi="ar-SA"/>
        </w:rPr>
      </w:r>
      <w:r>
        <w:rPr>
          <w:lang w:eastAsia="en-US" w:bidi="ar-SA"/>
        </w:rPr>
        <w:fldChar w:fldCharType="separate"/>
      </w:r>
      <w:r>
        <w:rPr>
          <w:lang w:eastAsia="en-US" w:bidi="ar-SA"/>
        </w:rPr>
        <w:t>6.5.4.3</w:t>
      </w:r>
      <w:r>
        <w:rPr>
          <w:lang w:eastAsia="en-US" w:bidi="ar-SA"/>
        </w:rPr>
        <w:fldChar w:fldCharType="end"/>
      </w:r>
      <w:r>
        <w:rPr>
          <w:lang w:eastAsia="en-US" w:bidi="ar-SA"/>
        </w:rPr>
        <w:t xml:space="preserve"> and §</w:t>
      </w:r>
      <w:r>
        <w:rPr>
          <w:lang w:eastAsia="en-US" w:bidi="ar-SA"/>
        </w:rPr>
        <w:fldChar w:fldCharType="begin"/>
      </w:r>
      <w:r>
        <w:rPr>
          <w:lang w:eastAsia="en-US" w:bidi="ar-SA"/>
        </w:rPr>
        <w:instrText xml:space="preserve"> REF _Ref228453546 \r \h </w:instrText>
      </w:r>
      <w:r>
        <w:rPr>
          <w:lang w:eastAsia="en-US" w:bidi="ar-SA"/>
        </w:rPr>
      </w:r>
      <w:r>
        <w:rPr>
          <w:lang w:eastAsia="en-US" w:bidi="ar-SA"/>
        </w:rPr>
        <w:fldChar w:fldCharType="separate"/>
      </w:r>
      <w:r>
        <w:rPr>
          <w:lang w:eastAsia="en-US" w:bidi="ar-SA"/>
        </w:rPr>
        <w:t>6.5.4.4</w:t>
      </w:r>
      <w:r>
        <w:rPr>
          <w:lang w:eastAsia="en-US" w:bidi="ar-SA"/>
        </w:rPr>
        <w:fldChar w:fldCharType="end"/>
      </w:r>
    </w:p>
    <w:p>
      <w:pPr>
        <w:pStyle w:val="Lista2"/>
        <w:rPr>
          <w:lang w:eastAsia="en-US" w:bidi="ar-SA"/>
        </w:rPr>
      </w:pPr>
      <w:r>
        <w:rPr>
          <w:lang w:eastAsia="en-US" w:bidi="ar-SA"/>
        </w:rPr>
        <w:t>for a massive bilateral lacuna (i.e. where the beginning and end of an inscription are both lost): §</w:t>
      </w:r>
      <w:r>
        <w:rPr>
          <w:lang w:eastAsia="en-US" w:bidi="ar-SA"/>
        </w:rPr>
        <w:fldChar w:fldCharType="begin"/>
      </w:r>
      <w:r>
        <w:rPr>
          <w:lang w:eastAsia="en-US" w:bidi="ar-SA"/>
        </w:rPr>
        <w:instrText xml:space="preserve"> REF _Ref228453546 \r \h </w:instrText>
      </w:r>
      <w:r>
        <w:rPr>
          <w:lang w:eastAsia="en-US" w:bidi="ar-SA"/>
        </w:rPr>
      </w:r>
      <w:r>
        <w:rPr>
          <w:lang w:eastAsia="en-US" w:bidi="ar-SA"/>
        </w:rPr>
        <w:fldChar w:fldCharType="separate"/>
      </w:r>
      <w:r>
        <w:rPr>
          <w:lang w:eastAsia="en-US" w:bidi="ar-SA"/>
        </w:rPr>
        <w:t>6.5.4.4</w:t>
      </w:r>
      <w:r>
        <w:rPr>
          <w:lang w:eastAsia="en-US" w:bidi="ar-SA"/>
        </w:rPr>
        <w:fldChar w:fldCharType="end"/>
      </w:r>
      <w:r>
        <w:rPr>
          <w:lang w:eastAsia="en-US" w:bidi="ar-SA"/>
        </w:rPr>
        <w:t xml:space="preserve"> and §</w:t>
      </w:r>
      <w:r>
        <w:rPr>
          <w:lang w:eastAsia="en-US" w:bidi="ar-SA"/>
        </w:rPr>
        <w:fldChar w:fldCharType="begin"/>
      </w:r>
      <w:r>
        <w:rPr>
          <w:lang w:eastAsia="en-US" w:bidi="ar-SA"/>
        </w:rPr>
        <w:instrText xml:space="preserve"> REF _Ref228453535 \r \h </w:instrText>
      </w:r>
      <w:r>
        <w:rPr>
          <w:lang w:eastAsia="en-US" w:bidi="ar-SA"/>
        </w:rPr>
      </w:r>
      <w:r>
        <w:rPr>
          <w:lang w:eastAsia="en-US" w:bidi="ar-SA"/>
        </w:rPr>
        <w:fldChar w:fldCharType="separate"/>
      </w:r>
      <w:r>
        <w:rPr>
          <w:lang w:eastAsia="en-US" w:bidi="ar-SA"/>
        </w:rPr>
        <w:t>6.5.4.3</w:t>
      </w:r>
      <w:r>
        <w:rPr>
          <w:lang w:eastAsia="en-US" w:bidi="ar-SA"/>
        </w:rPr>
        <w:fldChar w:fldCharType="end"/>
      </w:r>
    </w:p>
    <w:p>
      <w:pPr>
        <w:pStyle w:val="Cmsor4"/>
      </w:pPr>
      <w:bookmarkStart w:id="557" w:name="_Ref228458226"/>
      <w:r>
        <w:lastRenderedPageBreak/>
        <w:t>Alternatives to encoding a massive lacuna</w:t>
      </w:r>
      <w:bookmarkEnd w:id="556"/>
      <w:bookmarkEnd w:id="557"/>
    </w:p>
    <w:p>
      <w:pPr>
        <w:pStyle w:val="Lista"/>
      </w:pPr>
      <w:r>
        <w:t xml:space="preserve">when the extrinsic structure of the unavailable text (including line beginnings by default and the beginnings of pages or other larger structural units when applicable) can be reconstructed with fair confidence, then it is preferable to create the applicable structural milestones and encode inline lacunae </w:t>
      </w:r>
      <w:r>
        <w:rPr>
          <w:lang w:eastAsia="en-US" w:bidi="ar-SA"/>
        </w:rPr>
        <w:t>as per §</w:t>
      </w:r>
      <w:r>
        <w:rPr>
          <w:lang w:eastAsia="en-US" w:bidi="ar-SA"/>
        </w:rPr>
        <w:fldChar w:fldCharType="begin"/>
      </w:r>
      <w:r>
        <w:rPr>
          <w:lang w:eastAsia="en-US" w:bidi="ar-SA"/>
        </w:rPr>
        <w:instrText xml:space="preserve"> REF _Ref228368995 \r \h </w:instrText>
      </w:r>
      <w:r>
        <w:rPr>
          <w:lang w:eastAsia="en-US" w:bidi="ar-SA"/>
        </w:rPr>
      </w:r>
      <w:r>
        <w:rPr>
          <w:lang w:eastAsia="en-US" w:bidi="ar-SA"/>
        </w:rPr>
        <w:fldChar w:fldCharType="separate"/>
      </w:r>
      <w:r>
        <w:rPr>
          <w:lang w:eastAsia="en-US" w:bidi="ar-SA"/>
        </w:rPr>
        <w:t>6.5.3.1</w:t>
      </w:r>
      <w:r>
        <w:rPr>
          <w:lang w:eastAsia="en-US" w:bidi="ar-SA"/>
        </w:rPr>
        <w:fldChar w:fldCharType="end"/>
      </w:r>
    </w:p>
    <w:p>
      <w:pPr>
        <w:pStyle w:val="Lista2"/>
      </w:pPr>
      <w:r>
        <w:t>however, if this would result in a large number of empty lines (as a rule of thumb: more than half of the edition), then feel free to forego this and encode a massive lacuna instead</w:t>
      </w:r>
    </w:p>
    <w:p>
      <w:pPr>
        <w:pStyle w:val="Lista2"/>
      </w:pPr>
      <w:r>
        <w:t>the structural milestones must be contained within the usual block-level containers for text (§</w:t>
      </w:r>
      <w:r>
        <w:fldChar w:fldCharType="begin"/>
      </w:r>
      <w:r>
        <w:instrText xml:space="preserve"> REF _Ref225502709 \r \h </w:instrText>
      </w:r>
      <w:r>
        <w:fldChar w:fldCharType="separate"/>
      </w:r>
      <w:r>
        <w:t>4.3.3.1</w:t>
      </w:r>
      <w:r>
        <w:fldChar w:fldCharType="end"/>
      </w:r>
      <w:r>
        <w:t>)</w:t>
      </w:r>
    </w:p>
    <w:p>
      <w:pPr>
        <w:pStyle w:val="Lista3"/>
      </w:pPr>
      <w:r>
        <w:t xml:space="preserve">occasionally, it may be possible to reconstruct the intrinsic structure of the unavailable text (especially when physical lines correspond to verse lines), in which case feel free to do so and create separate </w:t>
      </w:r>
      <w:r>
        <w:rPr>
          <w:rStyle w:val="Code"/>
        </w:rPr>
        <w:t>&lt;gap/&gt;</w:t>
      </w:r>
      <w:r>
        <w:t xml:space="preserve"> elements within each container as per §</w:t>
      </w:r>
      <w:r>
        <w:fldChar w:fldCharType="begin"/>
      </w:r>
      <w:r>
        <w:instrText xml:space="preserve"> REF _Ref228267821 \r \h </w:instrText>
      </w:r>
      <w:r>
        <w:fldChar w:fldCharType="separate"/>
      </w:r>
      <w:r>
        <w:t>6.5.2.2</w:t>
      </w:r>
      <w:r>
        <w:fldChar w:fldCharType="end"/>
      </w:r>
    </w:p>
    <w:p>
      <w:pPr>
        <w:pStyle w:val="Lista3"/>
      </w:pPr>
      <w:r>
        <w:t xml:space="preserve">but if this is impossible or impracticable, simply create a single </w:t>
      </w:r>
      <w:r>
        <w:rPr>
          <w:rStyle w:val="Code"/>
        </w:rPr>
        <w:t>&lt;ab&gt;</w:t>
      </w:r>
      <w:r>
        <w:t xml:space="preserve"> element (§</w:t>
      </w:r>
      <w:r>
        <w:fldChar w:fldCharType="begin"/>
      </w:r>
      <w:r>
        <w:instrText xml:space="preserve"> REF _Ref43981028 \r \h </w:instrText>
      </w:r>
      <w:r>
        <w:fldChar w:fldCharType="separate"/>
      </w:r>
      <w:r>
        <w:t>3.2.1.2</w:t>
      </w:r>
      <w:r>
        <w:fldChar w:fldCharType="end"/>
      </w:r>
      <w:r>
        <w:t>) as a container for the reconstructed lines without available text</w:t>
      </w:r>
    </w:p>
    <w:p>
      <w:pPr>
        <w:pStyle w:val="Lista"/>
        <w:rPr>
          <w:lang w:eastAsia="en-US" w:bidi="ar-SA"/>
        </w:rPr>
      </w:pPr>
      <w:r>
        <w:rPr>
          <w:lang w:eastAsia="en-US" w:bidi="ar-SA"/>
        </w:rPr>
        <w:t>when an inscription is interrupted by a massive medial lacuna in such a way that the number of lost lines cannot be counted or estimated reliably, then creating textpart divisions for the extant parts is a viable alternative to encoding a massive lacuna</w:t>
      </w:r>
    </w:p>
    <w:p>
      <w:pPr>
        <w:pStyle w:val="Lista2"/>
      </w:pPr>
      <w:r>
        <w:t>this, in effect, treats the inscription as consisting of unconnected fragments (§</w:t>
      </w:r>
      <w:r>
        <w:fldChar w:fldCharType="begin"/>
      </w:r>
      <w:r>
        <w:instrText xml:space="preserve"> REF _Ref225346692 \r \h </w:instrText>
      </w:r>
      <w:r>
        <w:fldChar w:fldCharType="separate"/>
      </w:r>
      <w:r>
        <w:t>4.7.3.2</w:t>
      </w:r>
      <w:r>
        <w:fldChar w:fldCharType="end"/>
      </w:r>
      <w:r>
        <w:t>), even if the massive lacuna is merely due to surface damage</w:t>
      </w:r>
    </w:p>
    <w:p>
      <w:pPr>
        <w:pStyle w:val="Lista2"/>
      </w:pPr>
      <w:r>
        <w:t xml:space="preserve">putting the final extant chunk in a new textpart division allows </w:t>
      </w:r>
      <w:r>
        <w:rPr>
          <w:noProof/>
        </w:rPr>
        <w:t>(</w:t>
      </w:r>
      <w:r>
        <w:t>and compels) you to restart line and stanza numbering from 1, thus avoiding complications arising from being unable to count the number of unavailable lines and stanzas</w:t>
      </w:r>
    </w:p>
    <w:p>
      <w:pPr>
        <w:pStyle w:val="Lista2"/>
      </w:pPr>
      <w:r>
        <w:t>since textpart divisions encoded as fragments necessarily imply the presence of lacunae between the textparts, lines lost between the fragments shall not be encoded explicitly</w:t>
      </w:r>
    </w:p>
    <w:p>
      <w:pPr>
        <w:pStyle w:val="Lista3"/>
      </w:pPr>
      <w:r>
        <w:t xml:space="preserve">the use of </w:t>
      </w:r>
      <w:r>
        <w:rPr>
          <w:rStyle w:val="Codeattribute"/>
        </w:rPr>
        <w:t>@part</w:t>
      </w:r>
      <w:r>
        <w:t xml:space="preserve"> on incomplete block-level containers before and after the lacuna applies as described below </w:t>
      </w:r>
    </w:p>
    <w:p>
      <w:pPr>
        <w:pStyle w:val="Lista3"/>
      </w:pPr>
      <w:r>
        <w:t xml:space="preserve">any partially available lines (i.e. those that contain extant or restored text at the end or beginning) must be completed by encoding an inline lacuna for the part of the line where text is not available </w:t>
      </w:r>
    </w:p>
    <w:p>
      <w:pPr>
        <w:pStyle w:val="Cmsor4"/>
      </w:pPr>
      <w:bookmarkStart w:id="558" w:name="_Ref228453535"/>
      <w:r>
        <w:t>Structure before a massive lacuna</w:t>
      </w:r>
      <w:bookmarkEnd w:id="558"/>
    </w:p>
    <w:p>
      <w:pPr>
        <w:rPr>
          <w:lang w:eastAsia="en-US" w:bidi="ar-SA"/>
        </w:rPr>
      </w:pPr>
      <w:r>
        <w:rPr>
          <w:lang w:eastAsia="en-US" w:bidi="ar-SA"/>
        </w:rPr>
        <w:t xml:space="preserve">The encoding of a massive final lacuna is illustrated in </w:t>
      </w:r>
      <w:r>
        <w:rPr>
          <w:lang w:eastAsia="en-US" w:bidi="ar-SA"/>
        </w:rPr>
        <w:fldChar w:fldCharType="begin"/>
      </w:r>
      <w:r>
        <w:rPr>
          <w:lang w:eastAsia="en-US" w:bidi="ar-SA"/>
        </w:rPr>
        <w:instrText xml:space="preserve"> REF _Ref228450971 \h </w:instrText>
      </w:r>
      <w:r>
        <w:rPr>
          <w:lang w:eastAsia="en-US" w:bidi="ar-SA"/>
        </w:rPr>
      </w:r>
      <w:r>
        <w:rPr>
          <w:lang w:eastAsia="en-US" w:bidi="ar-SA"/>
        </w:rPr>
        <w:fldChar w:fldCharType="separate"/>
      </w:r>
      <w:r>
        <w:t xml:space="preserve">Exhibit </w:t>
      </w:r>
      <w:r>
        <w:rPr>
          <w:noProof/>
        </w:rPr>
        <w:t>6.5</w:t>
      </w:r>
      <w:r>
        <w:t>.</w:t>
      </w:r>
      <w:r>
        <w:rPr>
          <w:noProof/>
        </w:rPr>
        <w:t>G</w:t>
      </w:r>
      <w:r>
        <w:rPr>
          <w:lang w:eastAsia="en-US" w:bidi="ar-SA"/>
        </w:rPr>
        <w:fldChar w:fldCharType="end"/>
      </w:r>
      <w:r>
        <w:rPr>
          <w:lang w:eastAsia="en-US" w:bidi="ar-SA"/>
        </w:rPr>
        <w:t>.</w:t>
      </w:r>
    </w:p>
    <w:p>
      <w:pPr>
        <w:pStyle w:val="Lista"/>
        <w:rPr>
          <w:lang w:eastAsia="en-US" w:bidi="ar-SA"/>
        </w:rPr>
      </w:pPr>
      <w:r>
        <w:rPr>
          <w:b/>
          <w:bCs/>
          <w:lang w:eastAsia="en-US" w:bidi="ar-SA"/>
        </w:rPr>
        <w:t>intrinsic structure</w:t>
      </w:r>
    </w:p>
    <w:p>
      <w:pPr>
        <w:pStyle w:val="Lista2"/>
        <w:rPr>
          <w:lang w:eastAsia="en-US" w:bidi="ar-SA"/>
        </w:rPr>
      </w:pPr>
      <w:r>
        <w:rPr>
          <w:lang w:eastAsia="en-US" w:bidi="ar-SA"/>
        </w:rPr>
        <w:t>because all available text must be within a container for intrinsic structure (§</w:t>
      </w:r>
      <w:r>
        <w:rPr>
          <w:lang w:eastAsia="en-US" w:bidi="ar-SA"/>
        </w:rPr>
        <w:fldChar w:fldCharType="begin"/>
      </w:r>
      <w:r>
        <w:rPr>
          <w:lang w:eastAsia="en-US" w:bidi="ar-SA"/>
        </w:rPr>
        <w:instrText xml:space="preserve"> REF _Ref225153755 \r \h </w:instrText>
      </w:r>
      <w:r>
        <w:rPr>
          <w:lang w:eastAsia="en-US" w:bidi="ar-SA"/>
        </w:rPr>
      </w:r>
      <w:r>
        <w:rPr>
          <w:lang w:eastAsia="en-US" w:bidi="ar-SA"/>
        </w:rPr>
        <w:fldChar w:fldCharType="separate"/>
      </w:r>
      <w:r>
        <w:rPr>
          <w:lang w:eastAsia="en-US" w:bidi="ar-SA"/>
        </w:rPr>
        <w:t>3.1</w:t>
      </w:r>
      <w:r>
        <w:rPr>
          <w:lang w:eastAsia="en-US" w:bidi="ar-SA"/>
        </w:rPr>
        <w:fldChar w:fldCharType="end"/>
      </w:r>
      <w:r>
        <w:rPr>
          <w:lang w:eastAsia="en-US" w:bidi="ar-SA"/>
        </w:rPr>
        <w:t>) but intrinsic structure is not reconstructed within a massive lacuna, any open block-level containers must be closed after all text ends and before the lacuna is encoded</w:t>
      </w:r>
    </w:p>
    <w:p>
      <w:pPr>
        <w:pStyle w:val="Lista2"/>
        <w:rPr>
          <w:lang w:eastAsia="en-US" w:bidi="ar-SA"/>
        </w:rPr>
      </w:pPr>
      <w:r>
        <w:rPr>
          <w:lang w:eastAsia="en-US" w:bidi="ar-SA"/>
        </w:rPr>
        <w:t xml:space="preserve">if the end of the available text does not coincide with the natural (semantic or metrical) end of the container, so the container ends prematurely, then the interrupted container must be encoded with </w:t>
      </w:r>
      <w:r>
        <w:rPr>
          <w:rStyle w:val="Codeattribute"/>
        </w:rPr>
        <w:t>@part</w:t>
      </w:r>
      <w:r>
        <w:rPr>
          <w:rStyle w:val="Code"/>
        </w:rPr>
        <w:t>=</w:t>
      </w:r>
      <w:r>
        <w:rPr>
          <w:rStyle w:val="Codevalue"/>
        </w:rPr>
        <w:t>"I"</w:t>
      </w:r>
      <w:r>
        <w:t xml:space="preserve"> (or </w:t>
      </w:r>
      <w:r>
        <w:rPr>
          <w:rStyle w:val="Codeattribute"/>
        </w:rPr>
        <w:t>@part</w:t>
      </w:r>
      <w:r>
        <w:rPr>
          <w:rStyle w:val="Code"/>
        </w:rPr>
        <w:t>=</w:t>
      </w:r>
      <w:r>
        <w:rPr>
          <w:rStyle w:val="Codevalue"/>
        </w:rPr>
        <w:t>"M"</w:t>
      </w:r>
      <w:r>
        <w:t xml:space="preserve"> if the beginning of the same container is lost to another lacuna) as per §</w:t>
      </w:r>
      <w:r>
        <w:fldChar w:fldCharType="begin"/>
      </w:r>
      <w:r>
        <w:instrText xml:space="preserve"> REF _Ref228980509 \r \h </w:instrText>
      </w:r>
      <w:r>
        <w:fldChar w:fldCharType="separate"/>
      </w:r>
      <w:r>
        <w:t>3.2.3.1</w:t>
      </w:r>
      <w:r>
        <w:fldChar w:fldCharType="end"/>
      </w:r>
      <w:r>
        <w:rPr>
          <w:lang w:eastAsia="en-US" w:bidi="ar-SA"/>
        </w:rPr>
        <w:t xml:space="preserve"> </w:t>
      </w:r>
    </w:p>
    <w:p>
      <w:pPr>
        <w:pStyle w:val="Lista2"/>
        <w:rPr>
          <w:lang w:eastAsia="en-US" w:bidi="ar-SA"/>
        </w:rPr>
      </w:pPr>
      <w:r>
        <w:t>if the available text is in more than one nested container (verse lines in a stanza or a list in a paragraph), then care must be taken</w:t>
      </w:r>
    </w:p>
    <w:p>
      <w:pPr>
        <w:pStyle w:val="Lista3"/>
        <w:rPr>
          <w:lang w:eastAsia="en-US" w:bidi="ar-SA"/>
        </w:rPr>
      </w:pPr>
      <w:r>
        <w:t>to add the end tag for all containers</w:t>
      </w:r>
    </w:p>
    <w:p>
      <w:pPr>
        <w:pStyle w:val="Lista3"/>
        <w:rPr>
          <w:lang w:eastAsia="en-US" w:bidi="ar-SA"/>
        </w:rPr>
      </w:pPr>
      <w:r>
        <w:t xml:space="preserve">and to add </w:t>
      </w:r>
      <w:r>
        <w:rPr>
          <w:rStyle w:val="Codeattribute"/>
        </w:rPr>
        <w:t>@part</w:t>
      </w:r>
      <w:r>
        <w:t xml:space="preserve"> to all containers which end prematurely</w:t>
      </w:r>
    </w:p>
    <w:p>
      <w:pPr>
        <w:pStyle w:val="Lista4"/>
      </w:pPr>
      <w:r>
        <w:t xml:space="preserve">if the end of the available text coincides with the end of a verse line, then </w:t>
      </w:r>
      <w:r>
        <w:rPr>
          <w:rStyle w:val="Codeattribute"/>
        </w:rPr>
        <w:t>@part</w:t>
      </w:r>
      <w:r>
        <w:t xml:space="preserve"> is not applicable to that </w:t>
      </w:r>
      <w:r>
        <w:rPr>
          <w:rStyle w:val="Code"/>
        </w:rPr>
        <w:t>&lt;l&gt;</w:t>
      </w:r>
      <w:r>
        <w:t xml:space="preserve"> element, but may still be applicable to the enclosing </w:t>
      </w:r>
      <w:r>
        <w:rPr>
          <w:rStyle w:val="Code"/>
        </w:rPr>
        <w:t>&lt;lg&gt;</w:t>
      </w:r>
      <w:r>
        <w:t xml:space="preserve"> element if the stanza had subsequent lines lost to the lacuna</w:t>
      </w:r>
    </w:p>
    <w:p>
      <w:pPr>
        <w:pStyle w:val="Lista2"/>
        <w:rPr>
          <w:lang w:eastAsia="en-US" w:bidi="ar-SA"/>
        </w:rPr>
      </w:pPr>
      <w:r>
        <w:rPr>
          <w:lang w:eastAsia="en-US" w:bidi="ar-SA"/>
        </w:rPr>
        <w:t xml:space="preserve">because structure is not reconstructed within a massive lacuna and interrupted containers are tagged with </w:t>
      </w:r>
      <w:r>
        <w:rPr>
          <w:rStyle w:val="Codeattribute"/>
        </w:rPr>
        <w:t>@part</w:t>
      </w:r>
      <w:r>
        <w:t xml:space="preserve"> to show that they are incomplete, additional containers for unavailable verse lines need not and must not be created (unlike the case in §</w:t>
      </w:r>
      <w:r>
        <w:fldChar w:fldCharType="begin"/>
      </w:r>
      <w:r>
        <w:instrText xml:space="preserve"> REF _Ref228267821 \r \h </w:instrText>
      </w:r>
      <w:r>
        <w:fldChar w:fldCharType="separate"/>
      </w:r>
      <w:r>
        <w:t>6.5.2.2</w:t>
      </w:r>
      <w:r>
        <w:fldChar w:fldCharType="end"/>
      </w:r>
      <w:r>
        <w:t>)</w:t>
      </w:r>
    </w:p>
    <w:p>
      <w:pPr>
        <w:pStyle w:val="Lista"/>
      </w:pPr>
      <w:r>
        <w:rPr>
          <w:b/>
          <w:bCs/>
          <w:lang w:eastAsia="en-US" w:bidi="ar-SA"/>
        </w:rPr>
        <w:t>extrinsic structure</w:t>
      </w:r>
    </w:p>
    <w:p>
      <w:pPr>
        <w:pStyle w:val="Lista2"/>
      </w:pPr>
      <w:r>
        <w:lastRenderedPageBreak/>
        <w:t>the elements representing extrinsic structure are milestones that mark transition points (§</w:t>
      </w:r>
      <w:r>
        <w:fldChar w:fldCharType="begin"/>
      </w:r>
      <w:r>
        <w:instrText xml:space="preserve"> REF _Ref182923075 \r \h </w:instrText>
      </w:r>
      <w:r>
        <w:fldChar w:fldCharType="separate"/>
      </w:r>
      <w:r>
        <w:t>4.1</w:t>
      </w:r>
      <w:r>
        <w:fldChar w:fldCharType="end"/>
      </w:r>
      <w:r>
        <w:t>), so units of extrinsic structure do not have endpoints represented in the encoding and therefore cannot be “closed” before a lacuna</w:t>
      </w:r>
    </w:p>
    <w:p>
      <w:pPr>
        <w:pStyle w:val="Lista2"/>
      </w:pPr>
      <w:r>
        <w:t>line numbering is mandatory in all our editions (§</w:t>
      </w:r>
      <w:r>
        <w:fldChar w:fldCharType="begin"/>
      </w:r>
      <w:r>
        <w:instrText xml:space="preserve"> REF _Ref225761016 \r \h </w:instrText>
      </w:r>
      <w:r>
        <w:fldChar w:fldCharType="separate"/>
      </w:r>
      <w:r>
        <w:t>4.5.2</w:t>
      </w:r>
      <w:r>
        <w:fldChar w:fldCharType="end"/>
      </w:r>
      <w:r>
        <w:t>), so all available text must belong to a numbered line</w:t>
      </w:r>
    </w:p>
    <w:p>
      <w:pPr>
        <w:pStyle w:val="Lista3"/>
      </w:pPr>
      <w:r>
        <w:t>thus, if any text is restored after the last extant line, a line beginning must be created for the line containing that restored text</w:t>
      </w:r>
    </w:p>
    <w:p>
      <w:pPr>
        <w:pStyle w:val="Lista3"/>
      </w:pPr>
      <w:r>
        <w:t>however, see §</w:t>
      </w:r>
      <w:r>
        <w:fldChar w:fldCharType="begin"/>
      </w:r>
      <w:r>
        <w:instrText xml:space="preserve"> REF _Ref228367464 \r \h </w:instrText>
      </w:r>
      <w:r>
        <w:fldChar w:fldCharType="separate"/>
      </w:r>
      <w:r>
        <w:t>6.5.4.5</w:t>
      </w:r>
      <w:r>
        <w:fldChar w:fldCharType="end"/>
      </w:r>
      <w:r>
        <w:t xml:space="preserve"> for an alternative</w:t>
      </w:r>
    </w:p>
    <w:p>
      <w:pPr>
        <w:pStyle w:val="Lista2"/>
      </w:pPr>
      <w:r>
        <w:t>if any line has available text (whether extant or restored) at the beginning but no available text later on, then an inline lacuna (§</w:t>
      </w:r>
      <w:r>
        <w:fldChar w:fldCharType="begin"/>
      </w:r>
      <w:r>
        <w:instrText xml:space="preserve"> REF _Ref43988016 \r \h </w:instrText>
      </w:r>
      <w:r>
        <w:fldChar w:fldCharType="separate"/>
      </w:r>
      <w:r>
        <w:t>6.5.2</w:t>
      </w:r>
      <w:r>
        <w:fldChar w:fldCharType="end"/>
      </w:r>
      <w:r>
        <w:t>) must be encoded for the remainder of that line</w:t>
      </w:r>
    </w:p>
    <w:p>
      <w:pPr>
        <w:pStyle w:val="Lista3"/>
      </w:pPr>
      <w:r>
        <w:t>the inline lacuna is an entity separate from the massive lacuna and must, as usual, be within and not outside the block level text containers</w:t>
      </w:r>
    </w:p>
    <w:p>
      <w:pPr>
        <w:pStyle w:val="Lista4"/>
      </w:pPr>
      <w:r>
        <w:t>if this happens in a verse context, attempt to reconstruct verse structure as per §</w:t>
      </w:r>
      <w:r>
        <w:fldChar w:fldCharType="begin"/>
      </w:r>
      <w:r>
        <w:instrText xml:space="preserve"> REF _Ref228267821 \r \h </w:instrText>
      </w:r>
      <w:r>
        <w:fldChar w:fldCharType="separate"/>
      </w:r>
      <w:r>
        <w:t>6.5.2.2</w:t>
      </w:r>
      <w:r>
        <w:fldChar w:fldCharType="end"/>
      </w:r>
      <w:r>
        <w:t xml:space="preserve"> for the duration of the inline lacuna, even though structure is not reconstructed for the massive lacuna itself</w:t>
      </w:r>
    </w:p>
    <w:p>
      <w:pPr>
        <w:pStyle w:val="Lista4"/>
      </w:pPr>
      <w:r>
        <w:t xml:space="preserve">however, if this proves problematic, you may alternatively choose to encode the incomplete stanza as above, then create an </w:t>
      </w:r>
      <w:r>
        <w:rPr>
          <w:rStyle w:val="Code"/>
        </w:rPr>
        <w:t>&lt;ab&gt;</w:t>
      </w:r>
      <w:r>
        <w:t xml:space="preserve"> element after it (and before the massive lacuna) to contain only the inline lacuna</w:t>
      </w:r>
    </w:p>
    <w:p>
      <w:pPr>
        <w:pStyle w:val="Lista2"/>
      </w:pPr>
      <w:r>
        <w:t>if an inscription with a massive lacuna contains pages or pagelike milestones, handle it according to the considerations offered for incomplete copperplate sets (§</w:t>
      </w:r>
      <w:r>
        <w:fldChar w:fldCharType="begin"/>
      </w:r>
      <w:r>
        <w:instrText xml:space="preserve"> REF _Ref228453273 \r \h </w:instrText>
      </w:r>
      <w:r>
        <w:fldChar w:fldCharType="separate"/>
      </w:r>
      <w:r>
        <w:t>6.5.5</w:t>
      </w:r>
      <w:r>
        <w:fldChar w:fldCharType="end"/>
      </w:r>
      <w:r>
        <w:t>)</w:t>
      </w:r>
    </w:p>
    <w:p>
      <w:pPr>
        <w:pStyle w:val="Lista2"/>
      </w:pPr>
      <w:r>
        <w:t>if an inscription with a massive lacuna contains lower-level structural boundaries (gridlike milestones), these must be ignored for the extent of the massive lacuna itself, but</w:t>
      </w:r>
    </w:p>
    <w:p>
      <w:pPr>
        <w:pStyle w:val="Lista3"/>
      </w:pPr>
      <w:r>
        <w:t>must be reconstructed as applicable to any restored text</w:t>
      </w:r>
    </w:p>
    <w:p>
      <w:pPr>
        <w:pStyle w:val="Lista3"/>
      </w:pPr>
      <w:r>
        <w:t>may be optionally reconstructed for the segmentation of inline lacunae adjacent to the massive lacuna, when this is feasible</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559" w:name="_Ref228450971"/>
            <w:r>
              <w:t xml:space="preserve">Exhibit </w:t>
            </w:r>
            <w:fldSimple w:instr=" STYLEREF 2 \s ">
              <w:r>
                <w:rPr>
                  <w:noProof/>
                </w:rPr>
                <w:t>6.5</w:t>
              </w:r>
            </w:fldSimple>
            <w:r>
              <w:t>.</w:t>
            </w:r>
            <w:fldSimple w:instr=" SEQ Exhibit \* ALPHABETIC \s 2 ">
              <w:r>
                <w:rPr>
                  <w:noProof/>
                </w:rPr>
                <w:t>G</w:t>
              </w:r>
            </w:fldSimple>
            <w:bookmarkEnd w:id="559"/>
            <w:r>
              <w:t>: massive final lacuna</w:t>
            </w:r>
          </w:p>
        </w:tc>
      </w:tr>
      <w:tr>
        <w:tc>
          <w:tcPr>
            <w:tcW w:w="5000" w:type="pct"/>
          </w:tcPr>
          <w:p>
            <w:pPr>
              <w:pStyle w:val="CodeParagraph"/>
              <w:rPr>
                <w:rStyle w:val="Code"/>
              </w:rPr>
            </w:pPr>
            <w:r>
              <w:rPr>
                <w:rStyle w:val="Code"/>
              </w:rPr>
              <w:t xml:space="preserve">&lt;p </w:t>
            </w:r>
            <w:r>
              <w:rPr>
                <w:rStyle w:val="Codeattribute"/>
              </w:rPr>
              <w:t>part</w:t>
            </w:r>
            <w:r>
              <w:rPr>
                <w:rStyle w:val="Code"/>
              </w:rPr>
              <w:t>=</w:t>
            </w:r>
            <w:r>
              <w:rPr>
                <w:rStyle w:val="Codevalue"/>
              </w:rPr>
              <w:t>"I"</w:t>
            </w:r>
            <w:r>
              <w:rPr>
                <w:rStyle w:val="Code"/>
              </w:rPr>
              <w:t>&gt;</w:t>
            </w:r>
            <w:r>
              <w:rPr>
                <w:rStyle w:val="Codetext"/>
              </w:rPr>
              <w:t>...</w:t>
            </w:r>
            <w:r>
              <w:rPr>
                <w:rStyle w:val="Codetext"/>
              </w:rPr>
              <w:br/>
            </w:r>
            <w:r>
              <w:rPr>
                <w:rStyle w:val="Code"/>
              </w:rPr>
              <w:t xml:space="preserve">  &lt;lb </w:t>
            </w:r>
            <w:r>
              <w:rPr>
                <w:rStyle w:val="Codeattribute"/>
              </w:rPr>
              <w:t>n</w:t>
            </w:r>
            <w:r>
              <w:rPr>
                <w:rStyle w:val="Code"/>
              </w:rPr>
              <w:t>=</w:t>
            </w:r>
            <w:r>
              <w:rPr>
                <w:rStyle w:val="Codevalue"/>
              </w:rPr>
              <w:t>"5"</w:t>
            </w:r>
            <w:r>
              <w:rPr>
                <w:rStyle w:val="Code"/>
              </w:rPr>
              <w:t>/&gt;</w:t>
            </w:r>
            <w:r>
              <w:rPr>
                <w:rStyle w:val="Codetext"/>
              </w:rPr>
              <w:t>tāpasāśrama-va</w:t>
            </w:r>
            <w:r>
              <w:rPr>
                <w:rStyle w:val="Code"/>
              </w:rPr>
              <w:t>&lt;supplied&gt;</w:t>
            </w:r>
            <w:r>
              <w:rPr>
                <w:rStyle w:val="Codetext"/>
              </w:rPr>
              <w:t>ne</w:t>
            </w:r>
            <w:r>
              <w:rPr>
                <w:rStyle w:val="Code"/>
              </w:rPr>
              <w:t xml:space="preserve">&lt;/supplied&gt; </w:t>
            </w:r>
          </w:p>
          <w:p>
            <w:pPr>
              <w:pStyle w:val="CodeParagraph"/>
            </w:pPr>
            <w:r>
              <w:rPr>
                <w:rStyle w:val="Code"/>
              </w:rPr>
              <w:t xml:space="preserve">  &lt;gap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 </w:t>
            </w:r>
            <w:r>
              <w:rPr>
                <w:rStyle w:val="Codeattribute"/>
              </w:rPr>
              <w:t>unit</w:t>
            </w:r>
            <w:r>
              <w:rPr>
                <w:rStyle w:val="Code"/>
              </w:rPr>
              <w:t>=</w:t>
            </w:r>
            <w:r>
              <w:rPr>
                <w:rStyle w:val="Codevalue"/>
              </w:rPr>
              <w:t>"character"</w:t>
            </w:r>
            <w:r>
              <w:rPr>
                <w:rStyle w:val="Code"/>
              </w:rPr>
              <w:t>&gt;</w:t>
            </w:r>
            <w:r>
              <w:rPr>
                <w:rStyle w:val="Codetext"/>
              </w:rPr>
              <w:br/>
            </w:r>
            <w:r>
              <w:rPr>
                <w:rStyle w:val="Code"/>
              </w:rPr>
              <w:t>&lt;/p&gt;</w:t>
            </w:r>
            <w:r>
              <w:rPr>
                <w:rStyle w:val="Codetext"/>
              </w:rPr>
              <w:br/>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 </w:t>
            </w:r>
            <w:r>
              <w:rPr>
                <w:rStyle w:val="Codeattribute"/>
              </w:rPr>
              <w:t>unit</w:t>
            </w:r>
            <w:r>
              <w:rPr>
                <w:rStyle w:val="Code"/>
              </w:rPr>
              <w:t>=</w:t>
            </w:r>
            <w:r>
              <w:rPr>
                <w:rStyle w:val="Codevalue"/>
              </w:rPr>
              <w:t>"line"</w:t>
            </w:r>
            <w:r>
              <w:rPr>
                <w:rStyle w:val="Code"/>
              </w:rPr>
              <w:t>/&gt;</w:t>
            </w:r>
          </w:p>
        </w:tc>
      </w:tr>
      <w:tr>
        <w:tc>
          <w:tcPr>
            <w:tcW w:w="5000" w:type="pct"/>
          </w:tcPr>
          <w:p>
            <w:pPr>
              <w:pStyle w:val="TableNote"/>
            </w:pPr>
            <w:r>
              <w:t>line 5 is the last extant line, containing some text followed by a partial restoration and an inline lacuna</w:t>
            </w:r>
          </w:p>
          <w:p>
            <w:pPr>
              <w:pStyle w:val="TableNote"/>
            </w:pPr>
            <w:r>
              <w:t>after the end-tag for the block-level container, a massive lacuna of unknown size is encoded</w:t>
            </w:r>
          </w:p>
        </w:tc>
      </w:tr>
    </w:tbl>
    <w:p/>
    <w:p>
      <w:pPr>
        <w:pStyle w:val="Cmsor4"/>
      </w:pPr>
      <w:bookmarkStart w:id="560" w:name="_Ref228453546"/>
      <w:r>
        <w:t>Structure after a massive lacuna</w:t>
      </w:r>
      <w:bookmarkEnd w:id="560"/>
    </w:p>
    <w:p>
      <w:pPr>
        <w:rPr>
          <w:lang w:eastAsia="en-US" w:bidi="ar-SA"/>
        </w:rPr>
      </w:pPr>
      <w:r>
        <w:rPr>
          <w:lang w:eastAsia="en-US" w:bidi="ar-SA"/>
        </w:rPr>
        <w:t xml:space="preserve">The encoding of a massive initial lacuna is illustrated in </w:t>
      </w:r>
      <w:r>
        <w:rPr>
          <w:lang w:eastAsia="en-US" w:bidi="ar-SA"/>
        </w:rPr>
        <w:fldChar w:fldCharType="begin"/>
      </w:r>
      <w:r>
        <w:rPr>
          <w:lang w:eastAsia="en-US" w:bidi="ar-SA"/>
        </w:rPr>
        <w:instrText xml:space="preserve"> REF _Ref228450997 \h </w:instrText>
      </w:r>
      <w:r>
        <w:rPr>
          <w:lang w:eastAsia="en-US" w:bidi="ar-SA"/>
        </w:rPr>
      </w:r>
      <w:r>
        <w:rPr>
          <w:lang w:eastAsia="en-US" w:bidi="ar-SA"/>
        </w:rPr>
        <w:fldChar w:fldCharType="separate"/>
      </w:r>
      <w:r>
        <w:t xml:space="preserve">Exhibit </w:t>
      </w:r>
      <w:r>
        <w:rPr>
          <w:noProof/>
        </w:rPr>
        <w:t>6.5</w:t>
      </w:r>
      <w:r>
        <w:t>.</w:t>
      </w:r>
      <w:r>
        <w:rPr>
          <w:noProof/>
        </w:rPr>
        <w:t>H</w:t>
      </w:r>
      <w:r>
        <w:rPr>
          <w:lang w:eastAsia="en-US" w:bidi="ar-SA"/>
        </w:rPr>
        <w:fldChar w:fldCharType="end"/>
      </w:r>
      <w:r>
        <w:rPr>
          <w:lang w:eastAsia="en-US" w:bidi="ar-SA"/>
        </w:rPr>
        <w:t>.</w:t>
      </w:r>
    </w:p>
    <w:p>
      <w:pPr>
        <w:pStyle w:val="Lista"/>
        <w:rPr>
          <w:lang w:eastAsia="en-US" w:bidi="ar-SA"/>
        </w:rPr>
      </w:pPr>
      <w:r>
        <w:rPr>
          <w:b/>
          <w:bCs/>
          <w:lang w:eastAsia="en-US" w:bidi="ar-SA"/>
        </w:rPr>
        <w:t>intrinsic structure</w:t>
      </w:r>
    </w:p>
    <w:p>
      <w:pPr>
        <w:pStyle w:val="Lista2"/>
        <w:rPr>
          <w:lang w:eastAsia="en-US" w:bidi="ar-SA"/>
        </w:rPr>
      </w:pPr>
      <w:r>
        <w:rPr>
          <w:lang w:eastAsia="en-US" w:bidi="ar-SA"/>
        </w:rPr>
        <w:t>because all available text must be within a container for intrinsic structure (§</w:t>
      </w:r>
      <w:r>
        <w:rPr>
          <w:lang w:eastAsia="en-US" w:bidi="ar-SA"/>
        </w:rPr>
        <w:fldChar w:fldCharType="begin"/>
      </w:r>
      <w:r>
        <w:rPr>
          <w:lang w:eastAsia="en-US" w:bidi="ar-SA"/>
        </w:rPr>
        <w:instrText xml:space="preserve"> REF _Ref225153755 \r \h </w:instrText>
      </w:r>
      <w:r>
        <w:rPr>
          <w:lang w:eastAsia="en-US" w:bidi="ar-SA"/>
        </w:rPr>
      </w:r>
      <w:r>
        <w:rPr>
          <w:lang w:eastAsia="en-US" w:bidi="ar-SA"/>
        </w:rPr>
        <w:fldChar w:fldCharType="separate"/>
      </w:r>
      <w:r>
        <w:rPr>
          <w:lang w:eastAsia="en-US" w:bidi="ar-SA"/>
        </w:rPr>
        <w:t>3.1</w:t>
      </w:r>
      <w:r>
        <w:rPr>
          <w:lang w:eastAsia="en-US" w:bidi="ar-SA"/>
        </w:rPr>
        <w:fldChar w:fldCharType="end"/>
      </w:r>
      <w:r>
        <w:rPr>
          <w:lang w:eastAsia="en-US" w:bidi="ar-SA"/>
        </w:rPr>
        <w:t>) but intrinsic structure is not reconstructed within a massive lacuna, block-level containers must be opened right after the lacuna, before any text begins</w:t>
      </w:r>
    </w:p>
    <w:p>
      <w:pPr>
        <w:pStyle w:val="Lista2"/>
        <w:rPr>
          <w:lang w:eastAsia="en-US" w:bidi="ar-SA"/>
        </w:rPr>
      </w:pPr>
      <w:r>
        <w:rPr>
          <w:lang w:eastAsia="en-US" w:bidi="ar-SA"/>
        </w:rPr>
        <w:t xml:space="preserve">if the beginning of the available text does not coincide with the natural (semantic or metrical) end of the container, so the container begins late, then the interrupted container must be encoded with </w:t>
      </w:r>
      <w:r>
        <w:rPr>
          <w:rStyle w:val="Codeattribute"/>
        </w:rPr>
        <w:t>@part</w:t>
      </w:r>
      <w:r>
        <w:rPr>
          <w:rStyle w:val="Code"/>
        </w:rPr>
        <w:t>=</w:t>
      </w:r>
      <w:r>
        <w:rPr>
          <w:rStyle w:val="Codevalue"/>
        </w:rPr>
        <w:t>"F"</w:t>
      </w:r>
      <w:r>
        <w:t xml:space="preserve"> (or </w:t>
      </w:r>
      <w:r>
        <w:rPr>
          <w:rStyle w:val="Codeattribute"/>
        </w:rPr>
        <w:t>@part</w:t>
      </w:r>
      <w:r>
        <w:rPr>
          <w:rStyle w:val="Code"/>
        </w:rPr>
        <w:t>=</w:t>
      </w:r>
      <w:r>
        <w:rPr>
          <w:rStyle w:val="Codevalue"/>
        </w:rPr>
        <w:t>"M"</w:t>
      </w:r>
      <w:r>
        <w:t xml:space="preserve"> if the end of the same container is lost to another lacuna) as per §</w:t>
      </w:r>
      <w:r>
        <w:fldChar w:fldCharType="begin"/>
      </w:r>
      <w:r>
        <w:instrText xml:space="preserve"> REF _Ref228980509 \r \h </w:instrText>
      </w:r>
      <w:r>
        <w:fldChar w:fldCharType="separate"/>
      </w:r>
      <w:r>
        <w:t>3.2.3.1</w:t>
      </w:r>
      <w:r>
        <w:fldChar w:fldCharType="end"/>
      </w:r>
      <w:r>
        <w:rPr>
          <w:lang w:eastAsia="en-US" w:bidi="ar-SA"/>
        </w:rPr>
        <w:t xml:space="preserve"> </w:t>
      </w:r>
    </w:p>
    <w:p>
      <w:pPr>
        <w:pStyle w:val="Lista2"/>
        <w:rPr>
          <w:lang w:eastAsia="en-US" w:bidi="ar-SA"/>
        </w:rPr>
      </w:pPr>
      <w:r>
        <w:t>if the available text needs more than one nested container (verse lines in a stanza or a list in a paragraph), then care must be taken</w:t>
      </w:r>
    </w:p>
    <w:p>
      <w:pPr>
        <w:pStyle w:val="Lista3"/>
        <w:rPr>
          <w:lang w:eastAsia="en-US" w:bidi="ar-SA"/>
        </w:rPr>
      </w:pPr>
      <w:r>
        <w:t>to create the start tag for all containers</w:t>
      </w:r>
    </w:p>
    <w:p>
      <w:pPr>
        <w:pStyle w:val="Lista3"/>
        <w:rPr>
          <w:lang w:eastAsia="en-US" w:bidi="ar-SA"/>
        </w:rPr>
      </w:pPr>
      <w:r>
        <w:t xml:space="preserve">and to add </w:t>
      </w:r>
      <w:r>
        <w:rPr>
          <w:rStyle w:val="Codeattribute"/>
        </w:rPr>
        <w:t>@part</w:t>
      </w:r>
      <w:r>
        <w:t xml:space="preserve"> to all containers which begin late</w:t>
      </w:r>
    </w:p>
    <w:p>
      <w:pPr>
        <w:pStyle w:val="Lista4"/>
      </w:pPr>
      <w:r>
        <w:t xml:space="preserve">if the beginning of the available text coincides with the beginning of a line, then </w:t>
      </w:r>
      <w:r>
        <w:rPr>
          <w:rStyle w:val="Codeattribute"/>
        </w:rPr>
        <w:t>@part</w:t>
      </w:r>
      <w:r>
        <w:t xml:space="preserve"> is not applicable to that </w:t>
      </w:r>
      <w:r>
        <w:rPr>
          <w:rStyle w:val="Code"/>
        </w:rPr>
        <w:t>&lt;l&gt;</w:t>
      </w:r>
      <w:r>
        <w:t xml:space="preserve"> element, but may still be applicable to the enclosing </w:t>
      </w:r>
      <w:r>
        <w:rPr>
          <w:rStyle w:val="Code"/>
        </w:rPr>
        <w:t>&lt;lg&gt;</w:t>
      </w:r>
      <w:r>
        <w:t xml:space="preserve"> element if the stanza had previous lines lost to the lacuna</w:t>
      </w:r>
    </w:p>
    <w:p>
      <w:pPr>
        <w:pStyle w:val="Lista2"/>
        <w:rPr>
          <w:lang w:eastAsia="en-US" w:bidi="ar-SA"/>
        </w:rPr>
      </w:pPr>
      <w:r>
        <w:rPr>
          <w:lang w:eastAsia="en-US" w:bidi="ar-SA"/>
        </w:rPr>
        <w:lastRenderedPageBreak/>
        <w:t xml:space="preserve">because structure is not reconstructed within a massive lacuna and interrupted containers are tagged with </w:t>
      </w:r>
      <w:r>
        <w:rPr>
          <w:rStyle w:val="Codeattribute"/>
        </w:rPr>
        <w:t>@part</w:t>
      </w:r>
      <w:r>
        <w:t xml:space="preserve"> to show that they are incomplete, additional containers for unavailable verse lines need not and must not be created (unlike the case in §</w:t>
      </w:r>
      <w:r>
        <w:fldChar w:fldCharType="begin"/>
      </w:r>
      <w:r>
        <w:instrText xml:space="preserve"> REF _Ref228267821 \r \h </w:instrText>
      </w:r>
      <w:r>
        <w:fldChar w:fldCharType="separate"/>
      </w:r>
      <w:r>
        <w:t>6.5.2.2</w:t>
      </w:r>
      <w:r>
        <w:fldChar w:fldCharType="end"/>
      </w:r>
      <w:r>
        <w:t>)</w:t>
      </w:r>
    </w:p>
    <w:p>
      <w:pPr>
        <w:pStyle w:val="Lista"/>
      </w:pPr>
      <w:r>
        <w:rPr>
          <w:b/>
          <w:bCs/>
          <w:lang w:eastAsia="en-US" w:bidi="ar-SA"/>
        </w:rPr>
        <w:t>extrinsic structure</w:t>
      </w:r>
    </w:p>
    <w:p>
      <w:pPr>
        <w:pStyle w:val="Lista2"/>
      </w:pPr>
      <w:r>
        <w:t>the elements representing extrinsic structure are milestones that mark transition points (§</w:t>
      </w:r>
      <w:r>
        <w:fldChar w:fldCharType="begin"/>
      </w:r>
      <w:r>
        <w:instrText xml:space="preserve"> REF _Ref182923075 \r \h </w:instrText>
      </w:r>
      <w:r>
        <w:fldChar w:fldCharType="separate"/>
      </w:r>
      <w:r>
        <w:t>4.1</w:t>
      </w:r>
      <w:r>
        <w:fldChar w:fldCharType="end"/>
      </w:r>
      <w:r>
        <w:t>), so units of extrinsic structure are represented in the encoding at their start and must be created after a lacuna</w:t>
      </w:r>
    </w:p>
    <w:p>
      <w:pPr>
        <w:pStyle w:val="Lista2"/>
      </w:pPr>
      <w:r>
        <w:t>line numbering is mandatory in all our editions (§</w:t>
      </w:r>
      <w:r>
        <w:fldChar w:fldCharType="begin"/>
      </w:r>
      <w:r>
        <w:instrText xml:space="preserve"> REF _Ref225761016 \r \h </w:instrText>
      </w:r>
      <w:r>
        <w:fldChar w:fldCharType="separate"/>
      </w:r>
      <w:r>
        <w:t>4.5.2</w:t>
      </w:r>
      <w:r>
        <w:fldChar w:fldCharType="end"/>
      </w:r>
      <w:r>
        <w:t>), so all available text must belong to a numbered line</w:t>
      </w:r>
    </w:p>
    <w:p>
      <w:pPr>
        <w:pStyle w:val="Lista2"/>
      </w:pPr>
      <w:r>
        <w:t>all applicable milestones must be present for all available text, even if a structural unit contains only a (partial) restoration</w:t>
      </w:r>
    </w:p>
    <w:p>
      <w:pPr>
        <w:pStyle w:val="Lista3"/>
      </w:pPr>
      <w:r>
        <w:t>thus, if any text is restored before the first extant line, a line beginning must be created for the line containing that restored text</w:t>
      </w:r>
    </w:p>
    <w:p>
      <w:pPr>
        <w:pStyle w:val="Lista3"/>
      </w:pPr>
      <w:r>
        <w:t>however, see §</w:t>
      </w:r>
      <w:r>
        <w:fldChar w:fldCharType="begin"/>
      </w:r>
      <w:r>
        <w:instrText xml:space="preserve"> REF _Ref228367464 \r \h </w:instrText>
      </w:r>
      <w:r>
        <w:fldChar w:fldCharType="separate"/>
      </w:r>
      <w:r>
        <w:t>6.5.4.5</w:t>
      </w:r>
      <w:r>
        <w:fldChar w:fldCharType="end"/>
      </w:r>
      <w:r>
        <w:t xml:space="preserve"> for an alternative</w:t>
      </w:r>
    </w:p>
    <w:p>
      <w:pPr>
        <w:pStyle w:val="Lista2"/>
      </w:pPr>
      <w:r>
        <w:t>line beginnings (as well as all structural milestones) after the lacuna must, as usual, be contained within block-level containers</w:t>
      </w:r>
    </w:p>
    <w:p>
      <w:pPr>
        <w:pStyle w:val="Lista2"/>
      </w:pPr>
      <w:r>
        <w:t xml:space="preserve">if the available text begins within a word, then </w:t>
      </w:r>
      <w:r>
        <w:rPr>
          <w:rStyle w:val="Codeattribute"/>
        </w:rPr>
        <w:t>@break</w:t>
      </w:r>
      <w:r>
        <w:rPr>
          <w:rStyle w:val="Code"/>
        </w:rPr>
        <w:t>=</w:t>
      </w:r>
      <w:r>
        <w:rPr>
          <w:rStyle w:val="Codevalue"/>
        </w:rPr>
        <w:t>"no"</w:t>
      </w:r>
      <w:r>
        <w:t xml:space="preserve"> must be used normally (§</w:t>
      </w:r>
      <w:r>
        <w:fldChar w:fldCharType="begin"/>
      </w:r>
      <w:r>
        <w:instrText xml:space="preserve"> REF _Ref225519777 \r \h </w:instrText>
      </w:r>
      <w:r>
        <w:fldChar w:fldCharType="separate"/>
      </w:r>
      <w:r>
        <w:t>4.3.2.1</w:t>
      </w:r>
      <w:r>
        <w:fldChar w:fldCharType="end"/>
      </w:r>
      <w:r>
        <w:t>) on the line beginning (as well as any higher-level structural milestone) preceding it</w:t>
      </w:r>
    </w:p>
    <w:p>
      <w:pPr>
        <w:pStyle w:val="Lista2"/>
      </w:pPr>
      <w:r>
        <w:t>if any line has available text (whether extant or restored) at the end but no available text earlier, then an inline lacuna (§</w:t>
      </w:r>
      <w:r>
        <w:fldChar w:fldCharType="begin"/>
      </w:r>
      <w:r>
        <w:instrText xml:space="preserve"> REF _Ref43988016 \r \h </w:instrText>
      </w:r>
      <w:r>
        <w:fldChar w:fldCharType="separate"/>
      </w:r>
      <w:r>
        <w:t>6.5.2</w:t>
      </w:r>
      <w:r>
        <w:fldChar w:fldCharType="end"/>
      </w:r>
      <w:r>
        <w:t>) must be encoded for the beginning of that line</w:t>
      </w:r>
    </w:p>
    <w:p>
      <w:pPr>
        <w:pStyle w:val="Lista3"/>
      </w:pPr>
      <w:r>
        <w:t>the inline lacuna is an entity separate from the massive lacuna and must, as usual, be within and not outside the block level text containers</w:t>
      </w:r>
    </w:p>
    <w:p>
      <w:pPr>
        <w:pStyle w:val="Lista4"/>
      </w:pPr>
      <w:r>
        <w:t>if this happens in a verse context, attempt to reconstruct verse structure as per §</w:t>
      </w:r>
      <w:r>
        <w:fldChar w:fldCharType="begin"/>
      </w:r>
      <w:r>
        <w:instrText xml:space="preserve"> REF _Ref228267821 \r \h </w:instrText>
      </w:r>
      <w:r>
        <w:fldChar w:fldCharType="separate"/>
      </w:r>
      <w:r>
        <w:t>6.5.2.2</w:t>
      </w:r>
      <w:r>
        <w:fldChar w:fldCharType="end"/>
      </w:r>
      <w:r>
        <w:t xml:space="preserve"> for the duration of the inline lacuna, even though structure is not reconstructed for the massive lacuna itself</w:t>
      </w:r>
    </w:p>
    <w:p>
      <w:pPr>
        <w:pStyle w:val="Lista4"/>
      </w:pPr>
      <w:r>
        <w:t xml:space="preserve">however, if this proves problematic, you may alternatively choose to encode the incomplete stanza as above, then create an </w:t>
      </w:r>
      <w:r>
        <w:rPr>
          <w:rStyle w:val="Code"/>
        </w:rPr>
        <w:t>&lt;ab&gt;</w:t>
      </w:r>
      <w:r>
        <w:t xml:space="preserve"> element after it (and before the massive lacuna) to contain only the inline lacuna</w:t>
      </w:r>
    </w:p>
    <w:p>
      <w:pPr>
        <w:pStyle w:val="Lista2"/>
      </w:pPr>
      <w:r>
        <w:t>if an inscription with a massive lacuna contains pages or pagelike milestones, handle it according to the considerations offered for incomplete copperplate sets (§</w:t>
      </w:r>
      <w:r>
        <w:fldChar w:fldCharType="begin"/>
      </w:r>
      <w:r>
        <w:instrText xml:space="preserve"> REF _Ref228453273 \r \h </w:instrText>
      </w:r>
      <w:r>
        <w:fldChar w:fldCharType="separate"/>
      </w:r>
      <w:r>
        <w:t>6.5.5</w:t>
      </w:r>
      <w:r>
        <w:fldChar w:fldCharType="end"/>
      </w:r>
      <w:r>
        <w:t>)</w:t>
      </w:r>
    </w:p>
    <w:p>
      <w:pPr>
        <w:pStyle w:val="Lista2"/>
      </w:pPr>
      <w:r>
        <w:t>if an inscription with a massive lacuna contains lower-level structural boundaries (gridlike milestones), these must be ignored for the extent of the massive lacuna itself, but</w:t>
      </w:r>
    </w:p>
    <w:p>
      <w:pPr>
        <w:pStyle w:val="Lista3"/>
      </w:pPr>
      <w:r>
        <w:t>must be reconstructed as applicable to any restored text</w:t>
      </w:r>
    </w:p>
    <w:p>
      <w:pPr>
        <w:pStyle w:val="Lista3"/>
      </w:pPr>
      <w:r>
        <w:t>may be optionally reconstructed for the segmentation of inline lacunae adjacent to the massive lacuna, when this is feasible</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561" w:name="_Ref228450997"/>
            <w:r>
              <w:t xml:space="preserve">Exhibit </w:t>
            </w:r>
            <w:fldSimple w:instr=" STYLEREF 2 \s ">
              <w:r>
                <w:rPr>
                  <w:noProof/>
                </w:rPr>
                <w:t>6.5</w:t>
              </w:r>
            </w:fldSimple>
            <w:r>
              <w:t>.</w:t>
            </w:r>
            <w:fldSimple w:instr=" SEQ Exhibit \* ALPHABETIC \s 2 ">
              <w:r>
                <w:rPr>
                  <w:noProof/>
                </w:rPr>
                <w:t>H</w:t>
              </w:r>
            </w:fldSimple>
            <w:bookmarkEnd w:id="561"/>
            <w:r>
              <w:t>: massive initial lacuna</w:t>
            </w:r>
          </w:p>
        </w:tc>
      </w:tr>
      <w:tr>
        <w:tc>
          <w:tcPr>
            <w:tcW w:w="5000" w:type="pct"/>
          </w:tcPr>
          <w:p>
            <w:pPr>
              <w:pStyle w:val="CodeParagraph"/>
              <w:rPr>
                <w:rStyle w:val="Code"/>
              </w:rPr>
            </w:pP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 </w:t>
            </w:r>
            <w:r>
              <w:rPr>
                <w:rStyle w:val="Codeattribute"/>
              </w:rPr>
              <w:t>unit</w:t>
            </w:r>
            <w:r>
              <w:rPr>
                <w:rStyle w:val="Code"/>
              </w:rPr>
              <w:t>=</w:t>
            </w:r>
            <w:r>
              <w:rPr>
                <w:rStyle w:val="Codevalue"/>
              </w:rPr>
              <w:t>"line"</w:t>
            </w:r>
            <w:r>
              <w:rPr>
                <w:rStyle w:val="Code"/>
              </w:rPr>
              <w:t>/&gt;</w:t>
            </w:r>
            <w:r>
              <w:rPr>
                <w:rStyle w:val="Codetext"/>
              </w:rPr>
              <w:br/>
            </w:r>
            <w:r>
              <w:rPr>
                <w:rStyle w:val="Code"/>
              </w:rPr>
              <w:t xml:space="preserve">&lt;p </w:t>
            </w:r>
            <w:r>
              <w:rPr>
                <w:rStyle w:val="Codeattribute"/>
              </w:rPr>
              <w:t>part</w:t>
            </w:r>
            <w:r>
              <w:rPr>
                <w:rStyle w:val="Code"/>
              </w:rPr>
              <w:t>=</w:t>
            </w:r>
            <w:r>
              <w:rPr>
                <w:rStyle w:val="Codevalue"/>
              </w:rPr>
              <w:t>"F"</w:t>
            </w:r>
            <w:r>
              <w:rPr>
                <w:rStyle w:val="Code"/>
              </w:rPr>
              <w:t>&gt;</w:t>
            </w:r>
          </w:p>
          <w:p>
            <w:pPr>
              <w:pStyle w:val="CodeParagraph"/>
              <w:rPr>
                <w:rStyle w:val="Codetext"/>
              </w:rPr>
            </w:pPr>
            <w:r>
              <w:rPr>
                <w:rStyle w:val="Code"/>
              </w:rPr>
              <w:t xml:space="preserve">  &lt;lb </w:t>
            </w:r>
            <w:r>
              <w:rPr>
                <w:rStyle w:val="Codeattribute"/>
              </w:rPr>
              <w:t>n</w:t>
            </w:r>
            <w:r>
              <w:rPr>
                <w:rStyle w:val="Code"/>
              </w:rPr>
              <w:t>=</w:t>
            </w:r>
            <w:r>
              <w:rPr>
                <w:rStyle w:val="Codevalue"/>
              </w:rPr>
              <w:t>"1"</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precision</w:t>
            </w:r>
            <w:r>
              <w:rPr>
                <w:rStyle w:val="Code"/>
              </w:rPr>
              <w:t>=</w:t>
            </w:r>
            <w:r>
              <w:rPr>
                <w:rStyle w:val="Codevalue"/>
              </w:rPr>
              <w:t>"low"</w:t>
            </w:r>
            <w:r>
              <w:rPr>
                <w:rStyle w:val="Code"/>
              </w:rPr>
              <w:t xml:space="preserve"> </w:t>
            </w:r>
            <w:r>
              <w:rPr>
                <w:rStyle w:val="Codeattribute"/>
              </w:rPr>
              <w:t>quantity</w:t>
            </w:r>
            <w:r>
              <w:rPr>
                <w:rStyle w:val="Code"/>
              </w:rPr>
              <w:t>=</w:t>
            </w:r>
            <w:r>
              <w:rPr>
                <w:rStyle w:val="Codevalue"/>
              </w:rPr>
              <w:t>"7"</w:t>
            </w:r>
            <w:r>
              <w:rPr>
                <w:rStyle w:val="Code"/>
              </w:rPr>
              <w:t xml:space="preserve"> </w:t>
            </w:r>
            <w:r>
              <w:rPr>
                <w:rStyle w:val="Codeattribute"/>
              </w:rPr>
              <w:t>unit</w:t>
            </w:r>
            <w:r>
              <w:rPr>
                <w:rStyle w:val="Code"/>
              </w:rPr>
              <w:t>=</w:t>
            </w:r>
            <w:r>
              <w:rPr>
                <w:rStyle w:val="Codevalue"/>
              </w:rPr>
              <w:t>"character"</w:t>
            </w:r>
            <w:r>
              <w:rPr>
                <w:rStyle w:val="Code"/>
              </w:rPr>
              <w:t>/&gt;</w:t>
            </w:r>
            <w:r>
              <w:rPr>
                <w:rStyle w:val="Codetext"/>
              </w:rPr>
              <w:br/>
              <w:t xml:space="preserve">  bhagavat-paśupati-bhaṭṭāraka-pādānugr̥hīto bappa-pādānu</w:t>
            </w:r>
          </w:p>
          <w:p>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"12"</w:t>
            </w:r>
            <w:r>
              <w:rPr>
                <w:rStyle w:val="Code"/>
              </w:rPr>
              <w:t xml:space="preserve"> </w:t>
            </w:r>
            <w:r>
              <w:rPr>
                <w:rStyle w:val="Codeattribute"/>
              </w:rPr>
              <w:t>break</w:t>
            </w:r>
            <w:r>
              <w:rPr>
                <w:rStyle w:val="Code"/>
              </w:rPr>
              <w:t>=</w:t>
            </w:r>
            <w:r>
              <w:rPr>
                <w:rStyle w:val="Codevalue"/>
              </w:rPr>
              <w:t>"no"</w:t>
            </w:r>
            <w:r>
              <w:rPr>
                <w:rStyle w:val="Code"/>
              </w:rPr>
              <w:t>/&gt;</w:t>
            </w:r>
            <w:r>
              <w:rPr>
                <w:rStyle w:val="Codetext"/>
              </w:rPr>
              <w:t>dhyātaḥ parama-bhaṭṭāraka-mahārājādhirāja-śrī-narendradevaḥ kuśali ...</w:t>
            </w:r>
          </w:p>
          <w:p>
            <w:pPr>
              <w:pStyle w:val="CodeParagraph"/>
            </w:pPr>
            <w:r>
              <w:rPr>
                <w:rStyle w:val="Code"/>
              </w:rPr>
              <w:t>&lt;/p&gt;</w:t>
            </w:r>
          </w:p>
        </w:tc>
      </w:tr>
      <w:tr>
        <w:tc>
          <w:tcPr>
            <w:tcW w:w="5000" w:type="pct"/>
          </w:tcPr>
          <w:p>
            <w:pPr>
              <w:pStyle w:val="TableNote"/>
            </w:pPr>
            <w:r>
              <w:t>an unknown number of lines have been lost before the first extant line</w:t>
            </w:r>
          </w:p>
          <w:p>
            <w:pPr>
              <w:pStyle w:val="TableNote"/>
            </w:pPr>
            <w:r>
              <w:t>the initial part of the fist extant line is also illegible, encoded as an inline lacuna</w:t>
            </w:r>
          </w:p>
          <w:p>
            <w:pPr>
              <w:pStyle w:val="TableNote"/>
            </w:pPr>
            <w:r>
              <w:t>a block-level container is opened after the massive lacuna</w:t>
            </w:r>
          </w:p>
        </w:tc>
      </w:tr>
    </w:tbl>
    <w:p>
      <w:pPr>
        <w:pStyle w:val="Cmsor4"/>
      </w:pPr>
      <w:bookmarkStart w:id="562" w:name="_Ref228367464"/>
      <w:r>
        <w:t>Avoiding the need to reconstruct structure for restored text</w:t>
      </w:r>
      <w:bookmarkEnd w:id="562"/>
    </w:p>
    <w:p>
      <w:pPr>
        <w:rPr>
          <w:lang w:eastAsia="en-US" w:bidi="ar-SA"/>
        </w:rPr>
      </w:pPr>
      <w:r>
        <w:rPr>
          <w:lang w:eastAsia="en-US" w:bidi="ar-SA"/>
        </w:rPr>
        <w:t xml:space="preserve">The procedure for encoding a massive lacuna allows you not to reconstruct the document’s intrinsic and extrinsic structure within the stretch lost to the lacuna, but requires you to reconstruct both structures for all available text. A consequence of this is that when a lacuna’s physical beginning or end coincides with a structural boundary, then a separate structural unit must be created for any restored text, even if that text </w:t>
      </w:r>
      <w:r>
        <w:rPr>
          <w:lang w:eastAsia="en-US" w:bidi="ar-SA"/>
        </w:rPr>
        <w:lastRenderedPageBreak/>
        <w:t>is just the beginning or end of a partially extant word. In order to avoid this complication, we suggest the following workaround.</w:t>
      </w:r>
    </w:p>
    <w:p>
      <w:pPr>
        <w:pStyle w:val="Lista"/>
      </w:pPr>
      <w:r>
        <w:t xml:space="preserve">instead of including the restoration in the text of your edition, mention it in an apparatus note </w:t>
      </w:r>
      <w:r>
        <w:rPr>
          <w:noProof/>
        </w:rPr>
        <w:t>(</w:t>
      </w:r>
      <w:r>
        <w:t>§</w:t>
      </w:r>
      <w:r>
        <w:fldChar w:fldCharType="begin"/>
      </w:r>
      <w:r>
        <w:instrText xml:space="preserve"> REF _Ref43988104 \w \h  \* MERGEFORMAT </w:instrText>
      </w:r>
      <w:r>
        <w:fldChar w:fldCharType="separate"/>
      </w:r>
      <w:r>
        <w:t>10.7</w:t>
      </w:r>
      <w:r>
        <w:fldChar w:fldCharType="end"/>
      </w:r>
      <w:r>
        <w:t>)</w:t>
      </w:r>
    </w:p>
    <w:p>
      <w:pPr>
        <w:pStyle w:val="Lista"/>
      </w:pPr>
      <w:r>
        <w:t>this method is recommended especially in the following cases:</w:t>
      </w:r>
    </w:p>
    <w:p>
      <w:pPr>
        <w:pStyle w:val="Lista2"/>
      </w:pPr>
      <w:r>
        <w:t xml:space="preserve">for very short restorations </w:t>
      </w:r>
      <w:r>
        <w:rPr>
          <w:noProof/>
        </w:rPr>
        <w:t>(</w:t>
      </w:r>
      <w:r>
        <w:t>smaller than one word)</w:t>
      </w:r>
    </w:p>
    <w:p>
      <w:pPr>
        <w:pStyle w:val="Lista2"/>
      </w:pPr>
      <w:r>
        <w:t>for the restoration of widely occurring text such as standardised genealogies or stock admonitory verses in land grants</w:t>
      </w:r>
    </w:p>
    <w:p>
      <w:pPr>
        <w:pStyle w:val="Lista2"/>
      </w:pPr>
      <w:r>
        <w:t>for restorations where several alternatives are deemed possible, so including them in the text of the edition would be difficult anyway</w:t>
      </w:r>
    </w:p>
    <w:p>
      <w:pPr>
        <w:pStyle w:val="Cmsor4"/>
      </w:pPr>
      <w:r>
        <w:t>Massive lacunae affecting the numbering of structural elements</w:t>
      </w:r>
    </w:p>
    <w:p>
      <w:pPr>
        <w:rPr>
          <w:lang w:eastAsia="en-US" w:bidi="ar-SA"/>
        </w:rPr>
      </w:pPr>
      <w:r>
        <w:rPr>
          <w:lang w:eastAsia="en-US" w:bidi="ar-SA"/>
        </w:rPr>
        <w:t>DHARMA editions mandatorily include editorial numbering for units of extrinsic structure and for stanzas of verse. A massive final lacuna has no relevance to such numeration, but if a large chunk of text is unavailable at the beginning or middle of the document, then the numbers assigned to these units require an editorial decision. This subsection presents rules of thumb for that decision.</w:t>
      </w:r>
    </w:p>
    <w:p>
      <w:pPr>
        <w:pStyle w:val="Lista"/>
        <w:rPr>
          <w:lang w:eastAsia="en-US" w:bidi="ar-SA"/>
        </w:rPr>
      </w:pPr>
      <w:r>
        <w:rPr>
          <w:lang w:eastAsia="en-US" w:bidi="ar-SA"/>
        </w:rPr>
        <w:t>after an initial lacuna</w:t>
      </w:r>
    </w:p>
    <w:p>
      <w:pPr>
        <w:pStyle w:val="Lista2"/>
      </w:pPr>
      <w:r>
        <w:t>if it is possible to calculate or estimate how many units are unavailable, then feel free to number the extant units from the next greater number onward</w:t>
      </w:r>
    </w:p>
    <w:p>
      <w:pPr>
        <w:pStyle w:val="Lista2"/>
      </w:pPr>
      <w:r>
        <w:t>if such an estimate is not possible, or for any reason you prefer not to rely on it, then treat the lacuna as a black box and start numbering the extant units from 1</w:t>
      </w:r>
    </w:p>
    <w:p>
      <w:pPr>
        <w:pStyle w:val="Lista2"/>
      </w:pPr>
      <w:r>
        <w:t>any mix of these numeration schemes may be used</w:t>
      </w:r>
    </w:p>
    <w:p>
      <w:pPr>
        <w:pStyle w:val="Lista3"/>
      </w:pPr>
      <w:r>
        <w:t>for example you may choose to number lines from the next greater number because the unavailable lines can be counted with fair confidence, but number stanzas from 1 because there is no way to tell how many, if any, stanzas were present in the unavailable text</w:t>
      </w:r>
    </w:p>
    <w:p>
      <w:pPr>
        <w:pStyle w:val="Lista"/>
      </w:pPr>
      <w:r>
        <w:t>after a medial lacuna</w:t>
      </w:r>
    </w:p>
    <w:p>
      <w:pPr>
        <w:pStyle w:val="Lista2"/>
      </w:pPr>
      <w:r>
        <w:t>if it is possible to calculate or estimate how many units are unavailable, then preferably add their number to the number of extant units before the lacuna, and number the extant units after the lacuna from the next greater number onward</w:t>
      </w:r>
    </w:p>
    <w:p>
      <w:pPr>
        <w:pStyle w:val="Lista2"/>
      </w:pPr>
      <w:r>
        <w:t>if such an estimate is not possible, or you strongly prefer not to rely on it, then treat the lacuna as a black box and start numbering the extant units after the lacuna from the next higher number following the extant units before the lacuna</w:t>
      </w:r>
    </w:p>
    <w:p>
      <w:pPr>
        <w:pStyle w:val="Lista2"/>
      </w:pPr>
      <w:r>
        <w:t>any mix of the above numeration schemes may be used</w:t>
      </w:r>
    </w:p>
    <w:p>
      <w:pPr>
        <w:pStyle w:val="Lista2"/>
      </w:pPr>
      <w:r>
        <w:t>if neither seems satisfactory, you may opt to create complex numbers (analogous to repetitive line numbering, §</w:t>
      </w:r>
      <w:r>
        <w:fldChar w:fldCharType="begin"/>
      </w:r>
      <w:r>
        <w:instrText xml:space="preserve"> REF _Ref182228380 \r \h </w:instrText>
      </w:r>
      <w:r>
        <w:fldChar w:fldCharType="separate"/>
      </w:r>
      <w:r>
        <w:t>4.5.2.2</w:t>
      </w:r>
      <w:r>
        <w:fldChar w:fldCharType="end"/>
      </w:r>
      <w:r>
        <w:t>) for all units that require numeration</w:t>
      </w:r>
    </w:p>
    <w:p>
      <w:pPr>
        <w:pStyle w:val="Lista2"/>
      </w:pPr>
      <w:r>
        <w:t>keep in mind that if you choose to create textparts instead of encoding a massive lacuna (§</w:t>
      </w:r>
      <w:r>
        <w:fldChar w:fldCharType="begin"/>
      </w:r>
      <w:r>
        <w:instrText xml:space="preserve"> REF _Ref228452369 \r \h </w:instrText>
      </w:r>
      <w:r>
        <w:fldChar w:fldCharType="separate"/>
      </w:r>
      <w:r>
        <w:t>6.5.4.1</w:t>
      </w:r>
      <w:r>
        <w:fldChar w:fldCharType="end"/>
      </w:r>
      <w:r>
        <w:t>), then numeration of all units must be restarted in every textpart division</w:t>
      </w:r>
    </w:p>
    <w:p>
      <w:pPr>
        <w:pStyle w:val="Cmsor3"/>
      </w:pPr>
      <w:bookmarkStart w:id="563" w:name="_ogtcaja4eie" w:colFirst="0" w:colLast="0"/>
      <w:bookmarkStart w:id="564" w:name="_Ref228453273"/>
      <w:bookmarkStart w:id="565" w:name="_Toc242976650"/>
      <w:bookmarkEnd w:id="563"/>
      <w:r>
        <w:t>Managing incomplete copperplate sets</w:t>
      </w:r>
      <w:bookmarkEnd w:id="564"/>
      <w:bookmarkEnd w:id="565"/>
    </w:p>
    <w:p>
      <w:r>
        <w:rPr>
          <w:lang w:eastAsia="en-US" w:bidi="ar-SA"/>
        </w:rPr>
        <w:t xml:space="preserve">Essentially, sets of copper plates of which one or more plates are missing are no different from any other document with a massive lacuna. However, the existence of discrete and separable plates complicates the encoding of structure. It </w:t>
      </w:r>
      <w:r>
        <w:t xml:space="preserve">would be theoretically permissible to use </w:t>
      </w:r>
      <w:r>
        <w:rPr>
          <w:rStyle w:val="Codevalue"/>
        </w:rPr>
        <w:t>"plate"</w:t>
      </w:r>
      <w:r>
        <w:t xml:space="preserve"> or a related concept as the value of </w:t>
      </w:r>
      <w:r>
        <w:rPr>
          <w:rStyle w:val="Codeattribute"/>
        </w:rPr>
        <w:t>@unit</w:t>
      </w:r>
      <w:r>
        <w:t xml:space="preserve"> in a </w:t>
      </w:r>
      <w:r>
        <w:rPr>
          <w:rStyle w:val="Code"/>
        </w:rPr>
        <w:t>&lt;gap/&gt;</w:t>
      </w:r>
      <w:r>
        <w:t xml:space="preserve"> element for encoding plate-level lacunae, but we see no practical advantage to doing so. Instead, proceed as instructed in this section.</w:t>
      </w:r>
    </w:p>
    <w:p>
      <w:pPr>
        <w:pStyle w:val="Cmsor4"/>
      </w:pPr>
      <w:bookmarkStart w:id="566" w:name="_Ref228457421"/>
      <w:r>
        <w:t>Lost final plates</w:t>
      </w:r>
      <w:bookmarkEnd w:id="566"/>
    </w:p>
    <w:p>
      <w:pPr>
        <w:rPr>
          <w:b/>
          <w:bCs/>
        </w:rPr>
      </w:pPr>
      <w:r>
        <w:t>Lost final plates shall normally be ignored in the encoding. However it is, at least in some corpora, possible to confidently estimate the number of lost pages, and even that of lines on each lost page. In such a case you may choose at your discretion to reconstruct the structure for all lost pages as per §</w:t>
      </w:r>
      <w:r>
        <w:fldChar w:fldCharType="begin"/>
      </w:r>
      <w:r>
        <w:instrText xml:space="preserve"> REF _Ref228455432 \r \h </w:instrText>
      </w:r>
      <w:r>
        <w:fldChar w:fldCharType="separate"/>
      </w:r>
      <w:r>
        <w:t>6.5.5.4</w:t>
      </w:r>
      <w:r>
        <w:fldChar w:fldCharType="end"/>
      </w:r>
      <w:r>
        <w:t>.</w:t>
      </w:r>
    </w:p>
    <w:p>
      <w:pPr>
        <w:pStyle w:val="Lista"/>
      </w:pPr>
      <w:r>
        <w:t>as a rule, simply end your edition at the end of the extant text</w:t>
      </w:r>
    </w:p>
    <w:p>
      <w:pPr>
        <w:pStyle w:val="Lista2"/>
      </w:pPr>
      <w:r>
        <w:t>closing the currently open block-level container</w:t>
      </w:r>
    </w:p>
    <w:p>
      <w:pPr>
        <w:pStyle w:val="Lista2"/>
      </w:pPr>
      <w:r>
        <w:t xml:space="preserve">and adding </w:t>
      </w:r>
      <w:r>
        <w:rPr>
          <w:rStyle w:val="Codeattribute"/>
        </w:rPr>
        <w:t>@part</w:t>
      </w:r>
      <w:r>
        <w:rPr>
          <w:rStyle w:val="Code"/>
        </w:rPr>
        <w:t>=</w:t>
      </w:r>
      <w:r>
        <w:rPr>
          <w:rStyle w:val="Codevalue"/>
        </w:rPr>
        <w:t>"I"</w:t>
      </w:r>
      <w:r>
        <w:t xml:space="preserve"> if it is incomplete, as per §</w:t>
      </w:r>
      <w:r>
        <w:fldChar w:fldCharType="begin"/>
      </w:r>
      <w:r>
        <w:instrText xml:space="preserve"> REF _Ref228980509 \r \h </w:instrText>
      </w:r>
      <w:r>
        <w:fldChar w:fldCharType="separate"/>
      </w:r>
      <w:r>
        <w:t>3.2.3.1</w:t>
      </w:r>
      <w:r>
        <w:fldChar w:fldCharType="end"/>
      </w:r>
      <w:r>
        <w:t xml:space="preserve"> </w:t>
      </w:r>
    </w:p>
    <w:p>
      <w:pPr>
        <w:pStyle w:val="Lista"/>
      </w:pPr>
      <w:r>
        <w:lastRenderedPageBreak/>
        <w:t>mention in your annotation that the subsequent plate(s) are lost</w:t>
      </w:r>
    </w:p>
    <w:p>
      <w:pPr>
        <w:pStyle w:val="Lista"/>
      </w:pPr>
      <w:r>
        <w:t>if you are able to restore any text following the last extant plate</w:t>
      </w:r>
    </w:p>
    <w:p>
      <w:pPr>
        <w:pStyle w:val="Lista2"/>
      </w:pPr>
      <w:r>
        <w:t>preferably record it outside the edition as suggested in §</w:t>
      </w:r>
      <w:r>
        <w:fldChar w:fldCharType="begin"/>
      </w:r>
      <w:r>
        <w:instrText xml:space="preserve"> REF _Ref228367464 \r \h </w:instrText>
      </w:r>
      <w:r>
        <w:fldChar w:fldCharType="separate"/>
      </w:r>
      <w:r>
        <w:t>6.5.4.5</w:t>
      </w:r>
      <w:r>
        <w:fldChar w:fldCharType="end"/>
      </w:r>
    </w:p>
    <w:p>
      <w:pPr>
        <w:pStyle w:val="Lista2"/>
      </w:pPr>
      <w:r>
        <w:t>alternatively, reconstruct the structure for the following page as per §</w:t>
      </w:r>
      <w:r>
        <w:fldChar w:fldCharType="begin"/>
      </w:r>
      <w:r>
        <w:instrText xml:space="preserve"> REF _Ref228455432 \r \h </w:instrText>
      </w:r>
      <w:r>
        <w:fldChar w:fldCharType="separate"/>
      </w:r>
      <w:r>
        <w:t>6.5.5.4</w:t>
      </w:r>
      <w:r>
        <w:fldChar w:fldCharType="end"/>
      </w:r>
    </w:p>
    <w:p>
      <w:pPr>
        <w:pStyle w:val="Cmsor4"/>
      </w:pPr>
      <w:bookmarkStart w:id="567" w:name="_Ref228457448"/>
      <w:r>
        <w:t>Lost initial plates</w:t>
      </w:r>
      <w:bookmarkEnd w:id="567"/>
    </w:p>
    <w:p>
      <w:pPr>
        <w:rPr>
          <w:lang w:eastAsia="en-US" w:bidi="ar-SA"/>
        </w:rPr>
      </w:pPr>
      <w:r>
        <w:rPr>
          <w:lang w:eastAsia="en-US" w:bidi="ar-SA"/>
        </w:rPr>
        <w:t xml:space="preserve">Lost initial plates shall preferably be ignored in the encoding, but may affect the editorial numbering of extrinsic and intrinsic structural units in the extant text. </w:t>
      </w:r>
      <w:r>
        <w:t>At least in some corpora, it may be possible to confidently estimate the number of lost pages, and even that of lines on each lost page. In such a case you may choose at your discretion to reconstruct the structure for all lost pages as per §</w:t>
      </w:r>
      <w:r>
        <w:fldChar w:fldCharType="begin"/>
      </w:r>
      <w:r>
        <w:instrText xml:space="preserve"> REF _Ref228455432 \r \h </w:instrText>
      </w:r>
      <w:r>
        <w:fldChar w:fldCharType="separate"/>
      </w:r>
      <w:r>
        <w:t>6.5.5.4</w:t>
      </w:r>
      <w:r>
        <w:fldChar w:fldCharType="end"/>
      </w:r>
      <w:r>
        <w:t>.</w:t>
      </w:r>
    </w:p>
    <w:p>
      <w:pPr>
        <w:pStyle w:val="Lista"/>
      </w:pPr>
      <w:r>
        <w:t>as a rule, simply start your edition at the beginning of the extant text</w:t>
      </w:r>
    </w:p>
    <w:p>
      <w:pPr>
        <w:pStyle w:val="Lista2"/>
      </w:pPr>
      <w:r>
        <w:t>creating the applicable block-level container(s)</w:t>
      </w:r>
    </w:p>
    <w:p>
      <w:pPr>
        <w:pStyle w:val="Lista3"/>
      </w:pPr>
      <w:r>
        <w:t xml:space="preserve">and adding </w:t>
      </w:r>
      <w:r>
        <w:rPr>
          <w:rStyle w:val="Codeattribute"/>
        </w:rPr>
        <w:t>@part</w:t>
      </w:r>
      <w:r>
        <w:rPr>
          <w:rStyle w:val="Code"/>
        </w:rPr>
        <w:t>=</w:t>
      </w:r>
      <w:r>
        <w:rPr>
          <w:rStyle w:val="Codevalue"/>
        </w:rPr>
        <w:t>"F"</w:t>
      </w:r>
      <w:r>
        <w:t xml:space="preserve"> if they are incomplete, as per §</w:t>
      </w:r>
      <w:r>
        <w:fldChar w:fldCharType="begin"/>
      </w:r>
      <w:r>
        <w:instrText xml:space="preserve"> REF _Ref228980509 \r \h </w:instrText>
      </w:r>
      <w:r>
        <w:fldChar w:fldCharType="separate"/>
      </w:r>
      <w:r>
        <w:t>3.2.3.1</w:t>
      </w:r>
      <w:r>
        <w:fldChar w:fldCharType="end"/>
      </w:r>
      <w:r>
        <w:t xml:space="preserve"> </w:t>
      </w:r>
    </w:p>
    <w:p>
      <w:pPr>
        <w:pStyle w:val="Lista2"/>
      </w:pPr>
      <w:r>
        <w:t>and creating page and line beginnings normally</w:t>
      </w:r>
    </w:p>
    <w:p>
      <w:pPr>
        <w:pStyle w:val="Lista3"/>
      </w:pPr>
      <w:r>
        <w:t xml:space="preserve">adding </w:t>
      </w:r>
      <w:r>
        <w:rPr>
          <w:rStyle w:val="Codeattribute"/>
        </w:rPr>
        <w:t>@break</w:t>
      </w:r>
      <w:r>
        <w:rPr>
          <w:rStyle w:val="Code"/>
        </w:rPr>
        <w:t>=</w:t>
      </w:r>
      <w:r>
        <w:rPr>
          <w:rStyle w:val="Codevalue"/>
        </w:rPr>
        <w:t>"no"</w:t>
      </w:r>
      <w:r>
        <w:t xml:space="preserve"> to both if applicable (§</w:t>
      </w:r>
      <w:r>
        <w:fldChar w:fldCharType="begin"/>
      </w:r>
      <w:r>
        <w:instrText xml:space="preserve"> REF _Ref225519777 \r \h </w:instrText>
      </w:r>
      <w:r>
        <w:fldChar w:fldCharType="separate"/>
      </w:r>
      <w:r>
        <w:t>4.3.2.1</w:t>
      </w:r>
      <w:r>
        <w:fldChar w:fldCharType="end"/>
      </w:r>
      <w:r>
        <w:t>)</w:t>
      </w:r>
    </w:p>
    <w:p>
      <w:pPr>
        <w:pStyle w:val="Lista"/>
      </w:pPr>
      <w:r>
        <w:t>if you are able to restore any text preceding the first extant plate</w:t>
      </w:r>
    </w:p>
    <w:p>
      <w:pPr>
        <w:pStyle w:val="Lista2"/>
      </w:pPr>
      <w:r>
        <w:t>preferably record it outside the edition as suggested in §</w:t>
      </w:r>
      <w:r>
        <w:fldChar w:fldCharType="begin"/>
      </w:r>
      <w:r>
        <w:instrText xml:space="preserve"> REF _Ref228367464 \r \h </w:instrText>
      </w:r>
      <w:r>
        <w:fldChar w:fldCharType="separate"/>
      </w:r>
      <w:r>
        <w:t>6.5.4.5</w:t>
      </w:r>
      <w:r>
        <w:fldChar w:fldCharType="end"/>
      </w:r>
    </w:p>
    <w:p>
      <w:pPr>
        <w:pStyle w:val="Lista2"/>
      </w:pPr>
      <w:r>
        <w:t>alternatively, reconstruct the structure for the preceding page as per §</w:t>
      </w:r>
      <w:r>
        <w:fldChar w:fldCharType="begin"/>
      </w:r>
      <w:r>
        <w:instrText xml:space="preserve"> REF _Ref228455432 \r \h </w:instrText>
      </w:r>
      <w:r>
        <w:fldChar w:fldCharType="separate"/>
      </w:r>
      <w:r>
        <w:t>6.5.5.4</w:t>
      </w:r>
      <w:r>
        <w:fldChar w:fldCharType="end"/>
      </w:r>
    </w:p>
    <w:p>
      <w:pPr>
        <w:pStyle w:val="Lista"/>
      </w:pPr>
      <w:r>
        <w:t>depending on your corpus, it may be possible to confidently estimate the number of lost pages, and even that of lines on each lost page</w:t>
      </w:r>
    </w:p>
    <w:p>
      <w:pPr>
        <w:pStyle w:val="Lista2"/>
      </w:pPr>
      <w:r>
        <w:t>if this is the case, you may choose at your discretion to reconstruct all lost pages as per §</w:t>
      </w:r>
      <w:r>
        <w:fldChar w:fldCharType="begin"/>
      </w:r>
      <w:r>
        <w:instrText xml:space="preserve"> REF _Ref228455432 \r \h </w:instrText>
      </w:r>
      <w:r>
        <w:fldChar w:fldCharType="separate"/>
      </w:r>
      <w:r>
        <w:t>6.5.5.4</w:t>
      </w:r>
      <w:r>
        <w:fldChar w:fldCharType="end"/>
      </w:r>
    </w:p>
    <w:p>
      <w:pPr>
        <w:pStyle w:val="Lista"/>
      </w:pPr>
      <w:r>
        <w:t>number pages as follows</w:t>
      </w:r>
    </w:p>
    <w:p>
      <w:pPr>
        <w:pStyle w:val="Lista2"/>
      </w:pPr>
      <w:r>
        <w:t>preferably: calculate or estimate the number of lost initial plates and start the numbering of the extant plates with the next higher number</w:t>
      </w:r>
    </w:p>
    <w:p>
      <w:pPr>
        <w:pStyle w:val="Lista3"/>
      </w:pPr>
      <w:r>
        <w:t>thus, if you estimate that two plates were lost at the beginning of a set, then</w:t>
      </w:r>
    </w:p>
    <w:p>
      <w:pPr>
        <w:pStyle w:val="Lista4"/>
      </w:pPr>
      <w:r>
        <w:t>the extant text will be encoded as beginning on page 3r</w:t>
      </w:r>
    </w:p>
    <w:p>
      <w:pPr>
        <w:pStyle w:val="Lista4"/>
      </w:pPr>
      <w:r>
        <w:t>any restoration preceding the extant text (when not recorded outside the edition as per §</w:t>
      </w:r>
      <w:r>
        <w:fldChar w:fldCharType="begin"/>
      </w:r>
      <w:r>
        <w:instrText xml:space="preserve"> REF _Ref228367464 \r \h </w:instrText>
      </w:r>
      <w:r>
        <w:fldChar w:fldCharType="separate"/>
      </w:r>
      <w:r>
        <w:t>6.5.4.5</w:t>
      </w:r>
      <w:r>
        <w:fldChar w:fldCharType="end"/>
      </w:r>
      <w:r>
        <w:t>) will be encoded as being at the bottom of page 2v</w:t>
      </w:r>
    </w:p>
    <w:p>
      <w:pPr>
        <w:pStyle w:val="Lista2"/>
      </w:pPr>
      <w:r>
        <w:t>if no reliable estimate can be made, start the numbering of the plates with available text from 1, thus</w:t>
      </w:r>
    </w:p>
    <w:p>
      <w:pPr>
        <w:pStyle w:val="Lista3"/>
      </w:pPr>
      <w:r>
        <w:t>if no restoration precedes the extant text, then extant text will be encoded as beginning on page 1r</w:t>
      </w:r>
    </w:p>
    <w:p>
      <w:pPr>
        <w:pStyle w:val="Lista3"/>
      </w:pPr>
      <w:r>
        <w:t>any restoration preceding the extant text (when not recorded outside the edition as per §</w:t>
      </w:r>
      <w:r>
        <w:fldChar w:fldCharType="begin"/>
      </w:r>
      <w:r>
        <w:instrText xml:space="preserve"> REF _Ref228367464 \r \h </w:instrText>
      </w:r>
      <w:r>
        <w:fldChar w:fldCharType="separate"/>
      </w:r>
      <w:r>
        <w:t>6.5.4.5</w:t>
      </w:r>
      <w:r>
        <w:fldChar w:fldCharType="end"/>
      </w:r>
      <w:r>
        <w:t>) will be encoded as beginning at the bottom of page 1v, while the extant text will be encoded as beginning on page 2r</w:t>
      </w:r>
    </w:p>
    <w:p>
      <w:pPr>
        <w:pStyle w:val="Lista"/>
      </w:pPr>
      <w:r>
        <w:t>number lines as follows</w:t>
      </w:r>
    </w:p>
    <w:p>
      <w:pPr>
        <w:pStyle w:val="Lista2"/>
      </w:pPr>
      <w:r>
        <w:t>if the number of lost lines can be calculated or at least estimated confidently, then start the numbering of the extant lines with the next higher number</w:t>
      </w:r>
    </w:p>
    <w:p>
      <w:pPr>
        <w:pStyle w:val="Lista3"/>
      </w:pPr>
      <w:r>
        <w:t>thus, if you estimate that twenty lines were lost at the beginning of a set, then</w:t>
      </w:r>
    </w:p>
    <w:p>
      <w:pPr>
        <w:pStyle w:val="Lista4"/>
      </w:pPr>
      <w:r>
        <w:t>the extant text will be encoded as beginning in line 21</w:t>
      </w:r>
    </w:p>
    <w:p>
      <w:pPr>
        <w:pStyle w:val="Lista4"/>
      </w:pPr>
      <w:r>
        <w:t>any restoration preceding the extant text (when not recorded outside the edition as per §</w:t>
      </w:r>
      <w:r>
        <w:fldChar w:fldCharType="begin"/>
      </w:r>
      <w:r>
        <w:instrText xml:space="preserve"> REF _Ref228367464 \r \h </w:instrText>
      </w:r>
      <w:r>
        <w:fldChar w:fldCharType="separate"/>
      </w:r>
      <w:r>
        <w:t>6.5.4.5</w:t>
      </w:r>
      <w:r>
        <w:fldChar w:fldCharType="end"/>
      </w:r>
      <w:r>
        <w:t>) will be encoded as being at the end of line 20</w:t>
      </w:r>
    </w:p>
    <w:p>
      <w:pPr>
        <w:pStyle w:val="Lista2"/>
      </w:pPr>
      <w:r>
        <w:t>if no reliable estimate can be made, start the numbering of the lines with available text from 1, thus</w:t>
      </w:r>
    </w:p>
    <w:p>
      <w:pPr>
        <w:pStyle w:val="Lista3"/>
      </w:pPr>
      <w:r>
        <w:t>if no restoration precedes the extant text, then the extant text will be encoded as beginning in line 1</w:t>
      </w:r>
    </w:p>
    <w:p>
      <w:pPr>
        <w:pStyle w:val="Lista3"/>
      </w:pPr>
      <w:r>
        <w:t>any restoration (covering less than a full line) preceding the extant text (when not recorded outside the edition as per §</w:t>
      </w:r>
      <w:r>
        <w:fldChar w:fldCharType="begin"/>
      </w:r>
      <w:r>
        <w:instrText xml:space="preserve"> REF _Ref228367464 \r \h </w:instrText>
      </w:r>
      <w:r>
        <w:fldChar w:fldCharType="separate"/>
      </w:r>
      <w:r>
        <w:t>6.5.4.5</w:t>
      </w:r>
      <w:r>
        <w:fldChar w:fldCharType="end"/>
      </w:r>
      <w:r>
        <w:t>) will be encoded as beginning at the end of line 1, while the extant text will be encoded as beginning in line 2</w:t>
      </w:r>
    </w:p>
    <w:p>
      <w:pPr>
        <w:pStyle w:val="Lista2"/>
      </w:pPr>
      <w:r>
        <w:t>alternatively, especially if the number of lost plates can be estimated but that of lost lines cannot, use complex line numbering (§</w:t>
      </w:r>
      <w:r>
        <w:fldChar w:fldCharType="begin"/>
      </w:r>
      <w:r>
        <w:instrText xml:space="preserve"> REF _Ref182228380 \r \h </w:instrText>
      </w:r>
      <w:r>
        <w:fldChar w:fldCharType="separate"/>
      </w:r>
      <w:r>
        <w:t>4.5.2.2</w:t>
      </w:r>
      <w:r>
        <w:fldChar w:fldCharType="end"/>
      </w:r>
      <w:r>
        <w:t>) even if the rest of your corpus uses consecutive line numbers</w:t>
      </w:r>
    </w:p>
    <w:p>
      <w:pPr>
        <w:pStyle w:val="Lista"/>
      </w:pPr>
      <w:r>
        <w:t>number stanzas as follows</w:t>
      </w:r>
    </w:p>
    <w:p>
      <w:pPr>
        <w:pStyle w:val="Lista2"/>
      </w:pPr>
      <w:r>
        <w:t>if on the basis of related texts you can estimate the number of lost stanzas with great confidence, start numbering extant stanzas with the next higher number</w:t>
      </w:r>
    </w:p>
    <w:p>
      <w:pPr>
        <w:pStyle w:val="Lista2"/>
      </w:pPr>
      <w:r>
        <w:t>in all other cases, number extant stanzas from 1</w:t>
      </w:r>
    </w:p>
    <w:p>
      <w:pPr>
        <w:pStyle w:val="Cmsor4"/>
      </w:pPr>
      <w:bookmarkStart w:id="568" w:name="_Ref149918878"/>
      <w:r>
        <w:lastRenderedPageBreak/>
        <w:t>Lost medial plates</w:t>
      </w:r>
      <w:bookmarkEnd w:id="568"/>
    </w:p>
    <w:p>
      <w:r>
        <w:t>Unlike incomplete copperplate sets with only the end and/or only the beginning missing, we prefer not to ignore lost medial plates in our encoding.</w:t>
      </w:r>
    </w:p>
    <w:p>
      <w:pPr>
        <w:pStyle w:val="Lista"/>
      </w:pPr>
      <w:r>
        <w:t xml:space="preserve">if the number of lost plates is known or can be estimated with at least some confidence, then </w:t>
      </w:r>
    </w:p>
    <w:p>
      <w:pPr>
        <w:pStyle w:val="Lista2"/>
      </w:pPr>
      <w:r>
        <w:t>reconstruct the structure for the lost plates as per §</w:t>
      </w:r>
      <w:r>
        <w:fldChar w:fldCharType="begin"/>
      </w:r>
      <w:r>
        <w:instrText xml:space="preserve"> REF _Ref228455432 \r \h </w:instrText>
      </w:r>
      <w:r>
        <w:fldChar w:fldCharType="separate"/>
      </w:r>
      <w:r>
        <w:t>6.5.5.4</w:t>
      </w:r>
      <w:r>
        <w:fldChar w:fldCharType="end"/>
      </w:r>
    </w:p>
    <w:p>
      <w:pPr>
        <w:pStyle w:val="Lista3"/>
      </w:pPr>
      <w:r>
        <w:t xml:space="preserve">the Case Study in </w:t>
      </w:r>
      <w:r>
        <w:fldChar w:fldCharType="begin"/>
      </w:r>
      <w:r>
        <w:instrText xml:space="preserve"> REF _Ref239844389 \r \h </w:instrText>
      </w:r>
      <w:r>
        <w:fldChar w:fldCharType="separate"/>
      </w:r>
      <w:r>
        <w:t>Appendix A.3</w:t>
      </w:r>
      <w:r>
        <w:fldChar w:fldCharType="end"/>
      </w:r>
      <w:r>
        <w:t xml:space="preserve"> shows a fully encoded illustration of a reconstructed medial plate </w:t>
      </w:r>
    </w:p>
    <w:p>
      <w:pPr>
        <w:pStyle w:val="Lista2"/>
      </w:pPr>
      <w:r>
        <w:t>before the first lost plate, encode the text as you would for lost final plates (§</w:t>
      </w:r>
      <w:r>
        <w:fldChar w:fldCharType="begin"/>
      </w:r>
      <w:r>
        <w:instrText xml:space="preserve"> REF _Ref228457421 \r \h </w:instrText>
      </w:r>
      <w:r>
        <w:fldChar w:fldCharType="separate"/>
      </w:r>
      <w:r>
        <w:t>6.5.5.1</w:t>
      </w:r>
      <w:r>
        <w:fldChar w:fldCharType="end"/>
      </w:r>
      <w:r>
        <w:t>)</w:t>
      </w:r>
    </w:p>
    <w:p>
      <w:pPr>
        <w:pStyle w:val="Lista2"/>
      </w:pPr>
      <w:r>
        <w:t>after the last lost plate, encode the text as you would for lost initial plates (§</w:t>
      </w:r>
      <w:r>
        <w:fldChar w:fldCharType="begin"/>
      </w:r>
      <w:r>
        <w:instrText xml:space="preserve"> REF _Ref228457448 \r \h </w:instrText>
      </w:r>
      <w:r>
        <w:fldChar w:fldCharType="separate"/>
      </w:r>
      <w:r>
        <w:t>6.5.5.2</w:t>
      </w:r>
      <w:r>
        <w:fldChar w:fldCharType="end"/>
      </w:r>
      <w:r>
        <w:t>)</w:t>
      </w:r>
    </w:p>
    <w:p>
      <w:pPr>
        <w:pStyle w:val="Lista2"/>
      </w:pPr>
      <w:r>
        <w:t>since the structure of the lost plates is reconstructed, any restored text on a lost plate can be integrated into that structure, so do not resort to recording restorations outside the edition</w:t>
      </w:r>
    </w:p>
    <w:p>
      <w:pPr>
        <w:pStyle w:val="Lista2"/>
      </w:pPr>
      <w:r>
        <w:t>in the section after the last lost plate, number units as follows</w:t>
      </w:r>
    </w:p>
    <w:p>
      <w:pPr>
        <w:pStyle w:val="Lista3"/>
      </w:pPr>
      <w:r>
        <w:t>continue page numbering after the reconstructed numbering for the lost plates</w:t>
      </w:r>
    </w:p>
    <w:p>
      <w:pPr>
        <w:pStyle w:val="Lista3"/>
      </w:pPr>
      <w:r>
        <w:t>continue line numbering after the reconstructed numbering for the lost plates</w:t>
      </w:r>
    </w:p>
    <w:p>
      <w:pPr>
        <w:pStyle w:val="Lista4"/>
      </w:pPr>
      <w:r>
        <w:t>or use complex line numbering (§</w:t>
      </w:r>
      <w:r>
        <w:fldChar w:fldCharType="begin"/>
      </w:r>
      <w:r>
        <w:instrText xml:space="preserve"> REF _Ref182228380 \r \h </w:instrText>
      </w:r>
      <w:r>
        <w:fldChar w:fldCharType="separate"/>
      </w:r>
      <w:r>
        <w:t>4.5.2.2</w:t>
      </w:r>
      <w:r>
        <w:fldChar w:fldCharType="end"/>
      </w:r>
      <w:r>
        <w:t>) if the number of lost pages could be estimated but that of lost lines could not</w:t>
      </w:r>
    </w:p>
    <w:p>
      <w:pPr>
        <w:pStyle w:val="Lista3"/>
      </w:pPr>
      <w:r>
        <w:t>continue stanza numbering with the next greater number after that of the last extant stanza</w:t>
      </w:r>
    </w:p>
    <w:p>
      <w:pPr>
        <w:pStyle w:val="Lista4"/>
      </w:pPr>
      <w:r>
        <w:t>unless you can estimate the number of stanzas in the lost plates with great confidence, in which case skip their numbers and continue numeration with the next higher number</w:t>
      </w:r>
    </w:p>
    <w:p>
      <w:pPr>
        <w:pStyle w:val="Lista"/>
      </w:pPr>
      <w:r>
        <w:t xml:space="preserve">if the total number of lost medial pages cannot be estimated with any confidence, encode the extant sections as textpart divisions </w:t>
      </w:r>
      <w:r>
        <w:rPr>
          <w:noProof/>
        </w:rPr>
        <w:t>(</w:t>
      </w:r>
      <w:r>
        <w:t>§</w:t>
      </w:r>
      <w:r>
        <w:fldChar w:fldCharType="begin"/>
      </w:r>
      <w:r>
        <w:instrText xml:space="preserve"> REF _Ref225778181 \r \h </w:instrText>
      </w:r>
      <w:r>
        <w:fldChar w:fldCharType="separate"/>
      </w:r>
      <w:r>
        <w:t>4.2</w:t>
      </w:r>
      <w:r>
        <w:fldChar w:fldCharType="end"/>
      </w:r>
      <w:r>
        <w:t>, §</w:t>
      </w:r>
      <w:r>
        <w:fldChar w:fldCharType="begin"/>
      </w:r>
      <w:r>
        <w:instrText xml:space="preserve"> REF _Ref228458226 \r \h </w:instrText>
      </w:r>
      <w:r>
        <w:fldChar w:fldCharType="separate"/>
      </w:r>
      <w:r>
        <w:t>6.5.4.2</w:t>
      </w:r>
      <w:r>
        <w:fldChar w:fldCharType="end"/>
      </w:r>
      <w:r>
        <w:t>) to eliminate difficulties with page and line numbering</w:t>
      </w:r>
    </w:p>
    <w:p>
      <w:pPr>
        <w:pStyle w:val="Lista2"/>
      </w:pPr>
      <w:r>
        <w:t xml:space="preserve">the Case Study in </w:t>
      </w:r>
      <w:r>
        <w:fldChar w:fldCharType="begin"/>
      </w:r>
      <w:r>
        <w:instrText xml:space="preserve"> REF _Ref239844430 \r \h </w:instrText>
      </w:r>
      <w:r>
        <w:fldChar w:fldCharType="separate"/>
      </w:r>
      <w:r>
        <w:t>Appendix A.4</w:t>
      </w:r>
      <w:r>
        <w:fldChar w:fldCharType="end"/>
      </w:r>
      <w:r>
        <w:t xml:space="preserve"> shows a fully encoded illustration of a missing medial plate encoded with textpart divisions</w:t>
      </w:r>
    </w:p>
    <w:p>
      <w:pPr>
        <w:pStyle w:val="Lista2"/>
      </w:pPr>
      <w:r>
        <w:t>within each textpart, encode only the pages pertaining to that part of the edition and do not reconstruct any page or line beginnings believed or known to be lost unless you find it essential to show a restoration in the edition</w:t>
      </w:r>
    </w:p>
    <w:p>
      <w:pPr>
        <w:pStyle w:val="Lista2"/>
      </w:pPr>
      <w:r>
        <w:t>if you are able to restore any text preceding the first extant plate</w:t>
      </w:r>
    </w:p>
    <w:p>
      <w:pPr>
        <w:pStyle w:val="Lista3"/>
      </w:pPr>
      <w:r>
        <w:t>preferably record it outside the edition as suggested in §</w:t>
      </w:r>
      <w:r>
        <w:fldChar w:fldCharType="begin"/>
      </w:r>
      <w:r>
        <w:instrText xml:space="preserve"> REF _Ref228367464 \r \h </w:instrText>
      </w:r>
      <w:r>
        <w:fldChar w:fldCharType="separate"/>
      </w:r>
      <w:r>
        <w:t>6.5.4.5</w:t>
      </w:r>
      <w:r>
        <w:fldChar w:fldCharType="end"/>
      </w:r>
    </w:p>
    <w:p>
      <w:pPr>
        <w:pStyle w:val="Lista3"/>
      </w:pPr>
      <w:r>
        <w:t>alternatively, reconstruct the structure for the preceding page as per §</w:t>
      </w:r>
      <w:r>
        <w:fldChar w:fldCharType="begin"/>
      </w:r>
      <w:r>
        <w:instrText xml:space="preserve"> REF _Ref228455432 \r \h </w:instrText>
      </w:r>
      <w:r>
        <w:fldChar w:fldCharType="separate"/>
      </w:r>
      <w:r>
        <w:t>6.5.5.4</w:t>
      </w:r>
      <w:r>
        <w:fldChar w:fldCharType="end"/>
      </w:r>
    </w:p>
    <w:p>
      <w:pPr>
        <w:pStyle w:val="Cmsor4"/>
      </w:pPr>
      <w:bookmarkStart w:id="569" w:name="_Ref228455432"/>
      <w:r>
        <w:t>Reconstructing structure for lost copper plates</w:t>
      </w:r>
      <w:bookmarkEnd w:id="569"/>
    </w:p>
    <w:p>
      <w:pPr>
        <w:rPr>
          <w:lang w:eastAsia="en-US" w:bidi="ar-SA"/>
        </w:rPr>
      </w:pPr>
      <w:r>
        <w:rPr>
          <w:lang w:eastAsia="en-US" w:bidi="ar-SA"/>
        </w:rPr>
        <w:t>Reconstruction of the page and line beginnings for lost copper plates is the less preferred option for missing final and initial plates and the preferred option for missing medial plates unless it is impossible to estimate their number.</w:t>
      </w:r>
    </w:p>
    <w:p>
      <w:pPr>
        <w:pStyle w:val="Lista"/>
      </w:pPr>
      <w:r>
        <w:t xml:space="preserve">to reconstruct the page structure for one or more missing plates, estimate the number of missing plates and create </w:t>
      </w:r>
      <w:r>
        <w:rPr>
          <w:rStyle w:val="Code"/>
        </w:rPr>
        <w:t>&lt;pb/&gt;</w:t>
      </w:r>
      <w:r>
        <w:t xml:space="preserve"> elements for both the recto and the verso face of each</w:t>
      </w:r>
    </w:p>
    <w:p>
      <w:pPr>
        <w:pStyle w:val="Lista"/>
      </w:pPr>
      <w:r>
        <w:t>to reconstruct a single page in order to accommodate a restoration (when not using the option to record such a restoration outside the edition, §</w:t>
      </w:r>
      <w:r>
        <w:fldChar w:fldCharType="begin"/>
      </w:r>
      <w:r>
        <w:instrText xml:space="preserve"> REF _Ref228367464 \r \h </w:instrText>
      </w:r>
      <w:r>
        <w:fldChar w:fldCharType="separate"/>
      </w:r>
      <w:r>
        <w:t>6.5.4.5</w:t>
      </w:r>
      <w:r>
        <w:fldChar w:fldCharType="end"/>
      </w:r>
      <w:r>
        <w:t>), create only the single (recto or verso) page beginning for the page on which the restored text would have been located</w:t>
      </w:r>
    </w:p>
    <w:p>
      <w:pPr>
        <w:pStyle w:val="Lista"/>
      </w:pPr>
      <w:r>
        <w:t>handle the line structure on reconstructed pages as follows</w:t>
      </w:r>
    </w:p>
    <w:p>
      <w:pPr>
        <w:pStyle w:val="Lista2"/>
      </w:pPr>
      <w:r>
        <w:t xml:space="preserve">the default option is to create no </w:t>
      </w:r>
      <w:r>
        <w:rPr>
          <w:rStyle w:val="Code"/>
        </w:rPr>
        <w:t>&lt;lb/&gt;</w:t>
      </w:r>
      <w:r>
        <w:t xml:space="preserve"> elements and instead encode a multiline lacuna (§</w:t>
      </w:r>
      <w:r>
        <w:fldChar w:fldCharType="begin"/>
      </w:r>
      <w:r>
        <w:instrText xml:space="preserve"> REF _Ref228349461 \r \h </w:instrText>
      </w:r>
      <w:r>
        <w:fldChar w:fldCharType="separate"/>
      </w:r>
      <w:r>
        <w:t>6.5.3.2</w:t>
      </w:r>
      <w:r>
        <w:fldChar w:fldCharType="end"/>
      </w:r>
      <w:r>
        <w:t>) on each lost page, with an extent of a known, estimated or unknown number of lines</w:t>
      </w:r>
    </w:p>
    <w:p>
      <w:pPr>
        <w:pStyle w:val="Lista2"/>
      </w:pPr>
      <w:r>
        <w:t>if the page has been reconstructed in order to accommodate a restoration, then a line beginning must be reconstructed for the line(s) in which the restored text would have been located</w:t>
      </w:r>
    </w:p>
    <w:p>
      <w:pPr>
        <w:pStyle w:val="Lista3"/>
      </w:pPr>
      <w:r>
        <w:t>for the remaining lines on the same page, encode a multiline lacuna (§</w:t>
      </w:r>
      <w:r>
        <w:fldChar w:fldCharType="begin"/>
      </w:r>
      <w:r>
        <w:instrText xml:space="preserve"> REF _Ref228349461 \r \h </w:instrText>
      </w:r>
      <w:r>
        <w:fldChar w:fldCharType="separate"/>
      </w:r>
      <w:r>
        <w:t>6.5.3.2</w:t>
      </w:r>
      <w:r>
        <w:fldChar w:fldCharType="end"/>
      </w:r>
      <w:r>
        <w:t>) on each lost page, with an extent of a known, estimated or unknown number of lines</w:t>
      </w:r>
    </w:p>
    <w:p>
      <w:pPr>
        <w:pStyle w:val="Lista3"/>
      </w:pPr>
      <w:r>
        <w:t>the part of the line outside the restored reading must be encoded as an inline lacuna (§</w:t>
      </w:r>
      <w:r>
        <w:fldChar w:fldCharType="begin"/>
      </w:r>
      <w:r>
        <w:instrText xml:space="preserve"> REF _Ref43988016 \r \h </w:instrText>
      </w:r>
      <w:r>
        <w:fldChar w:fldCharType="separate"/>
      </w:r>
      <w:r>
        <w:t>6.5.2</w:t>
      </w:r>
      <w:r>
        <w:fldChar w:fldCharType="end"/>
      </w:r>
      <w:r>
        <w:t>)</w:t>
      </w:r>
    </w:p>
    <w:p>
      <w:pPr>
        <w:pStyle w:val="Lista2"/>
      </w:pPr>
      <w:r>
        <w:t>alternatively, if it is feasible to do so, you may choose to reconstruct line beginnings for all lines on every lost page, encoding an inline lacuna for each line</w:t>
      </w:r>
    </w:p>
    <w:p>
      <w:pPr>
        <w:pStyle w:val="Cmsor1"/>
      </w:pPr>
      <w:bookmarkStart w:id="570" w:name="_m2k3hdqjm9zb" w:colFirst="0" w:colLast="0"/>
      <w:bookmarkStart w:id="571" w:name="_v1clk7602zin" w:colFirst="0" w:colLast="0"/>
      <w:bookmarkStart w:id="572" w:name="_Ref43978565"/>
      <w:bookmarkStart w:id="573" w:name="_Ref181694670"/>
      <w:bookmarkEnd w:id="570"/>
      <w:bookmarkEnd w:id="571"/>
      <w:r>
        <w:lastRenderedPageBreak/>
        <w:t>Editorial intervention</w:t>
      </w:r>
      <w:bookmarkEnd w:id="572"/>
      <w:bookmarkEnd w:id="573"/>
    </w:p>
    <w:p>
      <w:pPr>
        <w:rPr>
          <w:lang w:eastAsia="en-US" w:bidi="ar-SA"/>
        </w:rPr>
      </w:pPr>
      <w:r>
        <w:rPr>
          <w:lang w:eastAsia="en-US" w:bidi="ar-SA"/>
        </w:rPr>
        <w:t>The editor intervenes in the text of a document because she perceives that there is something anomalous in the language of the text as received. The kind of editorial intervention, and thus the manner of its encoding, differs depending on the nature of the perceived anomaly (§</w:t>
      </w:r>
      <w:r>
        <w:rPr>
          <w:lang w:eastAsia="en-US" w:bidi="ar-SA"/>
        </w:rPr>
        <w:fldChar w:fldCharType="begin"/>
      </w:r>
      <w:r>
        <w:rPr>
          <w:lang w:eastAsia="en-US" w:bidi="ar-SA"/>
        </w:rPr>
        <w:instrText xml:space="preserve"> REF _Ref229054160 \r \h </w:instrText>
      </w:r>
      <w:r>
        <w:rPr>
          <w:lang w:eastAsia="en-US" w:bidi="ar-SA"/>
        </w:rPr>
      </w:r>
      <w:r>
        <w:rPr>
          <w:lang w:eastAsia="en-US" w:bidi="ar-SA"/>
        </w:rPr>
        <w:fldChar w:fldCharType="separate"/>
      </w:r>
      <w:r>
        <w:rPr>
          <w:lang w:eastAsia="en-US" w:bidi="ar-SA"/>
        </w:rPr>
        <w:t>7.1</w:t>
      </w:r>
      <w:r>
        <w:rPr>
          <w:lang w:eastAsia="en-US" w:bidi="ar-SA"/>
        </w:rPr>
        <w:fldChar w:fldCharType="end"/>
      </w:r>
      <w:r>
        <w:rPr>
          <w:lang w:eastAsia="en-US" w:bidi="ar-SA"/>
        </w:rPr>
        <w:t>): does the text contain an inadvertent scribal mistake, or is its unusualness likely to be deliberate on the part of its composer? Once an anomaly and its nature have been identified, you as editor must decide what to do about it and encode the intervention accordingly (§</w:t>
      </w:r>
      <w:r>
        <w:rPr>
          <w:lang w:eastAsia="en-US" w:bidi="ar-SA"/>
        </w:rPr>
        <w:fldChar w:fldCharType="begin"/>
      </w:r>
      <w:r>
        <w:rPr>
          <w:lang w:eastAsia="en-US" w:bidi="ar-SA"/>
        </w:rPr>
        <w:instrText xml:space="preserve"> REF _Ref229054270 \r \h </w:instrText>
      </w:r>
      <w:r>
        <w:rPr>
          <w:lang w:eastAsia="en-US" w:bidi="ar-SA"/>
        </w:rPr>
      </w:r>
      <w:r>
        <w:rPr>
          <w:lang w:eastAsia="en-US" w:bidi="ar-SA"/>
        </w:rPr>
        <w:fldChar w:fldCharType="separate"/>
      </w:r>
      <w:r>
        <w:rPr>
          <w:lang w:eastAsia="en-US" w:bidi="ar-SA"/>
        </w:rPr>
        <w:t>7.2</w:t>
      </w:r>
      <w:r>
        <w:rPr>
          <w:lang w:eastAsia="en-US" w:bidi="ar-SA"/>
        </w:rPr>
        <w:fldChar w:fldCharType="end"/>
      </w:r>
      <w:r>
        <w:rPr>
          <w:lang w:eastAsia="en-US" w:bidi="ar-SA"/>
        </w:rPr>
        <w:t>). Additional guidelines for good practice applicable to all editorial intervention are collected in §</w:t>
      </w:r>
      <w:r>
        <w:rPr>
          <w:lang w:eastAsia="en-US" w:bidi="ar-SA"/>
        </w:rPr>
        <w:fldChar w:fldCharType="begin"/>
      </w:r>
      <w:r>
        <w:rPr>
          <w:lang w:eastAsia="en-US" w:bidi="ar-SA"/>
        </w:rPr>
        <w:instrText xml:space="preserve"> REF _Ref43991017 \r \h </w:instrText>
      </w:r>
      <w:r>
        <w:rPr>
          <w:lang w:eastAsia="en-US" w:bidi="ar-SA"/>
        </w:rPr>
      </w:r>
      <w:r>
        <w:rPr>
          <w:lang w:eastAsia="en-US" w:bidi="ar-SA"/>
        </w:rPr>
        <w:fldChar w:fldCharType="separate"/>
      </w:r>
      <w:r>
        <w:rPr>
          <w:lang w:eastAsia="en-US" w:bidi="ar-SA"/>
        </w:rPr>
        <w:t>7.7</w:t>
      </w:r>
      <w:r>
        <w:rPr>
          <w:lang w:eastAsia="en-US" w:bidi="ar-SA"/>
        </w:rPr>
        <w:fldChar w:fldCharType="end"/>
      </w:r>
      <w:r>
        <w:rPr>
          <w:lang w:eastAsia="en-US" w:bidi="ar-SA"/>
        </w:rPr>
        <w:t>, while §</w:t>
      </w:r>
      <w:r>
        <w:rPr>
          <w:lang w:eastAsia="en-US" w:bidi="ar-SA"/>
        </w:rPr>
        <w:fldChar w:fldCharType="begin"/>
      </w:r>
      <w:r>
        <w:rPr>
          <w:lang w:eastAsia="en-US" w:bidi="ar-SA"/>
        </w:rPr>
        <w:instrText xml:space="preserve"> REF _Ref229056523 \r \h </w:instrText>
      </w:r>
      <w:r>
        <w:rPr>
          <w:lang w:eastAsia="en-US" w:bidi="ar-SA"/>
        </w:rPr>
      </w:r>
      <w:r>
        <w:rPr>
          <w:lang w:eastAsia="en-US" w:bidi="ar-SA"/>
        </w:rPr>
        <w:fldChar w:fldCharType="separate"/>
      </w:r>
      <w:r>
        <w:rPr>
          <w:lang w:eastAsia="en-US" w:bidi="ar-SA"/>
        </w:rPr>
        <w:t>7.8</w:t>
      </w:r>
      <w:r>
        <w:rPr>
          <w:lang w:eastAsia="en-US" w:bidi="ar-SA"/>
        </w:rPr>
        <w:fldChar w:fldCharType="end"/>
      </w:r>
      <w:r>
        <w:rPr>
          <w:lang w:eastAsia="en-US" w:bidi="ar-SA"/>
        </w:rPr>
        <w:t xml:space="preserve"> discusses “curatorial” modifications the editor can make in the text without encoding them as editorial.</w:t>
      </w:r>
    </w:p>
    <w:p>
      <w:pPr>
        <w:pStyle w:val="Cmsor2"/>
      </w:pPr>
      <w:bookmarkStart w:id="574" w:name="_syuqjrbqvtf4" w:colFirst="0" w:colLast="0"/>
      <w:bookmarkStart w:id="575" w:name="_Ref229054160"/>
      <w:bookmarkEnd w:id="574"/>
      <w:r>
        <w:t>Distinguishing correction from normalisation</w:t>
      </w:r>
      <w:bookmarkEnd w:id="575"/>
    </w:p>
    <w:p>
      <w:pPr>
        <w:rPr>
          <w:lang w:eastAsia="en-US" w:bidi="ar-SA"/>
        </w:rPr>
      </w:pPr>
      <w:r>
        <w:rPr>
          <w:lang w:eastAsia="en-US" w:bidi="ar-SA"/>
        </w:rPr>
        <w:t xml:space="preserve">While classical editions of Indic epigraphic texts rarely make such a distinction, TEI allows us to differentiate text written in error from non-standard usage. To set the two apart, you as editor must, informed by your expertise, establish the text as intended by the persons(s) who composed it. Doing so </w:t>
      </w:r>
      <w:r>
        <w:t>may be problematic and will often involve a subjective decision, which may be supported by the guidelines presented below.</w:t>
      </w:r>
    </w:p>
    <w:p>
      <w:pPr>
        <w:pStyle w:val="Cmsor3"/>
      </w:pPr>
      <w:bookmarkStart w:id="576" w:name="_Toc242976651"/>
      <w:r>
        <w:t>Erroneous readings</w:t>
      </w:r>
      <w:bookmarkEnd w:id="576"/>
    </w:p>
    <w:p>
      <w:r>
        <w:rPr>
          <w:lang w:eastAsia="en-US" w:bidi="ar-SA"/>
        </w:rPr>
        <w:t>A received reading that deviates from the presumed intent of its composer is an erroneous reading, which may or may not be linguistically correct. An erroneous reading is of the nature of a typographic mistake: it is created inadvertently as a result of a mistake on the part of a scribe.</w:t>
      </w:r>
      <w:r>
        <w:rPr>
          <w:rStyle w:val="Lbjegyzet-hivatkozs"/>
          <w:lang w:eastAsia="en-US" w:bidi="ar-SA"/>
        </w:rPr>
        <w:footnoteReference w:id="33"/>
      </w:r>
      <w:r>
        <w:rPr>
          <w:lang w:eastAsia="en-US" w:bidi="ar-SA"/>
        </w:rPr>
        <w:t xml:space="preserve"> Correction is the editorial rectification of an erroneous reading by restoring the </w:t>
      </w:r>
      <w:r>
        <w:t>text to the form that you believe the composer of the text had intended.</w:t>
      </w:r>
    </w:p>
    <w:p>
      <w:pPr>
        <w:pStyle w:val="Lista"/>
        <w:rPr>
          <w:lang w:eastAsia="en-US" w:bidi="ar-SA"/>
        </w:rPr>
      </w:pPr>
      <w:r>
        <w:rPr>
          <w:lang w:eastAsia="en-US" w:bidi="ar-SA"/>
        </w:rPr>
        <w:t>the correction of scribal mistakes is on the whole strongly recommended in our editions, because doing so may be necessary in order to make the text intelligible and, when the text is intelligible as received, can clarify the editor’s notion of what the text had been intended to be</w:t>
      </w:r>
    </w:p>
    <w:p>
      <w:pPr>
        <w:pStyle w:val="Lista"/>
        <w:rPr>
          <w:lang w:eastAsia="en-US" w:bidi="ar-SA"/>
        </w:rPr>
      </w:pPr>
      <w:r>
        <w:rPr>
          <w:lang w:eastAsia="en-US" w:bidi="ar-SA"/>
        </w:rPr>
        <w:t>when judging whether an unexpected reading is erroneous or non-standard, it may be helpful to keep in mind that scribal errors often (though not necessarily) have one or more of the following features</w:t>
      </w:r>
    </w:p>
    <w:p>
      <w:pPr>
        <w:pStyle w:val="Lista2"/>
        <w:rPr>
          <w:lang w:eastAsia="en-US" w:bidi="ar-SA"/>
        </w:rPr>
      </w:pPr>
      <w:r>
        <w:rPr>
          <w:lang w:eastAsia="en-US" w:bidi="ar-SA"/>
        </w:rPr>
        <w:t>they occur inconsistently through a document and deviate from the expected form randomly, producing readings which are meaningless or inappropriate to the context</w:t>
      </w:r>
    </w:p>
    <w:p>
      <w:pPr>
        <w:pStyle w:val="Lista3"/>
        <w:rPr>
          <w:lang w:eastAsia="en-US" w:bidi="ar-SA"/>
        </w:rPr>
      </w:pPr>
      <w:r>
        <w:rPr>
          <w:lang w:eastAsia="en-US" w:bidi="ar-SA"/>
        </w:rPr>
        <w:t>the expected (correct) form of the same word may thus also occur in the same document</w:t>
      </w:r>
    </w:p>
    <w:p>
      <w:pPr>
        <w:pStyle w:val="Lista2"/>
        <w:rPr>
          <w:lang w:eastAsia="en-US" w:bidi="ar-SA"/>
        </w:rPr>
      </w:pPr>
      <w:r>
        <w:rPr>
          <w:lang w:eastAsia="en-US" w:bidi="ar-SA"/>
        </w:rPr>
        <w:t>they involve a graphically similar glyph or graph instead of the expected one</w:t>
      </w:r>
    </w:p>
    <w:p>
      <w:pPr>
        <w:pStyle w:val="Lista3"/>
        <w:rPr>
          <w:lang w:eastAsia="en-US" w:bidi="ar-SA"/>
        </w:rPr>
      </w:pPr>
      <w:r>
        <w:rPr>
          <w:lang w:eastAsia="en-US" w:bidi="ar-SA"/>
        </w:rPr>
        <w:t xml:space="preserve">e.g. </w:t>
      </w:r>
      <w:r>
        <w:rPr>
          <w:rStyle w:val="Foreign"/>
        </w:rPr>
        <w:t>ka</w:t>
      </w:r>
      <w:r>
        <w:t xml:space="preserve"> instead of </w:t>
      </w:r>
      <w:r>
        <w:rPr>
          <w:rStyle w:val="Foreign"/>
        </w:rPr>
        <w:t>ra</w:t>
      </w:r>
      <w:r>
        <w:t xml:space="preserve"> in a script where these look similar</w:t>
      </w:r>
    </w:p>
    <w:p>
      <w:pPr>
        <w:pStyle w:val="Lista2"/>
        <w:rPr>
          <w:lang w:eastAsia="en-US" w:bidi="ar-SA"/>
        </w:rPr>
      </w:pPr>
      <w:r>
        <w:rPr>
          <w:lang w:eastAsia="en-US" w:bidi="ar-SA"/>
        </w:rPr>
        <w:t>they involve the omission of glyphs or sequences that ought to be repeated (haplography)</w:t>
      </w:r>
    </w:p>
    <w:p>
      <w:pPr>
        <w:pStyle w:val="Lista3"/>
        <w:rPr>
          <w:lang w:eastAsia="en-US" w:bidi="ar-SA"/>
        </w:rPr>
      </w:pPr>
      <w:r>
        <w:rPr>
          <w:lang w:eastAsia="en-US" w:bidi="ar-SA"/>
        </w:rPr>
        <w:t xml:space="preserve">e.g. </w:t>
      </w:r>
      <w:r>
        <w:rPr>
          <w:rStyle w:val="Foreign"/>
        </w:rPr>
        <w:t>varṣa</w:t>
      </w:r>
      <w:r>
        <w:t xml:space="preserve"> instead of </w:t>
      </w:r>
      <w:r>
        <w:rPr>
          <w:rStyle w:val="Foreign"/>
        </w:rPr>
        <w:t>vavarṣa</w:t>
      </w:r>
      <w:r>
        <w:t xml:space="preserve">; </w:t>
      </w:r>
      <w:r>
        <w:rPr>
          <w:rStyle w:val="Foreign"/>
        </w:rPr>
        <w:t>mandaṁ</w:t>
      </w:r>
      <w:r>
        <w:t xml:space="preserve"> instead of </w:t>
      </w:r>
      <w:r>
        <w:rPr>
          <w:rStyle w:val="Foreign"/>
        </w:rPr>
        <w:t>mandaṁ mandaṁ</w:t>
      </w:r>
    </w:p>
    <w:p>
      <w:pPr>
        <w:pStyle w:val="Lista2"/>
        <w:rPr>
          <w:lang w:eastAsia="en-US" w:bidi="ar-SA"/>
        </w:rPr>
      </w:pPr>
      <w:r>
        <w:rPr>
          <w:lang w:eastAsia="en-US" w:bidi="ar-SA"/>
        </w:rPr>
        <w:t>they involve the repetition of glyphs or sequences that ought to appear only once (dittography)</w:t>
      </w:r>
    </w:p>
    <w:p>
      <w:pPr>
        <w:pStyle w:val="Lista3"/>
        <w:rPr>
          <w:lang w:eastAsia="en-US" w:bidi="ar-SA"/>
        </w:rPr>
      </w:pPr>
      <w:r>
        <w:rPr>
          <w:lang w:eastAsia="en-US" w:bidi="ar-SA"/>
        </w:rPr>
        <w:t xml:space="preserve">e.g. </w:t>
      </w:r>
      <w:r>
        <w:rPr>
          <w:rStyle w:val="Foreign"/>
          <w:lang w:eastAsia="en-US" w:bidi="ar-SA"/>
        </w:rPr>
        <w:t>sasarveṣāṁ</w:t>
      </w:r>
      <w:r>
        <w:t xml:space="preserve"> or </w:t>
      </w:r>
      <w:r>
        <w:rPr>
          <w:rStyle w:val="Foreign"/>
        </w:rPr>
        <w:t>sarvesarveṣāṁ</w:t>
      </w:r>
      <w:r>
        <w:t xml:space="preserve"> instead of </w:t>
      </w:r>
      <w:r>
        <w:rPr>
          <w:rStyle w:val="Foreign"/>
        </w:rPr>
        <w:t>sarveṣāṁ</w:t>
      </w:r>
    </w:p>
    <w:p>
      <w:pPr>
        <w:pStyle w:val="Lista2"/>
        <w:rPr>
          <w:lang w:eastAsia="en-US" w:bidi="ar-SA"/>
        </w:rPr>
      </w:pPr>
      <w:r>
        <w:rPr>
          <w:lang w:eastAsia="en-US" w:bidi="ar-SA"/>
        </w:rPr>
        <w:t>they involve the omission of a chunk that is elsewhere preceded and followed by the same (or a very similar) glyph or sequence (eyeskip)</w:t>
      </w:r>
    </w:p>
    <w:p>
      <w:pPr>
        <w:pStyle w:val="Lista3"/>
        <w:rPr>
          <w:lang w:eastAsia="en-US" w:bidi="ar-SA"/>
        </w:rPr>
      </w:pPr>
      <w:r>
        <w:rPr>
          <w:lang w:eastAsia="en-US" w:bidi="ar-SA"/>
        </w:rPr>
        <w:t xml:space="preserve">e.g. </w:t>
      </w:r>
      <w:r>
        <w:rPr>
          <w:rStyle w:val="Foreign"/>
        </w:rPr>
        <w:t>mañjarī-puñjarita</w:t>
      </w:r>
      <w:r>
        <w:t xml:space="preserve"> instead of </w:t>
      </w:r>
      <w:r>
        <w:rPr>
          <w:rStyle w:val="Foreign"/>
        </w:rPr>
        <w:t>mañjarī-puñja-piñjarita</w:t>
      </w:r>
    </w:p>
    <w:p>
      <w:pPr>
        <w:pStyle w:val="Cmsor3"/>
      </w:pPr>
      <w:bookmarkStart w:id="577" w:name="_Ref242868067"/>
      <w:bookmarkStart w:id="578" w:name="_Toc242976652"/>
      <w:r>
        <w:t>Non-standard readings</w:t>
      </w:r>
      <w:bookmarkEnd w:id="577"/>
      <w:bookmarkEnd w:id="578"/>
    </w:p>
    <w:p>
      <w:r>
        <w:rPr>
          <w:lang w:eastAsia="en-US" w:bidi="ar-SA"/>
        </w:rPr>
        <w:t xml:space="preserve">A received reading that matches the presumed intent of its composer is not erroneous, but may be non-standard if it does not conform to generally established linguistic conventions. A non-standard reading is created deliberately, although not necessarily with awareness of its non-standard nature. That is to say, non-standard language is written usually when a composer’s individual concept of a language differs from the </w:t>
      </w:r>
      <w:r>
        <w:rPr>
          <w:lang w:eastAsia="en-US" w:bidi="ar-SA"/>
        </w:rPr>
        <w:lastRenderedPageBreak/>
        <w:t>general conventions governing that language, or occasionally when a composer chooses to transgress such conventions. Normalisation is the</w:t>
      </w:r>
      <w:r>
        <w:t xml:space="preserve"> editorial rectification of non-standard usage by alteration into something that fits the standard more closely.</w:t>
      </w:r>
    </w:p>
    <w:p>
      <w:pPr>
        <w:pStyle w:val="Lista"/>
        <w:rPr>
          <w:lang w:eastAsia="en-US" w:bidi="ar-SA"/>
        </w:rPr>
      </w:pPr>
      <w:r>
        <w:rPr>
          <w:lang w:eastAsia="en-US" w:bidi="ar-SA"/>
        </w:rPr>
        <w:t>normalisation is always optional in our editions, but is recommended whenever you deem it helpful to the reader for understanding difficult non-standard language or for clarifying your editorial interpretation of it</w:t>
      </w:r>
    </w:p>
    <w:p>
      <w:pPr>
        <w:pStyle w:val="Lista"/>
        <w:rPr>
          <w:lang w:eastAsia="en-US" w:bidi="ar-SA"/>
        </w:rPr>
      </w:pPr>
      <w:r>
        <w:rPr>
          <w:lang w:eastAsia="en-US" w:bidi="ar-SA"/>
        </w:rPr>
        <w:t>when judging whether an unexpected reading is erroneous or non-standard, it may be helpful to keep in mind that non-standard variations often (though not necessarily) have one or more of the following features</w:t>
      </w:r>
    </w:p>
    <w:p>
      <w:pPr>
        <w:pStyle w:val="Lista2"/>
      </w:pPr>
      <w:r>
        <w:t>they occur consistently through a document and deviate from the expected form systematically, producing readings which are meaningful and appropriate to the context once their systematic deviation has been taken into account</w:t>
      </w:r>
    </w:p>
    <w:p>
      <w:pPr>
        <w:pStyle w:val="Lista2"/>
      </w:pPr>
      <w:r>
        <w:t>they involve a plausible phonological alternative to the standard pronunciation of a word or sequence</w:t>
      </w:r>
    </w:p>
    <w:p>
      <w:pPr>
        <w:pStyle w:val="Lista3"/>
        <w:rPr>
          <w:rStyle w:val="Foreign"/>
          <w:i w:val="0"/>
          <w:iCs w:val="0"/>
          <w:noProof w:val="0"/>
        </w:rPr>
      </w:pPr>
      <w:r>
        <w:t xml:space="preserve">e.g. </w:t>
      </w:r>
      <w:r>
        <w:rPr>
          <w:rStyle w:val="Foreign"/>
        </w:rPr>
        <w:t>vacchara</w:t>
      </w:r>
      <w:r>
        <w:t xml:space="preserve"> instead of </w:t>
      </w:r>
      <w:r>
        <w:rPr>
          <w:rStyle w:val="Foreign"/>
        </w:rPr>
        <w:t>vatsara</w:t>
      </w:r>
      <w:r>
        <w:t xml:space="preserve">; </w:t>
      </w:r>
      <w:r>
        <w:rPr>
          <w:rStyle w:val="Foreign"/>
        </w:rPr>
        <w:t>kuṭiṁbin</w:t>
      </w:r>
      <w:r>
        <w:t xml:space="preserve"> instead of </w:t>
      </w:r>
      <w:r>
        <w:rPr>
          <w:rStyle w:val="Foreign"/>
        </w:rPr>
        <w:t>kuṭuṁbin</w:t>
      </w:r>
      <w:r>
        <w:t xml:space="preserve">; </w:t>
      </w:r>
      <w:r>
        <w:rPr>
          <w:rStyle w:val="Foreign"/>
        </w:rPr>
        <w:t>krita</w:t>
      </w:r>
      <w:r>
        <w:t xml:space="preserve"> (or </w:t>
      </w:r>
      <w:r>
        <w:rPr>
          <w:rStyle w:val="Foreign"/>
        </w:rPr>
        <w:t>kruta</w:t>
      </w:r>
      <w:r>
        <w:t xml:space="preserve"> or </w:t>
      </w:r>
      <w:r>
        <w:rPr>
          <w:rStyle w:val="Foreign"/>
        </w:rPr>
        <w:t>krata</w:t>
      </w:r>
      <w:r>
        <w:t xml:space="preserve">) instead of </w:t>
      </w:r>
      <w:r>
        <w:rPr>
          <w:rStyle w:val="Foreign"/>
        </w:rPr>
        <w:t>kr̥ta</w:t>
      </w:r>
    </w:p>
    <w:p>
      <w:pPr>
        <w:pStyle w:val="Lista2"/>
      </w:pPr>
      <w:r>
        <w:t>they involve a plausible graphemic alternative to the standard orthography of a word or sequence</w:t>
      </w:r>
    </w:p>
    <w:p>
      <w:pPr>
        <w:pStyle w:val="Lista3"/>
      </w:pPr>
      <w:r>
        <w:t xml:space="preserve">e.g. </w:t>
      </w:r>
      <w:r>
        <w:rPr>
          <w:rStyle w:val="Foreign"/>
        </w:rPr>
        <w:t>satva</w:t>
      </w:r>
      <w:r>
        <w:t xml:space="preserve"> instead of </w:t>
      </w:r>
      <w:r>
        <w:rPr>
          <w:rStyle w:val="Foreign"/>
        </w:rPr>
        <w:t>sattva</w:t>
      </w:r>
      <w:r>
        <w:t xml:space="preserve">; </w:t>
      </w:r>
      <w:r>
        <w:rPr>
          <w:rStyle w:val="Foreign"/>
        </w:rPr>
        <w:t>sattya</w:t>
      </w:r>
      <w:r>
        <w:t xml:space="preserve"> instead of </w:t>
      </w:r>
      <w:r>
        <w:rPr>
          <w:rStyle w:val="Foreign"/>
        </w:rPr>
        <w:t>satya</w:t>
      </w:r>
    </w:p>
    <w:p>
      <w:pPr>
        <w:pStyle w:val="Lista2"/>
      </w:pPr>
      <w:r>
        <w:t>they involve the application of a generic grammatical rule where a specific rule (exception) is expected</w:t>
      </w:r>
    </w:p>
    <w:p>
      <w:pPr>
        <w:pStyle w:val="Lista3"/>
        <w:rPr>
          <w:rStyle w:val="Foreign"/>
          <w:i w:val="0"/>
          <w:iCs w:val="0"/>
          <w:noProof w:val="0"/>
        </w:rPr>
      </w:pPr>
      <w:r>
        <w:t xml:space="preserve">e.g. </w:t>
      </w:r>
      <w:r>
        <w:rPr>
          <w:rStyle w:val="Foreign"/>
        </w:rPr>
        <w:t>rājasya</w:t>
      </w:r>
      <w:r>
        <w:t xml:space="preserve"> instead of </w:t>
      </w:r>
      <w:r>
        <w:rPr>
          <w:rStyle w:val="Foreign"/>
        </w:rPr>
        <w:t>rājñaḥ</w:t>
      </w:r>
    </w:p>
    <w:p>
      <w:pPr>
        <w:pStyle w:val="Lista2"/>
      </w:pPr>
      <w:r>
        <w:t>they involve the application of a specific grammatical rule where it is not expected to apply</w:t>
      </w:r>
    </w:p>
    <w:p>
      <w:pPr>
        <w:pStyle w:val="Lista3"/>
      </w:pPr>
      <w:r>
        <w:t xml:space="preserve">e.g. </w:t>
      </w:r>
      <w:r>
        <w:rPr>
          <w:rStyle w:val="Foreign"/>
        </w:rPr>
        <w:t>mahārājñaḥ</w:t>
      </w:r>
      <w:r>
        <w:t xml:space="preserve"> instead of </w:t>
      </w:r>
      <w:r>
        <w:rPr>
          <w:rStyle w:val="Foreign"/>
        </w:rPr>
        <w:t>mahārājasya</w:t>
      </w:r>
    </w:p>
    <w:p>
      <w:pPr>
        <w:pStyle w:val="Cmsor2"/>
      </w:pPr>
      <w:bookmarkStart w:id="579" w:name="_8gcqc0hm9n9l" w:colFirst="0" w:colLast="0"/>
      <w:bookmarkStart w:id="580" w:name="_Ref229054270"/>
      <w:bookmarkEnd w:id="579"/>
      <w:r>
        <w:t>Encoding editorial intervention</w:t>
      </w:r>
      <w:bookmarkEnd w:id="580"/>
    </w:p>
    <w:p>
      <w:pPr>
        <w:rPr>
          <w:lang w:eastAsia="en-US" w:bidi="ar-SA"/>
        </w:rPr>
      </w:pPr>
      <w:r>
        <w:rPr>
          <w:lang w:eastAsia="en-US" w:bidi="ar-SA"/>
        </w:rPr>
        <w:t>In DHARMA digital editions, the literal reading of the source must always be present (i.e. never discarded in favour of a correction or normalisation), and any editorial alteration must be explicitly tagged as such (i.e. never silent), except for the small number of specific cases listed in §</w:t>
      </w:r>
      <w:r>
        <w:rPr>
          <w:lang w:eastAsia="en-US" w:bidi="ar-SA"/>
        </w:rPr>
        <w:fldChar w:fldCharType="begin"/>
      </w:r>
      <w:r>
        <w:rPr>
          <w:lang w:eastAsia="en-US" w:bidi="ar-SA"/>
        </w:rPr>
        <w:instrText xml:space="preserve"> REF _Ref229056523 \r \h </w:instrText>
      </w:r>
      <w:r>
        <w:rPr>
          <w:lang w:eastAsia="en-US" w:bidi="ar-SA"/>
        </w:rPr>
      </w:r>
      <w:r>
        <w:rPr>
          <w:lang w:eastAsia="en-US" w:bidi="ar-SA"/>
        </w:rPr>
        <w:fldChar w:fldCharType="separate"/>
      </w:r>
      <w:r>
        <w:rPr>
          <w:lang w:eastAsia="en-US" w:bidi="ar-SA"/>
        </w:rPr>
        <w:t>7.8</w:t>
      </w:r>
      <w:r>
        <w:rPr>
          <w:lang w:eastAsia="en-US" w:bidi="ar-SA"/>
        </w:rPr>
        <w:fldChar w:fldCharType="end"/>
      </w:r>
      <w:r>
        <w:rPr>
          <w:lang w:eastAsia="en-US" w:bidi="ar-SA"/>
        </w:rPr>
        <w:t xml:space="preserve"> below. This requirement leaves us with the following practical scenarios for the treatment of an anomalous reading: ignore it (§</w:t>
      </w:r>
      <w:r>
        <w:rPr>
          <w:lang w:eastAsia="en-US" w:bidi="ar-SA"/>
        </w:rPr>
        <w:fldChar w:fldCharType="begin"/>
      </w:r>
      <w:r>
        <w:rPr>
          <w:lang w:eastAsia="en-US" w:bidi="ar-SA"/>
        </w:rPr>
        <w:instrText xml:space="preserve"> REF _Ref228976848 \r \h </w:instrText>
      </w:r>
      <w:r>
        <w:rPr>
          <w:lang w:eastAsia="en-US" w:bidi="ar-SA"/>
        </w:rPr>
      </w:r>
      <w:r>
        <w:rPr>
          <w:lang w:eastAsia="en-US" w:bidi="ar-SA"/>
        </w:rPr>
        <w:fldChar w:fldCharType="separate"/>
      </w:r>
      <w:r>
        <w:rPr>
          <w:lang w:eastAsia="en-US" w:bidi="ar-SA"/>
        </w:rPr>
        <w:t>7.3</w:t>
      </w:r>
      <w:r>
        <w:rPr>
          <w:lang w:eastAsia="en-US" w:bidi="ar-SA"/>
        </w:rPr>
        <w:fldChar w:fldCharType="end"/>
      </w:r>
      <w:r>
        <w:rPr>
          <w:lang w:eastAsia="en-US" w:bidi="ar-SA"/>
        </w:rPr>
        <w:t>), flag it as anomalous (§</w:t>
      </w:r>
      <w:r>
        <w:rPr>
          <w:lang w:eastAsia="en-US" w:bidi="ar-SA"/>
        </w:rPr>
        <w:fldChar w:fldCharType="begin"/>
      </w:r>
      <w:r>
        <w:rPr>
          <w:lang w:eastAsia="en-US" w:bidi="ar-SA"/>
        </w:rPr>
        <w:instrText xml:space="preserve"> REF _Ref228872759 \r \h </w:instrText>
      </w:r>
      <w:r>
        <w:rPr>
          <w:lang w:eastAsia="en-US" w:bidi="ar-SA"/>
        </w:rPr>
      </w:r>
      <w:r>
        <w:rPr>
          <w:lang w:eastAsia="en-US" w:bidi="ar-SA"/>
        </w:rPr>
        <w:fldChar w:fldCharType="separate"/>
      </w:r>
      <w:r>
        <w:rPr>
          <w:lang w:eastAsia="en-US" w:bidi="ar-SA"/>
        </w:rPr>
        <w:t>7.4</w:t>
      </w:r>
      <w:r>
        <w:rPr>
          <w:lang w:eastAsia="en-US" w:bidi="ar-SA"/>
        </w:rPr>
        <w:fldChar w:fldCharType="end"/>
      </w:r>
      <w:r>
        <w:rPr>
          <w:lang w:eastAsia="en-US" w:bidi="ar-SA"/>
        </w:rPr>
        <w:t>) or rectify it by providing the corrected or normalised reading as an alternative to the received reading (§</w:t>
      </w:r>
      <w:r>
        <w:rPr>
          <w:lang w:eastAsia="en-US" w:bidi="ar-SA"/>
        </w:rPr>
        <w:fldChar w:fldCharType="begin"/>
      </w:r>
      <w:r>
        <w:rPr>
          <w:lang w:eastAsia="en-US" w:bidi="ar-SA"/>
        </w:rPr>
        <w:instrText xml:space="preserve"> REF _Ref228872858 \r \h </w:instrText>
      </w:r>
      <w:r>
        <w:rPr>
          <w:lang w:eastAsia="en-US" w:bidi="ar-SA"/>
        </w:rPr>
      </w:r>
      <w:r>
        <w:rPr>
          <w:lang w:eastAsia="en-US" w:bidi="ar-SA"/>
        </w:rPr>
        <w:fldChar w:fldCharType="separate"/>
      </w:r>
      <w:r>
        <w:rPr>
          <w:lang w:eastAsia="en-US" w:bidi="ar-SA"/>
        </w:rPr>
        <w:t>7.5</w:t>
      </w:r>
      <w:r>
        <w:rPr>
          <w:lang w:eastAsia="en-US" w:bidi="ar-SA"/>
        </w:rPr>
        <w:fldChar w:fldCharType="end"/>
      </w:r>
      <w:r>
        <w:rPr>
          <w:lang w:eastAsia="en-US" w:bidi="ar-SA"/>
        </w:rPr>
        <w:t>). All of the encoding introduced in this section must comply with the guidance on good practice in §</w:t>
      </w:r>
      <w:r>
        <w:rPr>
          <w:lang w:eastAsia="en-US" w:bidi="ar-SA"/>
        </w:rPr>
        <w:fldChar w:fldCharType="begin"/>
      </w:r>
      <w:r>
        <w:rPr>
          <w:lang w:eastAsia="en-US" w:bidi="ar-SA"/>
        </w:rPr>
        <w:instrText xml:space="preserve"> REF _Ref43991017 \r \h </w:instrText>
      </w:r>
      <w:r>
        <w:rPr>
          <w:lang w:eastAsia="en-US" w:bidi="ar-SA"/>
        </w:rPr>
      </w:r>
      <w:r>
        <w:rPr>
          <w:lang w:eastAsia="en-US" w:bidi="ar-SA"/>
        </w:rPr>
        <w:fldChar w:fldCharType="separate"/>
      </w:r>
      <w:r>
        <w:rPr>
          <w:lang w:eastAsia="en-US" w:bidi="ar-SA"/>
        </w:rPr>
        <w:t>7.7</w:t>
      </w:r>
      <w:r>
        <w:rPr>
          <w:lang w:eastAsia="en-US" w:bidi="ar-SA"/>
        </w:rPr>
        <w:fldChar w:fldCharType="end"/>
      </w:r>
      <w:r>
        <w:rPr>
          <w:lang w:eastAsia="en-US" w:bidi="ar-SA"/>
        </w:rPr>
        <w:t>.</w:t>
      </w:r>
    </w:p>
    <w:p>
      <w:pPr>
        <w:pStyle w:val="Normlbehzs"/>
        <w:rPr>
          <w:lang w:eastAsia="en-US" w:bidi="ar-SA"/>
        </w:rPr>
      </w:pPr>
      <w:r>
        <w:rPr>
          <w:lang w:eastAsia="en-US" w:bidi="ar-SA"/>
        </w:rPr>
        <w:t xml:space="preserve">The action you take with regard to any linguistic anomaly must be selected at your discretion, depending on your perception of the relative commonness or uncommonness of the anomaly in your corpus and of its transparency to the scholarly target audience. </w:t>
      </w:r>
      <w:r>
        <w:t>No objective and universal criteria can be established for such a decision,</w:t>
      </w:r>
      <w:r>
        <w:rPr>
          <w:lang w:eastAsia="en-US" w:bidi="ar-SA"/>
        </w:rPr>
        <w:t xml:space="preserve"> but the following subsections provide some rules of thumb for the kinds of cases where each level of intervention is appropriate. The general aim is not to clutter the edition with code (and its display rendition with character-based markup) unless it serves a useful purpose. A lower level of intervention may be applied to phenomena that you perceive to be common in your particular text or subcorpus. Erring on the side of caution is always allowed, so in any individual case where you deem a higher level of intervention to be warranted, feel free to encode it.</w:t>
      </w:r>
    </w:p>
    <w:p>
      <w:pPr>
        <w:pStyle w:val="Cmsor3"/>
      </w:pPr>
      <w:bookmarkStart w:id="581" w:name="_yyyl8vy3rih7" w:colFirst="0" w:colLast="0"/>
      <w:bookmarkStart w:id="582" w:name="_tebtz9jasa9y" w:colFirst="0" w:colLast="0"/>
      <w:bookmarkStart w:id="583" w:name="_Ref228885762"/>
      <w:bookmarkStart w:id="584" w:name="_Ref228868276"/>
      <w:bookmarkStart w:id="585" w:name="_Ref43988218"/>
      <w:bookmarkStart w:id="586" w:name="_Toc242976653"/>
      <w:bookmarkEnd w:id="581"/>
      <w:bookmarkEnd w:id="582"/>
      <w:r>
        <w:t>Encoding tools for anomalous readings</w:t>
      </w:r>
      <w:bookmarkEnd w:id="583"/>
      <w:bookmarkEnd w:id="586"/>
    </w:p>
    <w:p>
      <w:r>
        <w:t>TEI and EpiDoc provide the following elements for encoding the editorial treatment of incorrect or non-standard text.</w:t>
      </w:r>
    </w:p>
    <w:p>
      <w:pPr>
        <w:pStyle w:val="Lista"/>
      </w:pPr>
      <w:r>
        <w:t>for encoding anomalous readings in the received text,</w:t>
      </w:r>
    </w:p>
    <w:p>
      <w:pPr>
        <w:pStyle w:val="Lista2"/>
      </w:pPr>
      <w:r>
        <w:t xml:space="preserve">the element </w:t>
      </w:r>
      <w:r>
        <w:rPr>
          <w:rStyle w:val="Code"/>
        </w:rPr>
        <w:t>&lt;orig&gt;</w:t>
      </w:r>
      <w:r>
        <w:t xml:space="preserve"> (for “original form”) serves as a wrapper for text that is literally present in the source, but is deemed by the editor to be non-standard</w:t>
      </w:r>
    </w:p>
    <w:p>
      <w:pPr>
        <w:pStyle w:val="Lista2"/>
      </w:pPr>
      <w:r>
        <w:t xml:space="preserve">the element </w:t>
      </w:r>
      <w:r>
        <w:rPr>
          <w:rStyle w:val="Code"/>
        </w:rPr>
        <w:t>&lt;sic&gt;</w:t>
      </w:r>
      <w:r>
        <w:t xml:space="preserve"> (Latin for “thus”) serves as a wrapper for text that is literally present in the source, but is deemed by the editor to be incorrect</w:t>
      </w:r>
    </w:p>
    <w:p>
      <w:pPr>
        <w:pStyle w:val="Lista2"/>
      </w:pPr>
      <w:r>
        <w:t>on their own, these elements may be used for flagging a reading as anomalous (§</w:t>
      </w:r>
      <w:r>
        <w:fldChar w:fldCharType="begin"/>
      </w:r>
      <w:r>
        <w:instrText xml:space="preserve"> REF _Ref228872759 \r \h </w:instrText>
      </w:r>
      <w:r>
        <w:fldChar w:fldCharType="separate"/>
      </w:r>
      <w:r>
        <w:t>7.4</w:t>
      </w:r>
      <w:r>
        <w:fldChar w:fldCharType="end"/>
      </w:r>
      <w:r>
        <w:t>)</w:t>
      </w:r>
    </w:p>
    <w:p>
      <w:pPr>
        <w:pStyle w:val="Lista"/>
      </w:pPr>
      <w:r>
        <w:t>for indicating readings altered by the editor,</w:t>
      </w:r>
    </w:p>
    <w:p>
      <w:pPr>
        <w:pStyle w:val="Lista2"/>
      </w:pPr>
      <w:r>
        <w:lastRenderedPageBreak/>
        <w:t xml:space="preserve">the element </w:t>
      </w:r>
      <w:r>
        <w:rPr>
          <w:rStyle w:val="Code"/>
        </w:rPr>
        <w:t>&lt;reg&gt;</w:t>
      </w:r>
      <w:r>
        <w:t xml:space="preserve"> (for “regularisation,” which is a synonym of normalisation in TEI usage) serves as a wrapper for text that has been normalised by the editor because the received reading was deemed non-standard</w:t>
      </w:r>
    </w:p>
    <w:p>
      <w:pPr>
        <w:pStyle w:val="Lista2"/>
      </w:pPr>
      <w:r>
        <w:t xml:space="preserve">the element </w:t>
      </w:r>
      <w:r>
        <w:rPr>
          <w:rStyle w:val="Code"/>
        </w:rPr>
        <w:t>&lt;corr&gt;</w:t>
      </w:r>
      <w:r>
        <w:t xml:space="preserve"> (for “correction”) serves as a wrapper for text that has been corrected by the editor because the received reading was deemed erroneous</w:t>
      </w:r>
    </w:p>
    <w:p>
      <w:pPr>
        <w:pStyle w:val="Lista2"/>
      </w:pPr>
      <w:r>
        <w:t>these elements are never used on their own in DHARMA editions, since the received (i.e. unaltered) reading must always be present</w:t>
      </w:r>
    </w:p>
    <w:p>
      <w:pPr>
        <w:pStyle w:val="Lista3"/>
      </w:pPr>
      <w:r>
        <w:t>instead, they are employed in rectification by substitution (§</w:t>
      </w:r>
      <w:r>
        <w:fldChar w:fldCharType="begin"/>
      </w:r>
      <w:r>
        <w:instrText xml:space="preserve"> REF _Ref229057056 \r \h </w:instrText>
      </w:r>
      <w:r>
        <w:fldChar w:fldCharType="separate"/>
      </w:r>
      <w:r>
        <w:t>7.5.1</w:t>
      </w:r>
      <w:r>
        <w:fldChar w:fldCharType="end"/>
      </w:r>
      <w:r>
        <w:t xml:space="preserve">), where the element </w:t>
      </w:r>
      <w:r>
        <w:rPr>
          <w:rStyle w:val="Code"/>
        </w:rPr>
        <w:t>&lt;choice&gt;</w:t>
      </w:r>
      <w:r>
        <w:t xml:space="preserve"> wraps both the received reading (tagged as above) and the editorial reading, indicating that only one of the two is actually present at the given locus</w:t>
      </w:r>
    </w:p>
    <w:p>
      <w:pPr>
        <w:pStyle w:val="Lista"/>
      </w:pPr>
      <w:r>
        <w:t>TEI also caters for marking up parts of the text which are deemed superfluous and parts of the text which have been added by the editor:</w:t>
      </w:r>
    </w:p>
    <w:p>
      <w:pPr>
        <w:pStyle w:val="Lista2"/>
      </w:pPr>
      <w:r>
        <w:t xml:space="preserve">the element </w:t>
      </w:r>
      <w:r>
        <w:rPr>
          <w:rStyle w:val="Code"/>
        </w:rPr>
        <w:t>&lt;surplus&gt;</w:t>
      </w:r>
      <w:r>
        <w:t xml:space="preserve"> serves as a wrapper for text that is present in the source but should not be there according to the editor</w:t>
      </w:r>
    </w:p>
    <w:p>
      <w:pPr>
        <w:pStyle w:val="Lista2"/>
      </w:pPr>
      <w:r>
        <w:t xml:space="preserve">the element </w:t>
      </w:r>
      <w:r>
        <w:rPr>
          <w:rStyle w:val="Code"/>
        </w:rPr>
        <w:t>&lt;supplied&gt;</w:t>
      </w:r>
      <w:r>
        <w:t xml:space="preserve"> serves as a wrapper for text that is no present in the source but should be there according to the editor</w:t>
      </w:r>
    </w:p>
    <w:p>
      <w:pPr>
        <w:pStyle w:val="Lista3"/>
      </w:pPr>
      <w:r>
        <w:t xml:space="preserve">the attribute </w:t>
      </w:r>
      <w:r>
        <w:rPr>
          <w:rStyle w:val="Codeattribute"/>
        </w:rPr>
        <w:t>@reason</w:t>
      </w:r>
      <w:r>
        <w:t xml:space="preserve"> with the value </w:t>
      </w:r>
      <w:r>
        <w:rPr>
          <w:rStyle w:val="Codevalue"/>
        </w:rPr>
        <w:t>"omitted"</w:t>
      </w:r>
      <w:r>
        <w:t xml:space="preserve"> on this element indicates that the supplied text ought to have been written by the scribe but was omitted</w:t>
      </w:r>
      <w:r>
        <w:rPr>
          <w:rStyle w:val="Lbjegyzet-hivatkozs"/>
        </w:rPr>
        <w:footnoteReference w:id="34"/>
      </w:r>
    </w:p>
    <w:p>
      <w:pPr>
        <w:pStyle w:val="Lista2"/>
      </w:pPr>
      <w:r>
        <w:t>these elements do not, by general TEI convention, assert anything about the nature or reason of redundance or omission, but in DHARMA editions, they are dedicated solely to the rectification of erroneous readings</w:t>
      </w:r>
    </w:p>
    <w:p>
      <w:pPr>
        <w:pStyle w:val="Lista3"/>
      </w:pPr>
      <w:r>
        <w:t>therefore, even when non-standard orthography could be normalised simply by adding or suppressing specific graphemes, this must not be done with these elements but rather by the substitution method outlined above</w:t>
      </w:r>
    </w:p>
    <w:p>
      <w:pPr>
        <w:pStyle w:val="Lista3"/>
      </w:pPr>
      <w:r>
        <w:t>this leaves us with the following possible editorial actions:</w:t>
      </w:r>
    </w:p>
    <w:p>
      <w:pPr>
        <w:pStyle w:val="Lista4"/>
      </w:pPr>
      <w:r>
        <w:t>correction by suppression of superfluous graphemes written by mistake (§</w:t>
      </w:r>
      <w:r>
        <w:fldChar w:fldCharType="begin"/>
      </w:r>
      <w:r>
        <w:instrText xml:space="preserve"> REF _Ref229054665 \r \h </w:instrText>
      </w:r>
      <w:r>
        <w:fldChar w:fldCharType="separate"/>
      </w:r>
      <w:r>
        <w:t>7.5.2</w:t>
      </w:r>
      <w:r>
        <w:fldChar w:fldCharType="end"/>
      </w:r>
      <w:r>
        <w:t>)</w:t>
      </w:r>
    </w:p>
    <w:p>
      <w:pPr>
        <w:pStyle w:val="Lista4"/>
      </w:pPr>
      <w:r>
        <w:t>correction by restitution of erroneously omitted graphemes (§</w:t>
      </w:r>
      <w:r>
        <w:fldChar w:fldCharType="begin"/>
      </w:r>
      <w:r>
        <w:instrText xml:space="preserve"> REF _Ref228873746 \r \h </w:instrText>
      </w:r>
      <w:r>
        <w:fldChar w:fldCharType="separate"/>
      </w:r>
      <w:r>
        <w:t>7.5.3</w:t>
      </w:r>
      <w:r>
        <w:fldChar w:fldCharType="end"/>
      </w:r>
      <w:r>
        <w:t>)</w:t>
      </w:r>
    </w:p>
    <w:p>
      <w:pPr>
        <w:pStyle w:val="Cmsor2"/>
      </w:pPr>
      <w:bookmarkStart w:id="587" w:name="_Ref228976848"/>
      <w:r>
        <w:t>Ignor</w:t>
      </w:r>
      <w:bookmarkEnd w:id="584"/>
      <w:r>
        <w:t>ing anomalous readings</w:t>
      </w:r>
      <w:bookmarkEnd w:id="587"/>
    </w:p>
    <w:p>
      <w:r>
        <w:t>Trivial linguistic anomalies may be left without any editorial encoding.</w:t>
      </w:r>
    </w:p>
    <w:p>
      <w:pPr>
        <w:pStyle w:val="Lista"/>
      </w:pPr>
      <w:r>
        <w:t xml:space="preserve">this applies in particular to </w:t>
      </w:r>
      <w:r>
        <w:rPr>
          <w:noProof/>
        </w:rPr>
        <w:t>(</w:t>
      </w:r>
      <w:r>
        <w:t>near-)universal features of inscriptional orthography prevalent throughout South and Southeast Asia, or throughout a particular region, including but not limited to:</w:t>
      </w:r>
    </w:p>
    <w:p>
      <w:pPr>
        <w:pStyle w:val="Lista2"/>
      </w:pPr>
      <w:r>
        <w:t xml:space="preserve">the doubling of plosives, nasals and glides after an </w:t>
      </w:r>
      <w:r>
        <w:rPr>
          <w:rStyle w:val="Foreign"/>
        </w:rPr>
        <w:t>r</w:t>
      </w:r>
      <w:r>
        <w:t xml:space="preserve"> </w:t>
      </w:r>
      <w:r>
        <w:rPr>
          <w:noProof/>
        </w:rPr>
        <w:t>(</w:t>
      </w:r>
      <w:r>
        <w:t xml:space="preserve">e.g. </w:t>
      </w:r>
      <w:r>
        <w:rPr>
          <w:rStyle w:val="Foreign"/>
        </w:rPr>
        <w:t>dharmma</w:t>
      </w:r>
      <w:r>
        <w:t xml:space="preserve"> for </w:t>
      </w:r>
      <w:r>
        <w:rPr>
          <w:rStyle w:val="Foreign"/>
        </w:rPr>
        <w:t>dharma</w:t>
      </w:r>
      <w:r>
        <w:t>)</w:t>
      </w:r>
    </w:p>
    <w:p>
      <w:pPr>
        <w:pStyle w:val="Lista2"/>
      </w:pPr>
      <w:r>
        <w:t xml:space="preserve">the use of an </w:t>
      </w:r>
      <w:r>
        <w:rPr>
          <w:rStyle w:val="Foreign"/>
        </w:rPr>
        <w:t>anusvāra</w:t>
      </w:r>
      <w:r>
        <w:t xml:space="preserve"> instead of the class nasal or vice versa </w:t>
      </w:r>
      <w:r>
        <w:rPr>
          <w:noProof/>
        </w:rPr>
        <w:t>(</w:t>
      </w:r>
      <w:r>
        <w:t xml:space="preserve">e.g. </w:t>
      </w:r>
      <w:r>
        <w:rPr>
          <w:rStyle w:val="Foreign"/>
        </w:rPr>
        <w:t>maṁtra</w:t>
      </w:r>
      <w:r>
        <w:t xml:space="preserve"> for </w:t>
      </w:r>
      <w:r>
        <w:rPr>
          <w:rStyle w:val="Foreign"/>
        </w:rPr>
        <w:t>mantra</w:t>
      </w:r>
      <w:r>
        <w:t>)</w:t>
      </w:r>
    </w:p>
    <w:p>
      <w:pPr>
        <w:pStyle w:val="Lista3"/>
      </w:pPr>
      <w:r>
        <w:t xml:space="preserve">including final positions (e.g. </w:t>
      </w:r>
      <w:r>
        <w:rPr>
          <w:rStyle w:val="Foreign"/>
        </w:rPr>
        <w:t>kin tu</w:t>
      </w:r>
      <w:r>
        <w:t xml:space="preserve"> for </w:t>
      </w:r>
      <w:r>
        <w:rPr>
          <w:rStyle w:val="Foreign"/>
        </w:rPr>
        <w:t>kiṁ tu</w:t>
      </w:r>
      <w:r>
        <w:t xml:space="preserve"> as well as </w:t>
      </w:r>
      <w:r>
        <w:rPr>
          <w:rStyle w:val="Foreign"/>
        </w:rPr>
        <w:t>tathoktaṁ|</w:t>
      </w:r>
      <w:r>
        <w:t xml:space="preserve"> for </w:t>
      </w:r>
      <w:r>
        <w:rPr>
          <w:rStyle w:val="Foreign"/>
        </w:rPr>
        <w:t>tathoktaM|</w:t>
      </w:r>
      <w:r>
        <w:t>)</w:t>
      </w:r>
    </w:p>
    <w:p>
      <w:pPr>
        <w:pStyle w:val="Lista2"/>
      </w:pPr>
      <w:r>
        <w:t>the use of hiatus (often deliberately to imply a pause) where sandhi would be expected by modern standards</w:t>
      </w:r>
    </w:p>
    <w:p>
      <w:pPr>
        <w:pStyle w:val="Lista"/>
      </w:pPr>
      <w:r>
        <w:t>in Old Javanese, it is recommended that you ignore the following kinds of anomalies unless they create ambiguity:</w:t>
      </w:r>
    </w:p>
    <w:p>
      <w:pPr>
        <w:pStyle w:val="Lista2"/>
      </w:pPr>
      <w:r>
        <w:t xml:space="preserve">spelling of long </w:t>
      </w:r>
      <w:r>
        <w:rPr>
          <w:rStyle w:val="Foreign"/>
        </w:rPr>
        <w:t>pepet</w:t>
      </w:r>
      <w:r>
        <w:t xml:space="preserve"> with </w:t>
      </w:r>
      <w:r>
        <w:rPr>
          <w:rStyle w:val="Foreign"/>
        </w:rPr>
        <w:t>ə</w:t>
      </w:r>
      <w:r>
        <w:t xml:space="preserve"> plus length mark (to be transliterated as </w:t>
      </w:r>
      <w:r>
        <w:rPr>
          <w:rStyle w:val="Foreign"/>
        </w:rPr>
        <w:t>ə:</w:t>
      </w:r>
      <w:r>
        <w:t xml:space="preserve"> as per TG §4.1.7</w:t>
      </w:r>
    </w:p>
    <w:p>
      <w:pPr>
        <w:pStyle w:val="Lista2"/>
      </w:pPr>
      <w:r>
        <w:t xml:space="preserve">use of </w:t>
      </w:r>
      <w:r>
        <w:rPr>
          <w:rStyle w:val="Foreign"/>
        </w:rPr>
        <w:t>R̥</w:t>
      </w:r>
      <w:r>
        <w:t xml:space="preserve"> or </w:t>
      </w:r>
      <w:r>
        <w:rPr>
          <w:rStyle w:val="Foreign"/>
        </w:rPr>
        <w:t>L̥</w:t>
      </w:r>
      <w:r>
        <w:t xml:space="preserve"> </w:t>
      </w:r>
      <w:r>
        <w:rPr>
          <w:noProof/>
        </w:rPr>
        <w:t>(</w:t>
      </w:r>
      <w:r>
        <w:t xml:space="preserve">and </w:t>
      </w:r>
      <w:r>
        <w:rPr>
          <w:rStyle w:val="Foreign"/>
        </w:rPr>
        <w:t>R̥̄</w:t>
      </w:r>
      <w:r>
        <w:t xml:space="preserve"> or </w:t>
      </w:r>
      <w:r>
        <w:rPr>
          <w:rStyle w:val="Foreign"/>
        </w:rPr>
        <w:t>L̥̄</w:t>
      </w:r>
      <w:r>
        <w:t xml:space="preserve">) in words whose dictionary spelling has </w:t>
      </w:r>
      <w:r>
        <w:rPr>
          <w:rStyle w:val="Foreign"/>
        </w:rPr>
        <w:t>rə</w:t>
      </w:r>
      <w:r>
        <w:t xml:space="preserve"> or </w:t>
      </w:r>
      <w:r>
        <w:rPr>
          <w:rStyle w:val="Foreign"/>
        </w:rPr>
        <w:t>lə</w:t>
      </w:r>
      <w:r>
        <w:t xml:space="preserve"> </w:t>
      </w:r>
      <w:r>
        <w:rPr>
          <w:noProof/>
        </w:rPr>
        <w:t>(</w:t>
      </w:r>
      <w:r>
        <w:t xml:space="preserve">or </w:t>
      </w:r>
      <w:r>
        <w:rPr>
          <w:rStyle w:val="Foreign"/>
        </w:rPr>
        <w:t>rə̄</w:t>
      </w:r>
      <w:r>
        <w:t xml:space="preserve"> or </w:t>
      </w:r>
      <w:r>
        <w:rPr>
          <w:rStyle w:val="Foreign"/>
        </w:rPr>
        <w:t>lə̄</w:t>
      </w:r>
      <w:r>
        <w:t>)</w:t>
      </w:r>
    </w:p>
    <w:p>
      <w:pPr>
        <w:pStyle w:val="Lista"/>
      </w:pPr>
      <w:r>
        <w:t>in Old Khmer, it is recommended that you ignore the following kinds of anomalies unless they create ambiguity:</w:t>
      </w:r>
    </w:p>
    <w:p>
      <w:pPr>
        <w:pStyle w:val="Lista2"/>
      </w:pPr>
      <w:r>
        <w:t xml:space="preserve">absence of </w:t>
      </w:r>
      <w:r>
        <w:rPr>
          <w:rStyle w:val="Foreign"/>
        </w:rPr>
        <w:t>virāma</w:t>
      </w:r>
    </w:p>
    <w:p>
      <w:pPr>
        <w:pStyle w:val="Lista2"/>
      </w:pPr>
      <w:r>
        <w:t xml:space="preserve">representation of final consonant </w:t>
      </w:r>
      <w:r>
        <w:rPr>
          <w:rStyle w:val="Foreign"/>
        </w:rPr>
        <w:t>C</w:t>
      </w:r>
      <w:r>
        <w:t xml:space="preserve"> by the spelling </w:t>
      </w:r>
      <w:r>
        <w:rPr>
          <w:rStyle w:val="Foreign"/>
        </w:rPr>
        <w:t>CCa</w:t>
      </w:r>
      <w:r>
        <w:t xml:space="preserve">, including final /h/ represented as </w:t>
      </w:r>
      <w:r>
        <w:rPr>
          <w:rStyle w:val="Foreign"/>
        </w:rPr>
        <w:t>ḥha</w:t>
      </w:r>
    </w:p>
    <w:p>
      <w:pPr>
        <w:pStyle w:val="Lista"/>
      </w:pPr>
      <w:r>
        <w:t>grammatical laxity may in general be ignored, especially in complex constructions such as subordinate clauses, long compounds or compound-like structures, and very long “sentences” encompassing multiple topics and/or stanzas</w:t>
      </w:r>
    </w:p>
    <w:p>
      <w:pPr>
        <w:pStyle w:val="Lista2"/>
      </w:pPr>
      <w:r>
        <w:lastRenderedPageBreak/>
        <w:t xml:space="preserve">we see no advantage in attempting </w:t>
      </w:r>
      <w:r>
        <w:rPr>
          <w:lang w:eastAsia="en-US" w:bidi="ar-SA"/>
        </w:rPr>
        <w:t>to force a source document into conforming to canons which, even if they exist for the language in question, may not have been known or perceived as binding by the document’s composer</w:t>
      </w:r>
    </w:p>
    <w:p>
      <w:pPr>
        <w:pStyle w:val="Lista2"/>
      </w:pPr>
      <w:r>
        <w:rPr>
          <w:lang w:eastAsia="en-US" w:bidi="ar-SA"/>
        </w:rPr>
        <w:t>in particular, normalisation to high standards should be avoided if doing so requires altering or reorganising a  stretch of text longer than a word or two</w:t>
      </w:r>
    </w:p>
    <w:p>
      <w:pPr>
        <w:pStyle w:val="Lista"/>
      </w:pPr>
      <w:r>
        <w:t>scribal mistakes you deem to be completely insignificant and entirely transparent may be ignored at your discretion</w:t>
      </w:r>
    </w:p>
    <w:p>
      <w:pPr>
        <w:pStyle w:val="Cmsor2"/>
      </w:pPr>
      <w:bookmarkStart w:id="588" w:name="_Ref228868281"/>
      <w:bookmarkStart w:id="589" w:name="_Ref228872759"/>
      <w:r>
        <w:t>Flag</w:t>
      </w:r>
      <w:bookmarkEnd w:id="588"/>
      <w:r>
        <w:t>ging anomalous readings</w:t>
      </w:r>
      <w:bookmarkEnd w:id="589"/>
    </w:p>
    <w:p>
      <w:r>
        <w:t xml:space="preserve">Flagging reading as linguistically anomalous without rectifying it serves two purposes: it highlights unexpected text for the reader’s attention, and it makes it clear to the reader that the unexpected text is not your editorial mistake. </w:t>
      </w:r>
    </w:p>
    <w:p>
      <w:pPr>
        <w:pStyle w:val="Lista"/>
      </w:pPr>
      <w:r>
        <w:t>flagging without rectification is recommended for scribal errors and unintelligible text only if you cannot propose a single confident correction (tentative or alternative corrections may be discussed in an apparatus note, §</w:t>
      </w:r>
      <w:r>
        <w:fldChar w:fldCharType="begin"/>
      </w:r>
      <w:r>
        <w:instrText xml:space="preserve"> REF _Ref43988104 \w \h  \* MERGEFORMAT </w:instrText>
      </w:r>
      <w:r>
        <w:fldChar w:fldCharType="separate"/>
      </w:r>
      <w:r>
        <w:t>10.7</w:t>
      </w:r>
      <w:r>
        <w:fldChar w:fldCharType="end"/>
      </w:r>
      <w:r>
        <w:t>), or if a mistake is entirely transparent</w:t>
      </w:r>
    </w:p>
    <w:p>
      <w:pPr>
        <w:pStyle w:val="Lista"/>
      </w:pPr>
      <w:r>
        <w:t xml:space="preserve">flagging without rectification is recommended for non-standard orthography that is common but not quite universal, such as </w:t>
      </w:r>
    </w:p>
    <w:p>
      <w:pPr>
        <w:pStyle w:val="Lista2"/>
      </w:pPr>
      <w:r>
        <w:t xml:space="preserve">the doubling of consonants in certain conjuncts that do not begin with </w:t>
      </w:r>
      <w:r>
        <w:rPr>
          <w:rStyle w:val="Foreign"/>
        </w:rPr>
        <w:t>r</w:t>
      </w:r>
      <w:r>
        <w:t xml:space="preserve"> </w:t>
      </w:r>
      <w:r>
        <w:rPr>
          <w:noProof/>
        </w:rPr>
        <w:t>(</w:t>
      </w:r>
      <w:r>
        <w:t xml:space="preserve">e.g. </w:t>
      </w:r>
      <w:r>
        <w:rPr>
          <w:rStyle w:val="Foreign"/>
        </w:rPr>
        <w:t>puttra</w:t>
      </w:r>
      <w:r>
        <w:t xml:space="preserve"> for </w:t>
      </w:r>
      <w:r>
        <w:rPr>
          <w:rStyle w:val="Foreign"/>
        </w:rPr>
        <w:t>putra</w:t>
      </w:r>
      <w:r>
        <w:t xml:space="preserve">; </w:t>
      </w:r>
      <w:r>
        <w:rPr>
          <w:rStyle w:val="Foreign"/>
        </w:rPr>
        <w:t>sattya</w:t>
      </w:r>
      <w:r>
        <w:t xml:space="preserve"> for </w:t>
      </w:r>
      <w:r>
        <w:rPr>
          <w:rStyle w:val="Foreign"/>
        </w:rPr>
        <w:t>satya</w:t>
      </w:r>
      <w:r>
        <w:t>)</w:t>
      </w:r>
    </w:p>
    <w:p>
      <w:pPr>
        <w:pStyle w:val="Lista2"/>
      </w:pPr>
      <w:r>
        <w:t xml:space="preserve">the exchange of a consonant for a phonetically similar one </w:t>
      </w:r>
      <w:r>
        <w:rPr>
          <w:noProof/>
        </w:rPr>
        <w:t>(</w:t>
      </w:r>
      <w:r>
        <w:t xml:space="preserve">e.g. </w:t>
      </w:r>
      <w:r>
        <w:rPr>
          <w:rStyle w:val="Foreign"/>
        </w:rPr>
        <w:t>muṇi</w:t>
      </w:r>
      <w:r>
        <w:t xml:space="preserve"> for </w:t>
      </w:r>
      <w:r>
        <w:rPr>
          <w:rStyle w:val="Foreign"/>
        </w:rPr>
        <w:t>muni</w:t>
      </w:r>
      <w:r>
        <w:t>)</w:t>
      </w:r>
    </w:p>
    <w:p>
      <w:pPr>
        <w:pStyle w:val="Lista2"/>
      </w:pPr>
      <w:r>
        <w:t xml:space="preserve">infidelity to the correct length of vowels in words borrowed from Sanskrit, in languages where inconsistency in spelling of vowel-length is rampant </w:t>
      </w:r>
      <w:r>
        <w:rPr>
          <w:noProof/>
        </w:rPr>
        <w:t>(</w:t>
      </w:r>
      <w:r>
        <w:t xml:space="preserve">e.g. </w:t>
      </w:r>
      <w:r>
        <w:rPr>
          <w:rStyle w:val="Foreign"/>
        </w:rPr>
        <w:t>bhima</w:t>
      </w:r>
      <w:r>
        <w:t xml:space="preserve"> for </w:t>
      </w:r>
      <w:r>
        <w:rPr>
          <w:rStyle w:val="Foreign"/>
        </w:rPr>
        <w:t>bhīma</w:t>
      </w:r>
      <w:r>
        <w:t>)</w:t>
      </w:r>
    </w:p>
    <w:p>
      <w:pPr>
        <w:pStyle w:val="Lista"/>
      </w:pPr>
      <w:r>
        <w:t>flagging without rectification is recommended for non-standard language use that is common in a given subcorpus or text, such as</w:t>
      </w:r>
    </w:p>
    <w:p>
      <w:pPr>
        <w:pStyle w:val="Lista2"/>
      </w:pPr>
      <w:r>
        <w:t xml:space="preserve">non-standard or substandard grammar </w:t>
      </w:r>
      <w:r>
        <w:rPr>
          <w:noProof/>
        </w:rPr>
        <w:t>(</w:t>
      </w:r>
      <w:r>
        <w:t xml:space="preserve">e.g. </w:t>
      </w:r>
      <w:r>
        <w:rPr>
          <w:rStyle w:val="Foreign"/>
        </w:rPr>
        <w:t>rājasya</w:t>
      </w:r>
      <w:r>
        <w:t xml:space="preserve"> for </w:t>
      </w:r>
      <w:r>
        <w:rPr>
          <w:rStyle w:val="Foreign"/>
        </w:rPr>
        <w:t>rājñaḥ</w:t>
      </w:r>
      <w:r>
        <w:t xml:space="preserve">; </w:t>
      </w:r>
      <w:r>
        <w:rPr>
          <w:rStyle w:val="Foreign"/>
        </w:rPr>
        <w:t>kr̥tedam</w:t>
      </w:r>
      <w:r>
        <w:t xml:space="preserve"> for </w:t>
      </w:r>
      <w:r>
        <w:rPr>
          <w:rStyle w:val="Foreign"/>
        </w:rPr>
        <w:t>kr̥tam idam</w:t>
      </w:r>
      <w:r>
        <w:t xml:space="preserve">; </w:t>
      </w:r>
      <w:r>
        <w:rPr>
          <w:rStyle w:val="Foreign"/>
        </w:rPr>
        <w:t>sā gataḥ</w:t>
      </w:r>
      <w:r>
        <w:t xml:space="preserve"> for </w:t>
      </w:r>
      <w:r>
        <w:rPr>
          <w:rStyle w:val="Foreign"/>
        </w:rPr>
        <w:t>sā gatā</w:t>
      </w:r>
      <w:r>
        <w:t>)</w:t>
      </w:r>
    </w:p>
    <w:p>
      <w:pPr>
        <w:pStyle w:val="Lista2"/>
      </w:pPr>
      <w:r>
        <w:t xml:space="preserve">non-standard sandhi </w:t>
      </w:r>
      <w:r>
        <w:rPr>
          <w:noProof/>
        </w:rPr>
        <w:t>(</w:t>
      </w:r>
      <w:r>
        <w:t xml:space="preserve">e.g. </w:t>
      </w:r>
      <w:r>
        <w:rPr>
          <w:rStyle w:val="Foreign"/>
        </w:rPr>
        <w:t>anugrahāya-m udaka-pūrvveṇa</w:t>
      </w:r>
      <w:r>
        <w:t xml:space="preserve">; </w:t>
      </w:r>
      <w:r>
        <w:rPr>
          <w:rStyle w:val="Foreign"/>
        </w:rPr>
        <w:t>paṁca-s-triṁśottaratame</w:t>
      </w:r>
      <w:r>
        <w:t>)</w:t>
      </w:r>
    </w:p>
    <w:p>
      <w:pPr>
        <w:pStyle w:val="Lista2"/>
      </w:pPr>
      <w:r>
        <w:t xml:space="preserve">hyper-Sanskritisation </w:t>
      </w:r>
      <w:r>
        <w:rPr>
          <w:noProof/>
        </w:rPr>
        <w:t>(</w:t>
      </w:r>
      <w:r>
        <w:t xml:space="preserve">e.g. </w:t>
      </w:r>
      <w:r>
        <w:rPr>
          <w:rStyle w:val="Foreign"/>
        </w:rPr>
        <w:t>prārk</w:t>
      </w:r>
      <w:r>
        <w:t xml:space="preserve"> instead of </w:t>
      </w:r>
      <w:r>
        <w:rPr>
          <w:rStyle w:val="Foreign"/>
        </w:rPr>
        <w:t>prāk</w:t>
      </w:r>
      <w:r>
        <w:t xml:space="preserve">, </w:t>
      </w:r>
      <w:r>
        <w:rPr>
          <w:rStyle w:val="Foreign"/>
        </w:rPr>
        <w:t>śrāpa</w:t>
      </w:r>
      <w:r>
        <w:t xml:space="preserve"> instead of </w:t>
      </w:r>
      <w:r>
        <w:rPr>
          <w:rStyle w:val="Foreign"/>
        </w:rPr>
        <w:t>śāpa</w:t>
      </w:r>
      <w:r>
        <w:t>)</w:t>
      </w:r>
    </w:p>
    <w:p>
      <w:pPr>
        <w:pStyle w:val="Cmsor3"/>
      </w:pPr>
      <w:bookmarkStart w:id="590" w:name="_Toc242976654"/>
      <w:r>
        <w:t xml:space="preserve">Flagging erroneous and uninterpretable </w:t>
      </w:r>
      <w:bookmarkEnd w:id="585"/>
      <w:r>
        <w:t>readings</w:t>
      </w:r>
      <w:bookmarkEnd w:id="590"/>
    </w:p>
    <w:p>
      <w:pPr>
        <w:pStyle w:val="Lista"/>
      </w:pPr>
      <w:r>
        <w:t xml:space="preserve">to flag a reading deemed erroneous or unintelligible, wrap it in the element </w:t>
      </w:r>
      <w:r>
        <w:rPr>
          <w:rStyle w:val="Code"/>
        </w:rPr>
        <w:t>&lt;sic&gt;</w:t>
      </w:r>
    </w:p>
    <w:p>
      <w:pPr>
        <w:pStyle w:val="Lista2"/>
      </w:pPr>
      <w:r>
        <w:t>this markup on its own is primarily for use on text that is legible but does not seem intelligible (i.e. for which no straightforward correction can be offered)</w:t>
      </w:r>
    </w:p>
    <w:p>
      <w:pPr>
        <w:pStyle w:val="Lista3"/>
      </w:pPr>
      <w:r>
        <w:t xml:space="preserve">stretches of text which are uninterpretable on account of poor legibility do not require </w:t>
      </w:r>
      <w:r>
        <w:rPr>
          <w:rStyle w:val="Code"/>
        </w:rPr>
        <w:t>&lt;sic&gt;</w:t>
      </w:r>
      <w:r>
        <w:t xml:space="preserve">, but </w:t>
      </w:r>
      <w:r>
        <w:rPr>
          <w:rStyle w:val="Code"/>
        </w:rPr>
        <w:t>&lt;sic&gt;</w:t>
      </w:r>
      <w:r>
        <w:t xml:space="preserve"> may of course include markup for unclear readings and lacunae</w:t>
      </w:r>
    </w:p>
    <w:p>
      <w:pPr>
        <w:pStyle w:val="Lista"/>
      </w:pPr>
      <w:r>
        <w:t>for example,</w:t>
      </w:r>
    </w:p>
    <w:p>
      <w:pPr>
        <w:pStyle w:val="Lista2"/>
      </w:pPr>
      <w:r>
        <w:t xml:space="preserve">a trivial scribal error flagged as such: </w:t>
      </w:r>
      <w:r>
        <w:rPr>
          <w:rStyle w:val="Codetext"/>
        </w:rPr>
        <w:t>mahār</w:t>
      </w:r>
      <w:r>
        <w:rPr>
          <w:rStyle w:val="Code"/>
        </w:rPr>
        <w:t>&lt;sic&gt;</w:t>
      </w:r>
      <w:r>
        <w:rPr>
          <w:rStyle w:val="Codetext"/>
        </w:rPr>
        <w:t>a</w:t>
      </w:r>
      <w:r>
        <w:rPr>
          <w:rStyle w:val="Code"/>
        </w:rPr>
        <w:t>&lt;/sic&gt;</w:t>
      </w:r>
      <w:r>
        <w:rPr>
          <w:rStyle w:val="Codetext"/>
        </w:rPr>
        <w:t>ja</w:t>
      </w:r>
      <w:r>
        <w:t xml:space="preserve"> </w:t>
      </w:r>
      <w:r>
        <w:rPr>
          <w:noProof/>
        </w:rPr>
        <w:t>(</w:t>
      </w:r>
      <w:r>
        <w:rPr>
          <w:rStyle w:val="Foreign"/>
        </w:rPr>
        <w:t>ā</w:t>
      </w:r>
      <w:r>
        <w:t xml:space="preserve"> would be correct)</w:t>
      </w:r>
    </w:p>
    <w:p>
      <w:pPr>
        <w:pStyle w:val="Lista2"/>
      </w:pPr>
      <w:r>
        <w:t xml:space="preserve">an unintelligible phrase flagged as such: </w:t>
      </w:r>
      <w:r>
        <w:rPr>
          <w:rStyle w:val="Code"/>
        </w:rPr>
        <w:t>&lt;sic&gt;</w:t>
      </w:r>
      <w:r>
        <w:rPr>
          <w:rStyle w:val="Codetext"/>
        </w:rPr>
        <w:t>marnta kali-kulanām</w:t>
      </w:r>
      <w:r>
        <w:rPr>
          <w:rStyle w:val="Code"/>
        </w:rPr>
        <w:t>&lt;/sic&gt;</w:t>
      </w:r>
      <w:r>
        <w:t xml:space="preserve"> </w:t>
      </w:r>
    </w:p>
    <w:p>
      <w:pPr>
        <w:pStyle w:val="Cmsor3"/>
      </w:pPr>
      <w:bookmarkStart w:id="591" w:name="_wc8w2ovzvy8k" w:colFirst="0" w:colLast="0"/>
      <w:bookmarkStart w:id="592" w:name="_Ref43981422"/>
      <w:bookmarkStart w:id="593" w:name="_Ref228886903"/>
      <w:bookmarkStart w:id="594" w:name="_Ref43988258"/>
      <w:bookmarkStart w:id="595" w:name="_Toc242976655"/>
      <w:bookmarkEnd w:id="591"/>
      <w:r>
        <w:t xml:space="preserve">Flagging non-standard </w:t>
      </w:r>
      <w:bookmarkEnd w:id="592"/>
      <w:r>
        <w:t>readings</w:t>
      </w:r>
      <w:bookmarkEnd w:id="593"/>
      <w:bookmarkEnd w:id="595"/>
    </w:p>
    <w:p>
      <w:pPr>
        <w:pStyle w:val="Lista"/>
      </w:pPr>
      <w:r>
        <w:t xml:space="preserve">to flag a reading deemed non-standard but intelligible, wrap it in the element </w:t>
      </w:r>
      <w:r>
        <w:rPr>
          <w:rStyle w:val="Code"/>
        </w:rPr>
        <w:t>&lt;orig&gt;</w:t>
      </w:r>
    </w:p>
    <w:p>
      <w:pPr>
        <w:pStyle w:val="Lista"/>
      </w:pPr>
      <w:r>
        <w:t>for example,</w:t>
      </w:r>
    </w:p>
    <w:p>
      <w:pPr>
        <w:pStyle w:val="Lista2"/>
      </w:pPr>
      <w:r>
        <w:t>a non-standard (</w:t>
      </w:r>
      <w:proofErr w:type="spellStart"/>
      <w:r>
        <w:rPr>
          <w:rStyle w:val="Foreign"/>
        </w:rPr>
        <w:t>tadbhava</w:t>
      </w:r>
      <w:proofErr w:type="spellEnd"/>
      <w:r>
        <w:t xml:space="preserve">) word form in Sanskrit text: </w:t>
      </w:r>
      <w:r>
        <w:rPr>
          <w:rStyle w:val="Codetext"/>
        </w:rPr>
        <w:t xml:space="preserve">dine </w:t>
      </w:r>
      <w:r>
        <w:rPr>
          <w:rStyle w:val="Code"/>
        </w:rPr>
        <w:t>&lt;orig&gt;</w:t>
      </w:r>
      <w:r>
        <w:rPr>
          <w:rStyle w:val="Codetext"/>
        </w:rPr>
        <w:t>Āśvoja</w:t>
      </w:r>
      <w:r>
        <w:rPr>
          <w:rStyle w:val="Code"/>
        </w:rPr>
        <w:t>&lt;/orig&gt;</w:t>
      </w:r>
      <w:r>
        <w:rPr>
          <w:rStyle w:val="Codetext"/>
        </w:rPr>
        <w:t>-śuklasya</w:t>
      </w:r>
      <w:r>
        <w:t xml:space="preserve"> </w:t>
      </w:r>
      <w:r>
        <w:rPr>
          <w:noProof/>
        </w:rPr>
        <w:t>(</w:t>
      </w:r>
      <w:r>
        <w:rPr>
          <w:rStyle w:val="Foreign"/>
        </w:rPr>
        <w:t>Āśvayuja</w:t>
      </w:r>
      <w:r>
        <w:t xml:space="preserve"> or </w:t>
      </w:r>
      <w:r>
        <w:rPr>
          <w:rStyle w:val="Foreign"/>
        </w:rPr>
        <w:t>’śvayuja</w:t>
      </w:r>
      <w:r>
        <w:t xml:space="preserve"> is expected)</w:t>
      </w:r>
    </w:p>
    <w:p>
      <w:pPr>
        <w:pStyle w:val="Lista2"/>
      </w:pPr>
      <w:r>
        <w:t xml:space="preserve">a non-standard or substandard spelling: </w:t>
      </w:r>
      <w:r>
        <w:rPr>
          <w:rStyle w:val="Codetext"/>
        </w:rPr>
        <w:t>sahasrā</w:t>
      </w:r>
      <w:r>
        <w:rPr>
          <w:rStyle w:val="Code"/>
        </w:rPr>
        <w:t>&lt;orig&gt;</w:t>
      </w:r>
      <w:r>
        <w:rPr>
          <w:rStyle w:val="Codetext"/>
        </w:rPr>
        <w:t>n</w:t>
      </w:r>
      <w:r>
        <w:rPr>
          <w:rStyle w:val="Code"/>
        </w:rPr>
        <w:t>&lt;/orig&gt;</w:t>
      </w:r>
      <w:r>
        <w:rPr>
          <w:rStyle w:val="Codetext"/>
        </w:rPr>
        <w:t>i</w:t>
      </w:r>
      <w:r>
        <w:t xml:space="preserve"> </w:t>
      </w:r>
      <w:r>
        <w:rPr>
          <w:noProof/>
        </w:rPr>
        <w:t>(</w:t>
      </w:r>
      <w:r>
        <w:rPr>
          <w:rStyle w:val="Foreign"/>
        </w:rPr>
        <w:t>sahasrāṇi</w:t>
      </w:r>
      <w:r>
        <w:t xml:space="preserve"> is expected)</w:t>
      </w:r>
    </w:p>
    <w:p>
      <w:pPr>
        <w:pStyle w:val="Cmsor2"/>
      </w:pPr>
      <w:bookmarkStart w:id="596" w:name="_Ref228872858"/>
      <w:bookmarkEnd w:id="594"/>
      <w:r>
        <w:lastRenderedPageBreak/>
        <w:t>Rectifying anomalous readings</w:t>
      </w:r>
      <w:bookmarkEnd w:id="596"/>
    </w:p>
    <w:p>
      <w:r>
        <w:rPr>
          <w:lang w:eastAsia="en-US" w:bidi="ar-SA"/>
        </w:rPr>
        <w:t>Rectifying a linguistically anomalous reading means providing an editorial alternative for the anomalous reading, i.e. correcting or normalising it. Rectifying a reading rather than merely flagging it serves useful purposes. On the one hand, it</w:t>
      </w:r>
      <w:r>
        <w:t xml:space="preserve"> helps readers understand the text and makes your interpretation of it explicit. On the other hand, it facilitates searching texts by ensuring that the expected form is present in the XML file and can thus be returned as a match for queries even if the received text differs from the expected.</w:t>
      </w:r>
    </w:p>
    <w:p>
      <w:pPr>
        <w:pStyle w:val="Normlbehzs"/>
      </w:pPr>
      <w:r>
        <w:t xml:space="preserve">Anomalous language can be restituted by any combination of three actions, as illustrated in </w:t>
      </w:r>
      <w:r>
        <w:fldChar w:fldCharType="begin"/>
      </w:r>
      <w:r>
        <w:instrText xml:space="preserve"> REF _Ref229056027 \h </w:instrText>
      </w:r>
      <w:r>
        <w:fldChar w:fldCharType="separate"/>
      </w:r>
      <w:r>
        <w:t xml:space="preserve">Exhibit </w:t>
      </w:r>
      <w:r>
        <w:rPr>
          <w:noProof/>
        </w:rPr>
        <w:t>7.5</w:t>
      </w:r>
      <w:r>
        <w:t>.</w:t>
      </w:r>
      <w:r>
        <w:rPr>
          <w:noProof/>
        </w:rPr>
        <w:t>A</w:t>
      </w:r>
      <w:r>
        <w:fldChar w:fldCharType="end"/>
      </w:r>
      <w:r>
        <w:t xml:space="preserve"> — where the received reading </w:t>
      </w:r>
      <w:r>
        <w:rPr>
          <w:rStyle w:val="Foreign"/>
        </w:rPr>
        <w:t>surddha</w:t>
      </w:r>
      <w:r>
        <w:t xml:space="preserve"> is rectified into </w:t>
      </w:r>
      <w:r>
        <w:rPr>
          <w:rStyle w:val="Foreign"/>
        </w:rPr>
        <w:t>śuddhaḥ</w:t>
      </w:r>
      <w:r>
        <w:t xml:space="preserve"> — and detailed in the following subsections. Substitution (§</w:t>
      </w:r>
      <w:r>
        <w:fldChar w:fldCharType="begin"/>
      </w:r>
      <w:r>
        <w:instrText xml:space="preserve"> REF _Ref229057056 \r \h </w:instrText>
      </w:r>
      <w:r>
        <w:fldChar w:fldCharType="separate"/>
      </w:r>
      <w:r>
        <w:t>7.5.1</w:t>
      </w:r>
      <w:r>
        <w:fldChar w:fldCharType="end"/>
      </w:r>
      <w:r>
        <w:t>) is when the received reading is replaced by the editor with a rectified reading. Suppression (§</w:t>
      </w:r>
      <w:r>
        <w:fldChar w:fldCharType="begin"/>
      </w:r>
      <w:r>
        <w:instrText xml:space="preserve"> REF _Ref229056282 \r \h </w:instrText>
      </w:r>
      <w:r>
        <w:fldChar w:fldCharType="separate"/>
      </w:r>
      <w:r>
        <w:t>7.5.2</w:t>
      </w:r>
      <w:r>
        <w:fldChar w:fldCharType="end"/>
      </w:r>
      <w:r>
        <w:t>) is when part of the received reading is deemed superfluous and deleted by the editor. Restitution (§</w:t>
      </w:r>
      <w:r>
        <w:fldChar w:fldCharType="begin"/>
      </w:r>
      <w:r>
        <w:instrText xml:space="preserve"> REF _Ref229056324 \r \h </w:instrText>
      </w:r>
      <w:r>
        <w:fldChar w:fldCharType="separate"/>
      </w:r>
      <w:r>
        <w:t>7.5.3</w:t>
      </w:r>
      <w:r>
        <w:fldChar w:fldCharType="end"/>
      </w:r>
      <w:r>
        <w:t>), also called suppletion, is when the editor adds something to the received reading.</w:t>
      </w:r>
    </w:p>
    <w:p/>
    <w:tbl>
      <w:tblPr>
        <w:tblStyle w:val="FigureTable"/>
        <w:tblW w:w="0" w:type="auto"/>
        <w:tblLook w:val="04A0" w:firstRow="1" w:lastRow="0" w:firstColumn="1" w:lastColumn="0" w:noHBand="0" w:noVBand="1"/>
      </w:tblPr>
      <w:tblGrid>
        <w:gridCol w:w="1203"/>
        <w:gridCol w:w="1203"/>
        <w:gridCol w:w="1203"/>
        <w:gridCol w:w="1203"/>
        <w:gridCol w:w="1204"/>
        <w:gridCol w:w="1204"/>
        <w:gridCol w:w="1204"/>
        <w:gridCol w:w="1204"/>
      </w:tblGrid>
      <w:tr>
        <w:trPr>
          <w:cnfStyle w:val="100000000000" w:firstRow="1" w:lastRow="0" w:firstColumn="0" w:lastColumn="0" w:oddVBand="0" w:evenVBand="0" w:oddHBand="0" w:evenHBand="0" w:firstRowFirstColumn="0" w:firstRowLastColumn="0" w:lastRowFirstColumn="0" w:lastRowLastColumn="0"/>
        </w:trPr>
        <w:tc>
          <w:tcPr>
            <w:tcW w:w="9628" w:type="dxa"/>
            <w:gridSpan w:val="8"/>
            <w:tcBorders>
              <w:bottom w:val="single" w:sz="4" w:space="0" w:color="auto"/>
            </w:tcBorders>
          </w:tcPr>
          <w:p>
            <w:pPr>
              <w:pStyle w:val="Kpalrs"/>
            </w:pPr>
            <w:bookmarkStart w:id="597" w:name="_Ref229056027"/>
            <w:r>
              <w:t xml:space="preserve">Exhibit </w:t>
            </w:r>
            <w:fldSimple w:instr=" STYLEREF 2 \s ">
              <w:r>
                <w:rPr>
                  <w:noProof/>
                </w:rPr>
                <w:t>7.5</w:t>
              </w:r>
            </w:fldSimple>
            <w:r>
              <w:t>.</w:t>
            </w:r>
            <w:fldSimple w:instr=" SEQ Exhibit \* ALPHABETIC \s 2 ">
              <w:r>
                <w:rPr>
                  <w:noProof/>
                </w:rPr>
                <w:t>A</w:t>
              </w:r>
            </w:fldSimple>
            <w:bookmarkEnd w:id="597"/>
            <w:r>
              <w:t>: editorial rectification of anomalous language</w:t>
            </w:r>
          </w:p>
        </w:tc>
      </w:tr>
      <w:tr>
        <w:tc>
          <w:tcPr>
            <w:tcW w:w="1203" w:type="dxa"/>
            <w:tcBorders>
              <w:bottom w:val="nil"/>
              <w:right w:val="single" w:sz="4" w:space="0" w:color="auto"/>
            </w:tcBorders>
            <w:shd w:val="clear" w:color="auto" w:fill="F0F7D7"/>
          </w:tcPr>
          <w:p>
            <w:pPr>
              <w:keepNext/>
              <w:keepLines/>
              <w:jc w:val="right"/>
              <w:rPr>
                <w:sz w:val="18"/>
                <w:szCs w:val="18"/>
              </w:rPr>
            </w:pPr>
            <w:r>
              <w:rPr>
                <w:sz w:val="18"/>
                <w:szCs w:val="18"/>
              </w:rPr>
              <w:t>received text:</w:t>
            </w:r>
          </w:p>
        </w:tc>
        <w:tc>
          <w:tcPr>
            <w:tcW w:w="1203" w:type="dxa"/>
            <w:tcBorders>
              <w:left w:val="single" w:sz="4" w:space="0" w:color="auto"/>
              <w:bottom w:val="nil"/>
              <w:right w:val="single" w:sz="4" w:space="0" w:color="auto"/>
            </w:tcBorders>
          </w:tcPr>
          <w:p>
            <w:pPr>
              <w:keepNext/>
              <w:keepLines/>
              <w:jc w:val="center"/>
              <w:rPr>
                <w:sz w:val="28"/>
                <w:szCs w:val="28"/>
              </w:rPr>
            </w:pPr>
            <w:r>
              <w:rPr>
                <w:sz w:val="28"/>
                <w:szCs w:val="28"/>
              </w:rPr>
              <w:t>s</w:t>
            </w:r>
          </w:p>
        </w:tc>
        <w:tc>
          <w:tcPr>
            <w:tcW w:w="1203" w:type="dxa"/>
            <w:tcBorders>
              <w:left w:val="single" w:sz="4" w:space="0" w:color="auto"/>
              <w:bottom w:val="nil"/>
              <w:right w:val="single" w:sz="4" w:space="0" w:color="auto"/>
            </w:tcBorders>
          </w:tcPr>
          <w:p>
            <w:pPr>
              <w:keepNext/>
              <w:keepLines/>
              <w:jc w:val="center"/>
              <w:rPr>
                <w:sz w:val="28"/>
                <w:szCs w:val="28"/>
              </w:rPr>
            </w:pPr>
            <w:r>
              <w:rPr>
                <w:sz w:val="28"/>
                <w:szCs w:val="28"/>
              </w:rPr>
              <w:t>u</w:t>
            </w:r>
          </w:p>
        </w:tc>
        <w:tc>
          <w:tcPr>
            <w:tcW w:w="1203" w:type="dxa"/>
            <w:tcBorders>
              <w:left w:val="single" w:sz="4" w:space="0" w:color="auto"/>
              <w:bottom w:val="nil"/>
              <w:right w:val="single" w:sz="4" w:space="0" w:color="auto"/>
            </w:tcBorders>
          </w:tcPr>
          <w:p>
            <w:pPr>
              <w:keepNext/>
              <w:keepLines/>
              <w:jc w:val="center"/>
              <w:rPr>
                <w:sz w:val="28"/>
                <w:szCs w:val="28"/>
              </w:rPr>
            </w:pPr>
            <w:r>
              <w:rPr>
                <w:sz w:val="28"/>
                <w:szCs w:val="28"/>
              </w:rPr>
              <w:t>r</w:t>
            </w:r>
          </w:p>
        </w:tc>
        <w:tc>
          <w:tcPr>
            <w:tcW w:w="1204" w:type="dxa"/>
            <w:tcBorders>
              <w:left w:val="single" w:sz="4" w:space="0" w:color="auto"/>
              <w:bottom w:val="nil"/>
              <w:right w:val="single" w:sz="4" w:space="0" w:color="auto"/>
            </w:tcBorders>
          </w:tcPr>
          <w:p>
            <w:pPr>
              <w:keepNext/>
              <w:keepLines/>
              <w:jc w:val="center"/>
              <w:rPr>
                <w:sz w:val="28"/>
                <w:szCs w:val="28"/>
              </w:rPr>
            </w:pPr>
            <w:r>
              <w:rPr>
                <w:sz w:val="28"/>
                <w:szCs w:val="28"/>
              </w:rPr>
              <w:t>d</w:t>
            </w:r>
          </w:p>
        </w:tc>
        <w:tc>
          <w:tcPr>
            <w:tcW w:w="1204" w:type="dxa"/>
            <w:tcBorders>
              <w:left w:val="single" w:sz="4" w:space="0" w:color="auto"/>
              <w:bottom w:val="nil"/>
              <w:right w:val="single" w:sz="4" w:space="0" w:color="auto"/>
            </w:tcBorders>
          </w:tcPr>
          <w:p>
            <w:pPr>
              <w:keepNext/>
              <w:keepLines/>
              <w:jc w:val="center"/>
              <w:rPr>
                <w:sz w:val="28"/>
                <w:szCs w:val="28"/>
              </w:rPr>
            </w:pPr>
            <w:r>
              <w:rPr>
                <w:sz w:val="28"/>
                <w:szCs w:val="28"/>
              </w:rPr>
              <w:t>dh</w:t>
            </w:r>
          </w:p>
        </w:tc>
        <w:tc>
          <w:tcPr>
            <w:tcW w:w="1204" w:type="dxa"/>
            <w:tcBorders>
              <w:left w:val="single" w:sz="4" w:space="0" w:color="auto"/>
              <w:bottom w:val="nil"/>
              <w:right w:val="single" w:sz="4" w:space="0" w:color="auto"/>
            </w:tcBorders>
          </w:tcPr>
          <w:p>
            <w:pPr>
              <w:keepNext/>
              <w:keepLines/>
              <w:jc w:val="center"/>
              <w:rPr>
                <w:sz w:val="28"/>
                <w:szCs w:val="28"/>
              </w:rPr>
            </w:pPr>
            <w:r>
              <w:rPr>
                <w:sz w:val="28"/>
                <w:szCs w:val="28"/>
              </w:rPr>
              <w:t>a</w:t>
            </w:r>
          </w:p>
        </w:tc>
        <w:tc>
          <w:tcPr>
            <w:tcW w:w="1204" w:type="dxa"/>
            <w:tcBorders>
              <w:left w:val="single" w:sz="4" w:space="0" w:color="auto"/>
              <w:bottom w:val="nil"/>
            </w:tcBorders>
          </w:tcPr>
          <w:p>
            <w:pPr>
              <w:keepNext/>
              <w:keepLines/>
              <w:jc w:val="center"/>
              <w:rPr>
                <w:sz w:val="28"/>
                <w:szCs w:val="28"/>
              </w:rPr>
            </w:pPr>
          </w:p>
        </w:tc>
      </w:tr>
      <w:tr>
        <w:tc>
          <w:tcPr>
            <w:tcW w:w="1203" w:type="dxa"/>
            <w:tcBorders>
              <w:top w:val="nil"/>
              <w:bottom w:val="nil"/>
              <w:right w:val="single" w:sz="4" w:space="0" w:color="auto"/>
            </w:tcBorders>
            <w:shd w:val="clear" w:color="auto" w:fill="F0F7D7"/>
          </w:tcPr>
          <w:p>
            <w:pPr>
              <w:keepNext/>
              <w:keepLines/>
              <w:jc w:val="right"/>
              <w:rPr>
                <w:color w:val="FF0000"/>
                <w:sz w:val="18"/>
                <w:szCs w:val="18"/>
              </w:rPr>
            </w:pPr>
            <w:r>
              <w:rPr>
                <w:color w:val="FF0000"/>
                <w:sz w:val="18"/>
                <w:szCs w:val="18"/>
              </w:rPr>
              <w:t>intervention:</w:t>
            </w:r>
          </w:p>
        </w:tc>
        <w:tc>
          <w:tcPr>
            <w:tcW w:w="1203" w:type="dxa"/>
            <w:tcBorders>
              <w:top w:val="nil"/>
              <w:left w:val="single" w:sz="4" w:space="0" w:color="auto"/>
              <w:bottom w:val="nil"/>
              <w:right w:val="single" w:sz="4" w:space="0" w:color="auto"/>
            </w:tcBorders>
          </w:tcPr>
          <w:p>
            <w:pPr>
              <w:keepNext/>
              <w:keepLines/>
              <w:jc w:val="center"/>
              <w:rPr>
                <w:color w:val="FF0000"/>
                <w:sz w:val="18"/>
                <w:szCs w:val="18"/>
              </w:rPr>
            </w:pPr>
            <w:r>
              <w:rPr>
                <w:color w:val="FF0000"/>
                <w:sz w:val="18"/>
                <w:szCs w:val="18"/>
              </w:rPr>
              <w:t>substitution</w:t>
            </w:r>
          </w:p>
        </w:tc>
        <w:tc>
          <w:tcPr>
            <w:tcW w:w="1203" w:type="dxa"/>
            <w:tcBorders>
              <w:top w:val="nil"/>
              <w:left w:val="single" w:sz="4" w:space="0" w:color="auto"/>
              <w:bottom w:val="nil"/>
              <w:right w:val="single" w:sz="4" w:space="0" w:color="auto"/>
            </w:tcBorders>
          </w:tcPr>
          <w:p>
            <w:pPr>
              <w:keepNext/>
              <w:keepLines/>
              <w:jc w:val="center"/>
              <w:rPr>
                <w:color w:val="FF0000"/>
                <w:sz w:val="18"/>
                <w:szCs w:val="18"/>
              </w:rPr>
            </w:pPr>
          </w:p>
        </w:tc>
        <w:tc>
          <w:tcPr>
            <w:tcW w:w="1203" w:type="dxa"/>
            <w:tcBorders>
              <w:top w:val="nil"/>
              <w:left w:val="single" w:sz="4" w:space="0" w:color="auto"/>
              <w:bottom w:val="nil"/>
              <w:right w:val="single" w:sz="4" w:space="0" w:color="auto"/>
            </w:tcBorders>
          </w:tcPr>
          <w:p>
            <w:pPr>
              <w:keepNext/>
              <w:keepLines/>
              <w:jc w:val="center"/>
              <w:rPr>
                <w:color w:val="FF0000"/>
                <w:sz w:val="18"/>
                <w:szCs w:val="18"/>
              </w:rPr>
            </w:pPr>
            <w:r>
              <w:rPr>
                <w:color w:val="FF0000"/>
                <w:sz w:val="18"/>
                <w:szCs w:val="18"/>
              </w:rPr>
              <w:t>suppression</w:t>
            </w:r>
          </w:p>
        </w:tc>
        <w:tc>
          <w:tcPr>
            <w:tcW w:w="1204" w:type="dxa"/>
            <w:tcBorders>
              <w:top w:val="nil"/>
              <w:left w:val="single" w:sz="4" w:space="0" w:color="auto"/>
              <w:bottom w:val="nil"/>
              <w:right w:val="single" w:sz="4" w:space="0" w:color="auto"/>
            </w:tcBorders>
          </w:tcPr>
          <w:p>
            <w:pPr>
              <w:keepNext/>
              <w:keepLines/>
              <w:jc w:val="center"/>
              <w:rPr>
                <w:color w:val="FF0000"/>
                <w:sz w:val="18"/>
                <w:szCs w:val="18"/>
              </w:rPr>
            </w:pPr>
          </w:p>
        </w:tc>
        <w:tc>
          <w:tcPr>
            <w:tcW w:w="1204" w:type="dxa"/>
            <w:tcBorders>
              <w:top w:val="nil"/>
              <w:left w:val="single" w:sz="4" w:space="0" w:color="auto"/>
              <w:bottom w:val="nil"/>
              <w:right w:val="single" w:sz="4" w:space="0" w:color="auto"/>
            </w:tcBorders>
          </w:tcPr>
          <w:p>
            <w:pPr>
              <w:keepNext/>
              <w:keepLines/>
              <w:jc w:val="center"/>
              <w:rPr>
                <w:color w:val="FF0000"/>
                <w:sz w:val="18"/>
                <w:szCs w:val="18"/>
              </w:rPr>
            </w:pPr>
          </w:p>
        </w:tc>
        <w:tc>
          <w:tcPr>
            <w:tcW w:w="1204" w:type="dxa"/>
            <w:tcBorders>
              <w:top w:val="nil"/>
              <w:left w:val="single" w:sz="4" w:space="0" w:color="auto"/>
              <w:bottom w:val="nil"/>
              <w:right w:val="single" w:sz="4" w:space="0" w:color="auto"/>
            </w:tcBorders>
          </w:tcPr>
          <w:p>
            <w:pPr>
              <w:keepNext/>
              <w:keepLines/>
              <w:jc w:val="center"/>
              <w:rPr>
                <w:color w:val="FF0000"/>
                <w:sz w:val="18"/>
                <w:szCs w:val="18"/>
              </w:rPr>
            </w:pPr>
          </w:p>
        </w:tc>
        <w:tc>
          <w:tcPr>
            <w:tcW w:w="1204" w:type="dxa"/>
            <w:tcBorders>
              <w:top w:val="nil"/>
              <w:left w:val="single" w:sz="4" w:space="0" w:color="auto"/>
              <w:bottom w:val="nil"/>
            </w:tcBorders>
          </w:tcPr>
          <w:p>
            <w:pPr>
              <w:keepNext/>
              <w:keepLines/>
              <w:jc w:val="center"/>
              <w:rPr>
                <w:color w:val="FF0000"/>
                <w:sz w:val="18"/>
                <w:szCs w:val="18"/>
              </w:rPr>
            </w:pPr>
            <w:r>
              <w:rPr>
                <w:color w:val="FF0000"/>
                <w:sz w:val="18"/>
                <w:szCs w:val="18"/>
              </w:rPr>
              <w:t>restitution</w:t>
            </w:r>
          </w:p>
        </w:tc>
      </w:tr>
      <w:tr>
        <w:tc>
          <w:tcPr>
            <w:tcW w:w="1203" w:type="dxa"/>
            <w:tcBorders>
              <w:top w:val="nil"/>
              <w:right w:val="single" w:sz="4" w:space="0" w:color="auto"/>
            </w:tcBorders>
            <w:shd w:val="clear" w:color="auto" w:fill="F0F7D7"/>
          </w:tcPr>
          <w:p>
            <w:pPr>
              <w:jc w:val="right"/>
              <w:rPr>
                <w:sz w:val="18"/>
                <w:szCs w:val="18"/>
              </w:rPr>
            </w:pPr>
            <w:r>
              <w:rPr>
                <w:sz w:val="18"/>
                <w:szCs w:val="18"/>
              </w:rPr>
              <w:t>rectified text:</w:t>
            </w:r>
          </w:p>
        </w:tc>
        <w:tc>
          <w:tcPr>
            <w:tcW w:w="1203" w:type="dxa"/>
            <w:tcBorders>
              <w:top w:val="nil"/>
              <w:left w:val="single" w:sz="4" w:space="0" w:color="auto"/>
              <w:right w:val="single" w:sz="4" w:space="0" w:color="auto"/>
            </w:tcBorders>
          </w:tcPr>
          <w:p>
            <w:pPr>
              <w:jc w:val="center"/>
              <w:rPr>
                <w:sz w:val="28"/>
                <w:szCs w:val="28"/>
              </w:rPr>
            </w:pPr>
            <w:r>
              <w:rPr>
                <w:sz w:val="28"/>
                <w:szCs w:val="28"/>
              </w:rPr>
              <w:t>ś</w:t>
            </w:r>
          </w:p>
        </w:tc>
        <w:tc>
          <w:tcPr>
            <w:tcW w:w="1203" w:type="dxa"/>
            <w:tcBorders>
              <w:top w:val="nil"/>
              <w:left w:val="single" w:sz="4" w:space="0" w:color="auto"/>
              <w:right w:val="single" w:sz="4" w:space="0" w:color="auto"/>
            </w:tcBorders>
          </w:tcPr>
          <w:p>
            <w:pPr>
              <w:jc w:val="center"/>
              <w:rPr>
                <w:sz w:val="28"/>
                <w:szCs w:val="28"/>
              </w:rPr>
            </w:pPr>
            <w:r>
              <w:rPr>
                <w:sz w:val="28"/>
                <w:szCs w:val="28"/>
              </w:rPr>
              <w:t>u</w:t>
            </w:r>
          </w:p>
        </w:tc>
        <w:tc>
          <w:tcPr>
            <w:tcW w:w="1203" w:type="dxa"/>
            <w:tcBorders>
              <w:top w:val="nil"/>
              <w:left w:val="single" w:sz="4" w:space="0" w:color="auto"/>
              <w:right w:val="single" w:sz="4" w:space="0" w:color="auto"/>
            </w:tcBorders>
          </w:tcPr>
          <w:p>
            <w:pPr>
              <w:jc w:val="center"/>
              <w:rPr>
                <w:sz w:val="28"/>
                <w:szCs w:val="28"/>
              </w:rPr>
            </w:pPr>
          </w:p>
        </w:tc>
        <w:tc>
          <w:tcPr>
            <w:tcW w:w="1204" w:type="dxa"/>
            <w:tcBorders>
              <w:top w:val="nil"/>
              <w:left w:val="single" w:sz="4" w:space="0" w:color="auto"/>
              <w:right w:val="single" w:sz="4" w:space="0" w:color="auto"/>
            </w:tcBorders>
          </w:tcPr>
          <w:p>
            <w:pPr>
              <w:jc w:val="center"/>
              <w:rPr>
                <w:sz w:val="28"/>
                <w:szCs w:val="28"/>
              </w:rPr>
            </w:pPr>
            <w:r>
              <w:rPr>
                <w:sz w:val="28"/>
                <w:szCs w:val="28"/>
              </w:rPr>
              <w:t>d</w:t>
            </w:r>
          </w:p>
        </w:tc>
        <w:tc>
          <w:tcPr>
            <w:tcW w:w="1204" w:type="dxa"/>
            <w:tcBorders>
              <w:top w:val="nil"/>
              <w:left w:val="single" w:sz="4" w:space="0" w:color="auto"/>
              <w:right w:val="single" w:sz="4" w:space="0" w:color="auto"/>
            </w:tcBorders>
          </w:tcPr>
          <w:p>
            <w:pPr>
              <w:jc w:val="center"/>
              <w:rPr>
                <w:sz w:val="28"/>
                <w:szCs w:val="28"/>
              </w:rPr>
            </w:pPr>
            <w:r>
              <w:rPr>
                <w:sz w:val="28"/>
                <w:szCs w:val="28"/>
              </w:rPr>
              <w:t>dh</w:t>
            </w:r>
          </w:p>
        </w:tc>
        <w:tc>
          <w:tcPr>
            <w:tcW w:w="1204" w:type="dxa"/>
            <w:tcBorders>
              <w:top w:val="nil"/>
              <w:left w:val="single" w:sz="4" w:space="0" w:color="auto"/>
              <w:right w:val="single" w:sz="4" w:space="0" w:color="auto"/>
            </w:tcBorders>
          </w:tcPr>
          <w:p>
            <w:pPr>
              <w:jc w:val="center"/>
              <w:rPr>
                <w:sz w:val="28"/>
                <w:szCs w:val="28"/>
              </w:rPr>
            </w:pPr>
            <w:r>
              <w:rPr>
                <w:sz w:val="28"/>
                <w:szCs w:val="28"/>
              </w:rPr>
              <w:t>a</w:t>
            </w:r>
          </w:p>
        </w:tc>
        <w:tc>
          <w:tcPr>
            <w:tcW w:w="1204" w:type="dxa"/>
            <w:tcBorders>
              <w:top w:val="nil"/>
              <w:left w:val="single" w:sz="4" w:space="0" w:color="auto"/>
            </w:tcBorders>
          </w:tcPr>
          <w:p>
            <w:pPr>
              <w:jc w:val="center"/>
              <w:rPr>
                <w:sz w:val="28"/>
                <w:szCs w:val="28"/>
              </w:rPr>
            </w:pPr>
            <w:r>
              <w:rPr>
                <w:sz w:val="28"/>
                <w:szCs w:val="28"/>
              </w:rPr>
              <w:t>ḥ</w:t>
            </w:r>
          </w:p>
        </w:tc>
      </w:tr>
    </w:tbl>
    <w:p/>
    <w:p>
      <w:pPr>
        <w:pStyle w:val="Lista"/>
      </w:pPr>
      <w:r>
        <w:t>rectification is strongly recommended for all erroneous readings unless</w:t>
      </w:r>
    </w:p>
    <w:p>
      <w:pPr>
        <w:pStyle w:val="Lista2"/>
      </w:pPr>
      <w:r>
        <w:t>they are absolutely trivial (in which case they may be ignored or flagged)</w:t>
      </w:r>
    </w:p>
    <w:p>
      <w:pPr>
        <w:pStyle w:val="Lista2"/>
      </w:pPr>
      <w:r>
        <w:t>you are unable to propose a confident correction (in which case they should be flagged)</w:t>
      </w:r>
    </w:p>
    <w:p>
      <w:pPr>
        <w:pStyle w:val="Lista"/>
      </w:pPr>
      <w:r>
        <w:t>non-standard orthography and language use (such as the phenomena listed in §</w:t>
      </w:r>
      <w:r>
        <w:fldChar w:fldCharType="begin"/>
      </w:r>
      <w:r>
        <w:instrText xml:space="preserve"> REF _Ref242868067 \r \h </w:instrText>
      </w:r>
      <w:r>
        <w:fldChar w:fldCharType="separate"/>
      </w:r>
      <w:r>
        <w:t>7.1.2</w:t>
      </w:r>
      <w:r>
        <w:fldChar w:fldCharType="end"/>
      </w:r>
      <w:r>
        <w:t xml:space="preserve"> and §</w:t>
      </w:r>
      <w:r>
        <w:fldChar w:fldCharType="begin"/>
      </w:r>
      <w:r>
        <w:instrText xml:space="preserve"> REF _Ref228868281 \r \h </w:instrText>
      </w:r>
      <w:r>
        <w:fldChar w:fldCharType="separate"/>
      </w:r>
      <w:r>
        <w:t>7.4</w:t>
      </w:r>
      <w:r>
        <w:fldChar w:fldCharType="end"/>
      </w:r>
      <w:r>
        <w:t xml:space="preserve"> above) should be preferably rectified if the phenomenon is rare in a given subcorpus or if it leads to ambiguity or hinders understanding in a given case (e.g. </w:t>
      </w:r>
      <w:r>
        <w:rPr>
          <w:rStyle w:val="Foreign"/>
        </w:rPr>
        <w:t>dattvā</w:t>
      </w:r>
      <w:r>
        <w:t xml:space="preserve"> instead of </w:t>
      </w:r>
      <w:r>
        <w:rPr>
          <w:rStyle w:val="Foreign"/>
        </w:rPr>
        <w:t>dattā</w:t>
      </w:r>
      <w:r>
        <w:t xml:space="preserve">; </w:t>
      </w:r>
      <w:r>
        <w:rPr>
          <w:rStyle w:val="Foreign"/>
        </w:rPr>
        <w:t>rakṣya</w:t>
      </w:r>
      <w:r>
        <w:t xml:space="preserve"> instead of </w:t>
      </w:r>
      <w:r>
        <w:rPr>
          <w:rStyle w:val="Foreign"/>
        </w:rPr>
        <w:t>rakṣa</w:t>
      </w:r>
      <w:r>
        <w:t>)</w:t>
      </w:r>
    </w:p>
    <w:p>
      <w:pPr>
        <w:pStyle w:val="Lista"/>
      </w:pPr>
      <w:r>
        <w:t>the degree to which you rectify an anomalous reading need not be absolute: the aim is not to copy-edit the source text to some hypothetical standard of language but to render it more comprehensible and indexable with a minimum of invasiveness</w:t>
      </w:r>
    </w:p>
    <w:p>
      <w:pPr>
        <w:pStyle w:val="Lista2"/>
      </w:pPr>
      <w:r>
        <w:t>when a document contains trivial linguistic anomalies that you ignore (§</w:t>
      </w:r>
      <w:r>
        <w:fldChar w:fldCharType="begin"/>
      </w:r>
      <w:r>
        <w:instrText xml:space="preserve"> REF _Ref228976848 \r \h </w:instrText>
      </w:r>
      <w:r>
        <w:fldChar w:fldCharType="separate"/>
      </w:r>
      <w:r>
        <w:t>7.3</w:t>
      </w:r>
      <w:r>
        <w:fldChar w:fldCharType="end"/>
      </w:r>
      <w:r>
        <w:t xml:space="preserve">), your rectified readings should preferably also contain similar anomalies where applicable; for example if the document normally doubles nasals after </w:t>
      </w:r>
      <w:r>
        <w:rPr>
          <w:rStyle w:val="Foreign"/>
        </w:rPr>
        <w:t>r</w:t>
      </w:r>
      <w:r>
        <w:t>, then</w:t>
      </w:r>
    </w:p>
    <w:p>
      <w:pPr>
        <w:pStyle w:val="Lista3"/>
      </w:pPr>
      <w:r>
        <w:t xml:space="preserve">correct </w:t>
      </w:r>
      <w:r>
        <w:rPr>
          <w:rStyle w:val="Foreign"/>
        </w:rPr>
        <w:t>karppa</w:t>
      </w:r>
      <w:r>
        <w:t xml:space="preserve"> to </w:t>
      </w:r>
      <w:r>
        <w:rPr>
          <w:rStyle w:val="Foreign"/>
        </w:rPr>
        <w:t>karmma</w:t>
      </w:r>
      <w:r>
        <w:t xml:space="preserve"> </w:t>
      </w:r>
      <w:r>
        <w:rPr>
          <w:noProof/>
        </w:rPr>
        <w:t>(</w:t>
      </w:r>
      <w:r>
        <w:t xml:space="preserve">rather than </w:t>
      </w:r>
      <w:r>
        <w:rPr>
          <w:rStyle w:val="Foreign"/>
        </w:rPr>
        <w:t>karma</w:t>
      </w:r>
      <w:r>
        <w:t xml:space="preserve">) </w:t>
      </w:r>
    </w:p>
    <w:p>
      <w:pPr>
        <w:pStyle w:val="Lista3"/>
      </w:pPr>
      <w:r>
        <w:t xml:space="preserve">normalise </w:t>
      </w:r>
      <w:r>
        <w:rPr>
          <w:rStyle w:val="Foreign"/>
        </w:rPr>
        <w:t>varnna</w:t>
      </w:r>
      <w:r>
        <w:t xml:space="preserve"> to </w:t>
      </w:r>
      <w:r>
        <w:rPr>
          <w:rStyle w:val="Foreign"/>
        </w:rPr>
        <w:t>varṇṇa</w:t>
      </w:r>
      <w:r>
        <w:t xml:space="preserve"> </w:t>
      </w:r>
      <w:r>
        <w:rPr>
          <w:noProof/>
        </w:rPr>
        <w:t>(</w:t>
      </w:r>
      <w:r>
        <w:t xml:space="preserve">rather than </w:t>
      </w:r>
      <w:r>
        <w:rPr>
          <w:rStyle w:val="Foreign"/>
        </w:rPr>
        <w:t>varṇa</w:t>
      </w:r>
      <w:r>
        <w:t>)</w:t>
      </w:r>
    </w:p>
    <w:p>
      <w:pPr>
        <w:pStyle w:val="Lista2"/>
      </w:pPr>
      <w:r>
        <w:t xml:space="preserve">if a text consistently uses </w:t>
      </w:r>
      <w:r>
        <w:rPr>
          <w:rStyle w:val="Foreign"/>
        </w:rPr>
        <w:t>upadhmānīya</w:t>
      </w:r>
      <w:r>
        <w:t xml:space="preserve"> or </w:t>
      </w:r>
      <w:r>
        <w:rPr>
          <w:rStyle w:val="Foreign"/>
        </w:rPr>
        <w:t>jihvāmūlīya</w:t>
      </w:r>
      <w:r>
        <w:t xml:space="preserve">, and your correction involves the restitution of an omitted </w:t>
      </w:r>
      <w:r>
        <w:rPr>
          <w:rStyle w:val="Foreign"/>
        </w:rPr>
        <w:t>visarga</w:t>
      </w:r>
      <w:r>
        <w:t xml:space="preserve"> in a phonemic context that would call for one of these forms, then supply </w:t>
      </w:r>
      <w:r>
        <w:rPr>
          <w:rStyle w:val="Foreign"/>
        </w:rPr>
        <w:t>upadhmānīya</w:t>
      </w:r>
      <w:r>
        <w:t xml:space="preserve"> or </w:t>
      </w:r>
      <w:r>
        <w:rPr>
          <w:rStyle w:val="Foreign"/>
        </w:rPr>
        <w:t>jihvāmūlīya</w:t>
      </w:r>
      <w:r>
        <w:t xml:space="preserve"> instead of a regular </w:t>
      </w:r>
      <w:r>
        <w:rPr>
          <w:rStyle w:val="Foreign"/>
        </w:rPr>
        <w:t>visarga</w:t>
      </w:r>
      <w:r>
        <w:t>,</w:t>
      </w:r>
    </w:p>
    <w:p>
      <w:pPr>
        <w:pStyle w:val="Lista3"/>
      </w:pPr>
      <w:r>
        <w:t xml:space="preserve">e.g. </w:t>
      </w:r>
      <w:r>
        <w:rPr>
          <w:rStyle w:val="Codetext"/>
        </w:rPr>
        <w:t>sarvva-rājocchettu</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ḫ</w:t>
      </w:r>
      <w:r>
        <w:rPr>
          <w:rStyle w:val="Code"/>
        </w:rPr>
        <w:t>&lt;/supplied&gt;</w:t>
      </w:r>
      <w:r>
        <w:rPr>
          <w:rStyle w:val="Codetext"/>
        </w:rPr>
        <w:t xml:space="preserve"> pr̥thivyām apratirathasya</w:t>
      </w:r>
    </w:p>
    <w:p>
      <w:pPr>
        <w:pStyle w:val="Lista2"/>
      </w:pPr>
      <w:r>
        <w:t>as far as possible, presuppose a plausible minimum of scribal error, and thus impose a plausible minimum of editorial rectification to obtain reasonably correct text; for example,</w:t>
      </w:r>
    </w:p>
    <w:p>
      <w:pPr>
        <w:pStyle w:val="Lista3"/>
      </w:pPr>
      <w:r>
        <w:t xml:space="preserve">correct </w:t>
      </w:r>
      <w:r>
        <w:rPr>
          <w:rStyle w:val="Foreign"/>
        </w:rPr>
        <w:t>karpa</w:t>
      </w:r>
      <w:r>
        <w:t xml:space="preserve"> to </w:t>
      </w:r>
      <w:r>
        <w:rPr>
          <w:rStyle w:val="Foreign"/>
        </w:rPr>
        <w:t>karma</w:t>
      </w:r>
      <w:r>
        <w:t xml:space="preserve"> </w:t>
      </w:r>
      <w:r>
        <w:rPr>
          <w:noProof/>
        </w:rPr>
        <w:t xml:space="preserve">(even if the </w:t>
      </w:r>
      <w:r>
        <w:rPr>
          <w:rStyle w:val="Foreign"/>
        </w:rPr>
        <w:t>karmma</w:t>
      </w:r>
      <w:r>
        <w:t xml:space="preserve"> would be expected in the document), assuming the simple mistake of inscribing </w:t>
      </w:r>
      <w:r>
        <w:rPr>
          <w:rStyle w:val="Foreign"/>
        </w:rPr>
        <w:t>p</w:t>
      </w:r>
      <w:r>
        <w:t xml:space="preserve"> in place of </w:t>
      </w:r>
      <w:r>
        <w:rPr>
          <w:rStyle w:val="Foreign"/>
        </w:rPr>
        <w:t>m</w:t>
      </w:r>
      <w:r>
        <w:t xml:space="preserve"> rather than the complex mistake of inscribing </w:t>
      </w:r>
      <w:r>
        <w:rPr>
          <w:rStyle w:val="Foreign"/>
        </w:rPr>
        <w:t>p</w:t>
      </w:r>
      <w:r>
        <w:t xml:space="preserve"> for </w:t>
      </w:r>
      <w:r>
        <w:rPr>
          <w:rStyle w:val="Foreign"/>
        </w:rPr>
        <w:t>mm</w:t>
      </w:r>
    </w:p>
    <w:p>
      <w:pPr>
        <w:pStyle w:val="Lista3"/>
      </w:pPr>
      <w:r>
        <w:t xml:space="preserve">correct </w:t>
      </w:r>
      <w:r>
        <w:rPr>
          <w:rStyle w:val="Foreign"/>
        </w:rPr>
        <w:t>viṅgati</w:t>
      </w:r>
      <w:r>
        <w:t xml:space="preserve"> to </w:t>
      </w:r>
      <w:r>
        <w:rPr>
          <w:rStyle w:val="Foreign"/>
        </w:rPr>
        <w:t>viṅśati</w:t>
      </w:r>
      <w:r>
        <w:t xml:space="preserve"> </w:t>
      </w:r>
      <w:r>
        <w:rPr>
          <w:noProof/>
        </w:rPr>
        <w:t>(</w:t>
      </w:r>
      <w:r>
        <w:t xml:space="preserve">rather than fully standard </w:t>
      </w:r>
      <w:r>
        <w:rPr>
          <w:rStyle w:val="Foreign"/>
        </w:rPr>
        <w:t>viṁśati</w:t>
      </w:r>
      <w:r>
        <w:t xml:space="preserve">), assuming the simple mistake of inscribing </w:t>
      </w:r>
      <w:r>
        <w:rPr>
          <w:rStyle w:val="Foreign"/>
        </w:rPr>
        <w:t>ṅga</w:t>
      </w:r>
      <w:r>
        <w:t xml:space="preserve"> in place of </w:t>
      </w:r>
      <w:r>
        <w:rPr>
          <w:rStyle w:val="Foreign"/>
        </w:rPr>
        <w:t>ṅśa</w:t>
      </w:r>
      <w:r>
        <w:t xml:space="preserve"> rather than the complex mistake of inscribing </w:t>
      </w:r>
      <w:r>
        <w:rPr>
          <w:rStyle w:val="Foreign"/>
        </w:rPr>
        <w:t>ṅga</w:t>
      </w:r>
      <w:r>
        <w:t xml:space="preserve"> in place of </w:t>
      </w:r>
      <w:r>
        <w:rPr>
          <w:rStyle w:val="Foreign"/>
        </w:rPr>
        <w:t>śa</w:t>
      </w:r>
      <w:r>
        <w:t xml:space="preserve"> and simultaneously omitting an </w:t>
      </w:r>
      <w:r>
        <w:rPr>
          <w:rStyle w:val="Foreign"/>
        </w:rPr>
        <w:t>anusvāra</w:t>
      </w:r>
      <w:r>
        <w:t xml:space="preserve"> </w:t>
      </w:r>
    </w:p>
    <w:p>
      <w:pPr>
        <w:pStyle w:val="Lista3"/>
      </w:pPr>
      <w:r>
        <w:t xml:space="preserve">correct </w:t>
      </w:r>
      <w:r>
        <w:rPr>
          <w:rStyle w:val="Foreign"/>
        </w:rPr>
        <w:t>viśati</w:t>
      </w:r>
      <w:r>
        <w:t xml:space="preserve"> to </w:t>
      </w:r>
      <w:r>
        <w:rPr>
          <w:rStyle w:val="Foreign"/>
        </w:rPr>
        <w:t>viṁśati</w:t>
      </w:r>
      <w:r>
        <w:t xml:space="preserve"> </w:t>
      </w:r>
      <w:r>
        <w:rPr>
          <w:noProof/>
        </w:rPr>
        <w:t>(</w:t>
      </w:r>
      <w:r>
        <w:t xml:space="preserve">even if </w:t>
      </w:r>
      <w:r>
        <w:rPr>
          <w:rStyle w:val="Foreign"/>
        </w:rPr>
        <w:t>viṅśati</w:t>
      </w:r>
      <w:r>
        <w:t xml:space="preserve"> would be expected in the document), assuming the simple mistake of omitting an </w:t>
      </w:r>
      <w:r>
        <w:rPr>
          <w:rStyle w:val="Foreign"/>
        </w:rPr>
        <w:t>anusvāra</w:t>
      </w:r>
      <w:r>
        <w:t xml:space="preserve"> rather than the complex mistake of inscribing </w:t>
      </w:r>
      <w:r>
        <w:rPr>
          <w:rStyle w:val="Foreign"/>
        </w:rPr>
        <w:t>śa</w:t>
      </w:r>
      <w:r>
        <w:t xml:space="preserve"> instead of </w:t>
      </w:r>
      <w:r>
        <w:rPr>
          <w:rStyle w:val="Foreign"/>
        </w:rPr>
        <w:t>ṅśa</w:t>
      </w:r>
    </w:p>
    <w:p>
      <w:pPr>
        <w:pStyle w:val="Lista3"/>
      </w:pPr>
      <w:r>
        <w:t xml:space="preserve">should you feel the need, feel free to add normalisation on top of a correction </w:t>
      </w:r>
      <w:r>
        <w:rPr>
          <w:noProof/>
        </w:rPr>
        <w:t>(</w:t>
      </w:r>
      <w:r>
        <w:t>§</w:t>
      </w:r>
      <w:r>
        <w:fldChar w:fldCharType="begin"/>
      </w:r>
      <w:r>
        <w:instrText xml:space="preserve"> REF _Ref43988493 \w \h  \* MERGEFORMAT </w:instrText>
      </w:r>
      <w:r>
        <w:fldChar w:fldCharType="separate"/>
      </w:r>
      <w:r>
        <w:t>7.7.5</w:t>
      </w:r>
      <w:r>
        <w:fldChar w:fldCharType="end"/>
      </w:r>
      <w:r>
        <w:t>)</w:t>
      </w:r>
    </w:p>
    <w:p>
      <w:pPr>
        <w:pStyle w:val="Cmsor3"/>
      </w:pPr>
      <w:bookmarkStart w:id="598" w:name="_Ref229057056"/>
      <w:bookmarkStart w:id="599" w:name="_Toc242976656"/>
      <w:r>
        <w:lastRenderedPageBreak/>
        <w:t>Substitution</w:t>
      </w:r>
      <w:bookmarkEnd w:id="598"/>
      <w:bookmarkEnd w:id="599"/>
    </w:p>
    <w:p>
      <w:pPr>
        <w:pStyle w:val="Cmsor4"/>
      </w:pPr>
      <w:bookmarkStart w:id="600" w:name="_Ref229056089"/>
      <w:r>
        <w:t>Correction by substitution</w:t>
      </w:r>
      <w:bookmarkEnd w:id="600"/>
    </w:p>
    <w:p>
      <w:pPr>
        <w:pStyle w:val="Lista"/>
      </w:pPr>
      <w:r>
        <w:t>to correct a reading deemed erroneous,</w:t>
      </w:r>
    </w:p>
    <w:p>
      <w:pPr>
        <w:pStyle w:val="Lista2"/>
      </w:pPr>
      <w:r>
        <w:t xml:space="preserve">flag the original text with </w:t>
      </w:r>
      <w:r>
        <w:rPr>
          <w:rStyle w:val="Code"/>
        </w:rPr>
        <w:t>&lt;sic&gt;</w:t>
      </w:r>
    </w:p>
    <w:p>
      <w:pPr>
        <w:pStyle w:val="Lista2"/>
      </w:pPr>
      <w:r>
        <w:t xml:space="preserve">add the corrected alternative directly after this, wrapped in the element </w:t>
      </w:r>
      <w:r>
        <w:rPr>
          <w:rStyle w:val="Code"/>
        </w:rPr>
        <w:t>&lt;corr&gt;</w:t>
      </w:r>
    </w:p>
    <w:p>
      <w:pPr>
        <w:pStyle w:val="Lista2"/>
      </w:pPr>
      <w:r>
        <w:t xml:space="preserve">and wrap both these elements together in the element </w:t>
      </w:r>
      <w:r>
        <w:rPr>
          <w:rStyle w:val="Code"/>
        </w:rPr>
        <w:t>&lt;choice&gt;</w:t>
      </w:r>
      <w:r>
        <w:t>, indicating that either, but not both, of the two is to be read at the given locus</w:t>
      </w:r>
    </w:p>
    <w:p>
      <w:pPr>
        <w:pStyle w:val="Lista2"/>
      </w:pPr>
      <w:r>
        <w:t>for the sake of consistency, the received reading shall always precede the editorial reading in DHARMA editions</w:t>
      </w:r>
    </w:p>
    <w:p>
      <w:pPr>
        <w:pStyle w:val="Lista"/>
      </w:pPr>
      <w:r>
        <w:t xml:space="preserve">for example: </w:t>
      </w:r>
      <w:r>
        <w:rPr>
          <w:rStyle w:val="Codetext"/>
        </w:rPr>
        <w:t>mahār</w:t>
      </w:r>
      <w:r>
        <w:rPr>
          <w:rStyle w:val="Code"/>
        </w:rPr>
        <w:t>&lt;choice&gt;&lt;sic&gt;</w:t>
      </w:r>
      <w:r>
        <w:rPr>
          <w:rStyle w:val="Codetext"/>
        </w:rPr>
        <w:t>a</w:t>
      </w:r>
      <w:r>
        <w:rPr>
          <w:rStyle w:val="Code"/>
        </w:rPr>
        <w:t>&lt;/sic&gt;&lt;corr&gt;</w:t>
      </w:r>
      <w:r>
        <w:rPr>
          <w:rStyle w:val="Codetext"/>
        </w:rPr>
        <w:t>ā</w:t>
      </w:r>
      <w:r>
        <w:rPr>
          <w:rStyle w:val="Code"/>
        </w:rPr>
        <w:t>&lt;/corr&gt;&lt;/choice&gt;</w:t>
      </w:r>
      <w:r>
        <w:rPr>
          <w:rStyle w:val="Codetext"/>
        </w:rPr>
        <w:t>ja</w:t>
      </w:r>
      <w:r>
        <w:t xml:space="preserve"> </w:t>
      </w:r>
      <w:r>
        <w:rPr>
          <w:noProof/>
        </w:rPr>
        <w:t>(</w:t>
      </w:r>
      <w:r>
        <w:rPr>
          <w:rStyle w:val="Foreign"/>
        </w:rPr>
        <w:t>a</w:t>
      </w:r>
      <w:r>
        <w:t xml:space="preserve"> corrected to </w:t>
      </w:r>
      <w:r>
        <w:rPr>
          <w:rStyle w:val="Foreign"/>
        </w:rPr>
        <w:t>ā</w:t>
      </w:r>
      <w:r>
        <w:t>)</w:t>
      </w:r>
    </w:p>
    <w:p>
      <w:pPr>
        <w:pStyle w:val="Cmsor4"/>
      </w:pPr>
      <w:bookmarkStart w:id="601" w:name="_26gcps9vrjkt" w:colFirst="0" w:colLast="0"/>
      <w:bookmarkStart w:id="602" w:name="_Ref228885848"/>
      <w:bookmarkStart w:id="603" w:name="_Ref228888134"/>
      <w:bookmarkStart w:id="604" w:name="_Ref43988286"/>
      <w:bookmarkEnd w:id="601"/>
      <w:r>
        <w:t>Normalisation by substitution</w:t>
      </w:r>
      <w:bookmarkEnd w:id="602"/>
      <w:bookmarkEnd w:id="603"/>
    </w:p>
    <w:p>
      <w:pPr>
        <w:pStyle w:val="Lista"/>
      </w:pPr>
      <w:r>
        <w:t>to normalise a reading deemed non-standard,</w:t>
      </w:r>
    </w:p>
    <w:p>
      <w:pPr>
        <w:pStyle w:val="Lista2"/>
      </w:pPr>
      <w:r>
        <w:t xml:space="preserve">flag the original text with </w:t>
      </w:r>
      <w:r>
        <w:rPr>
          <w:rStyle w:val="Code"/>
        </w:rPr>
        <w:t>&lt;orig&gt;</w:t>
      </w:r>
    </w:p>
    <w:p>
      <w:pPr>
        <w:pStyle w:val="Lista2"/>
      </w:pPr>
      <w:r>
        <w:t xml:space="preserve">add the normalised alternative directly after this, wrapped in the element </w:t>
      </w:r>
      <w:r>
        <w:rPr>
          <w:rStyle w:val="Code"/>
        </w:rPr>
        <w:t>&lt;reg&gt;</w:t>
      </w:r>
    </w:p>
    <w:p>
      <w:pPr>
        <w:pStyle w:val="Lista2"/>
      </w:pPr>
      <w:r>
        <w:t xml:space="preserve">and wrap both these elements together in the element </w:t>
      </w:r>
      <w:r>
        <w:rPr>
          <w:rStyle w:val="Code"/>
        </w:rPr>
        <w:t>&lt;choice&gt;</w:t>
      </w:r>
      <w:r>
        <w:t>, indicating that either, but not both, of the two is to be read at the given locus</w:t>
      </w:r>
    </w:p>
    <w:p>
      <w:pPr>
        <w:pStyle w:val="Lista2"/>
      </w:pPr>
      <w:r>
        <w:t>for the sake of consistency, the received reading shall always precede the editorial reading in DHARMA editions</w:t>
      </w:r>
    </w:p>
    <w:p>
      <w:pPr>
        <w:pStyle w:val="Lista"/>
      </w:pPr>
      <w:r>
        <w:t xml:space="preserve">for example: </w:t>
      </w:r>
      <w:r>
        <w:rPr>
          <w:rStyle w:val="Codetext"/>
        </w:rPr>
        <w:t>e</w:t>
      </w:r>
      <w:r>
        <w:rPr>
          <w:rStyle w:val="Code"/>
        </w:rPr>
        <w:t>&lt;choice&gt;&lt;orig&gt;</w:t>
      </w:r>
      <w:r>
        <w:rPr>
          <w:rStyle w:val="Codetext"/>
        </w:rPr>
        <w:t>ś</w:t>
      </w:r>
      <w:r>
        <w:rPr>
          <w:rStyle w:val="Code"/>
        </w:rPr>
        <w:t>&lt;/orig&gt;&lt;reg&gt;</w:t>
      </w:r>
      <w:r>
        <w:rPr>
          <w:rStyle w:val="Codetext"/>
        </w:rPr>
        <w:t>ṣ</w:t>
      </w:r>
      <w:r>
        <w:rPr>
          <w:rStyle w:val="Code"/>
        </w:rPr>
        <w:t>&lt;/reg&gt;&lt;/choice&gt;</w:t>
      </w:r>
      <w:r>
        <w:rPr>
          <w:rStyle w:val="Codetext"/>
        </w:rPr>
        <w:t>a</w:t>
      </w:r>
      <w:r>
        <w:t xml:space="preserve"> </w:t>
      </w:r>
      <w:r>
        <w:rPr>
          <w:noProof/>
        </w:rPr>
        <w:t>(</w:t>
      </w:r>
      <w:r>
        <w:rPr>
          <w:rStyle w:val="Foreign"/>
        </w:rPr>
        <w:t>eśa</w:t>
      </w:r>
      <w:r>
        <w:t xml:space="preserve"> normalised to </w:t>
      </w:r>
      <w:r>
        <w:rPr>
          <w:rStyle w:val="Foreign"/>
        </w:rPr>
        <w:t>eṣa</w:t>
      </w:r>
      <w:r>
        <w:t>)</w:t>
      </w:r>
    </w:p>
    <w:p>
      <w:pPr>
        <w:pStyle w:val="Cmsor4"/>
      </w:pPr>
      <w:bookmarkStart w:id="605" w:name="_Ref229056247"/>
      <w:r>
        <w:t>Textual integrity in substitution</w:t>
      </w:r>
      <w:bookmarkEnd w:id="605"/>
    </w:p>
    <w:p>
      <w:r>
        <w:t xml:space="preserve">When rectifying an anomalous reading by substitution, keep in mind that it must always be possible to produce the pristine received text by ignoring the segment tagged with </w:t>
      </w:r>
      <w:r>
        <w:rPr>
          <w:rStyle w:val="Code"/>
        </w:rPr>
        <w:t>&lt;corr&gt;</w:t>
      </w:r>
      <w:r>
        <w:t xml:space="preserve"> or </w:t>
      </w:r>
      <w:r>
        <w:rPr>
          <w:rStyle w:val="Code"/>
        </w:rPr>
        <w:t>&lt;reg&gt;</w:t>
      </w:r>
      <w:r>
        <w:t xml:space="preserve"> and, vice versa, to produce the pure rectified text by ignoring the segment tagged with </w:t>
      </w:r>
      <w:r>
        <w:rPr>
          <w:rStyle w:val="Code"/>
        </w:rPr>
        <w:t>&lt;sic&gt;</w:t>
      </w:r>
      <w:r>
        <w:t xml:space="preserve"> or </w:t>
      </w:r>
      <w:r>
        <w:rPr>
          <w:rStyle w:val="Code"/>
        </w:rPr>
        <w:t>&lt;orig&gt;</w:t>
      </w:r>
      <w:r>
        <w:t>. In other words, the tag for the received text must contain a segment exactly corresponding to that contained in the tag for the rectified text. Word boundaries, indicated by editorial spacing or hyphenation in our editions, may be separable in only one of the textual alternatives, in which case care must be taken to include the space or hyphen only in the applicable tag, but not in the other tag or outside the encoded intervention.</w:t>
      </w:r>
    </w:p>
    <w:p>
      <w:pPr>
        <w:pStyle w:val="Lista"/>
      </w:pPr>
      <w:r>
        <w:t>if you choose to include any context in your intervention (§</w:t>
      </w:r>
      <w:r>
        <w:fldChar w:fldCharType="begin"/>
      </w:r>
      <w:r>
        <w:instrText xml:space="preserve"> REF _Ref228973253 \r \h </w:instrText>
      </w:r>
      <w:r>
        <w:fldChar w:fldCharType="separate"/>
      </w:r>
      <w:r>
        <w:t>7.7.2</w:t>
      </w:r>
      <w:r>
        <w:fldChar w:fldCharType="end"/>
      </w:r>
      <w:r>
        <w:t>), then the context must be identically present in both of the tags, while if you exclude context, then care must be taken to exclude context from both tags; for example,</w:t>
      </w:r>
    </w:p>
    <w:p>
      <w:pPr>
        <w:pStyle w:val="Lista2"/>
      </w:pPr>
      <w:r>
        <w:t xml:space="preserve">in encoding a correction of </w:t>
      </w:r>
      <w:r>
        <w:rPr>
          <w:rStyle w:val="Foreign"/>
        </w:rPr>
        <w:t>pautrāḥ</w:t>
      </w:r>
      <w:r>
        <w:t xml:space="preserve"> to </w:t>
      </w:r>
      <w:r>
        <w:rPr>
          <w:rStyle w:val="Foreign"/>
        </w:rPr>
        <w:t>pautraḥ</w:t>
      </w:r>
      <w:r>
        <w:t>, each of the following are correct:</w:t>
      </w:r>
    </w:p>
    <w:p>
      <w:pPr>
        <w:pStyle w:val="Lista3"/>
      </w:pPr>
      <w:r>
        <w:rPr>
          <w:rStyle w:val="Codetext"/>
        </w:rPr>
        <w:t>pautr</w:t>
      </w:r>
      <w:r>
        <w:rPr>
          <w:rStyle w:val="Code"/>
        </w:rPr>
        <w:t>&lt;choice&gt;&lt;sic&gt;</w:t>
      </w:r>
      <w:r>
        <w:rPr>
          <w:rStyle w:val="Codetext"/>
        </w:rPr>
        <w:t>ā</w:t>
      </w:r>
      <w:r>
        <w:rPr>
          <w:rStyle w:val="Code"/>
        </w:rPr>
        <w:t>&lt;/sic&gt;&lt;corr&gt;</w:t>
      </w:r>
      <w:r>
        <w:rPr>
          <w:rStyle w:val="Codetext"/>
        </w:rPr>
        <w:t>a</w:t>
      </w:r>
      <w:r>
        <w:rPr>
          <w:rStyle w:val="Code"/>
        </w:rPr>
        <w:t>&lt;/corr&gt;&lt;/choice&gt;</w:t>
      </w:r>
      <w:r>
        <w:rPr>
          <w:rStyle w:val="Codetext"/>
        </w:rPr>
        <w:t>ḥ</w:t>
      </w:r>
      <w:r>
        <w:t xml:space="preserve"> </w:t>
      </w:r>
      <w:r>
        <w:rPr>
          <w:noProof/>
        </w:rPr>
        <w:t>(</w:t>
      </w:r>
      <w:r>
        <w:t>targeting a single grapheme)</w:t>
      </w:r>
    </w:p>
    <w:p>
      <w:pPr>
        <w:pStyle w:val="Lista3"/>
      </w:pPr>
      <w:r>
        <w:rPr>
          <w:rStyle w:val="Codetext"/>
        </w:rPr>
        <w:t>pautr</w:t>
      </w:r>
      <w:r>
        <w:rPr>
          <w:rStyle w:val="Code"/>
        </w:rPr>
        <w:t>&lt;choice&gt;&lt;sic&gt;</w:t>
      </w:r>
      <w:r>
        <w:rPr>
          <w:rStyle w:val="Codetext"/>
        </w:rPr>
        <w:t>āḥ</w:t>
      </w:r>
      <w:r>
        <w:rPr>
          <w:rStyle w:val="Code"/>
        </w:rPr>
        <w:t>&lt;/sic&gt;&lt;corr&gt;</w:t>
      </w:r>
      <w:r>
        <w:rPr>
          <w:rStyle w:val="Codetext"/>
        </w:rPr>
        <w:t>aḥ</w:t>
      </w:r>
      <w:r>
        <w:rPr>
          <w:rStyle w:val="Code"/>
        </w:rPr>
        <w:t>&lt;/corr&gt;&lt;/choice&gt;</w:t>
      </w:r>
      <w:r>
        <w:t xml:space="preserve"> </w:t>
      </w:r>
      <w:r>
        <w:rPr>
          <w:noProof/>
        </w:rPr>
        <w:t>(</w:t>
      </w:r>
      <w:r>
        <w:t>including relevant context)</w:t>
      </w:r>
    </w:p>
    <w:p>
      <w:pPr>
        <w:pStyle w:val="Lista3"/>
      </w:pPr>
      <w:r>
        <w:t>but each of the following are incorrect:</w:t>
      </w:r>
    </w:p>
    <w:p>
      <w:pPr>
        <w:pStyle w:val="Lista4"/>
      </w:pPr>
      <w:r>
        <w:rPr>
          <w:rStyle w:val="Codetext"/>
        </w:rPr>
        <w:t>pautr</w:t>
      </w:r>
      <w:r>
        <w:rPr>
          <w:rStyle w:val="Code"/>
        </w:rPr>
        <w:t>&lt;choice&gt;&lt;sic&gt;</w:t>
      </w:r>
      <w:r>
        <w:rPr>
          <w:rStyle w:val="Codetext"/>
        </w:rPr>
        <w:t>āḥ</w:t>
      </w:r>
      <w:r>
        <w:rPr>
          <w:rStyle w:val="Code"/>
        </w:rPr>
        <w:t>&lt;/sic&gt;&lt;corr&gt;</w:t>
      </w:r>
      <w:r>
        <w:rPr>
          <w:rStyle w:val="Codetext"/>
        </w:rPr>
        <w:t>a</w:t>
      </w:r>
      <w:r>
        <w:rPr>
          <w:rStyle w:val="Code"/>
        </w:rPr>
        <w:t>&lt;/corr&gt;&lt;/choice&gt;</w:t>
      </w:r>
      <w:r>
        <w:rPr>
          <w:rStyle w:val="Codetext"/>
        </w:rPr>
        <w:t>ḥ</w:t>
      </w:r>
      <w:r>
        <w:t xml:space="preserve"> </w:t>
      </w:r>
      <w:r>
        <w:rPr>
          <w:noProof/>
        </w:rPr>
        <w:t>(</w:t>
      </w:r>
      <w:r>
        <w:t xml:space="preserve">this would mean a correction of </w:t>
      </w:r>
      <w:r>
        <w:rPr>
          <w:rStyle w:val="Foreign"/>
        </w:rPr>
        <w:t>pautrāḥḥ</w:t>
      </w:r>
      <w:r>
        <w:t xml:space="preserve"> to </w:t>
      </w:r>
      <w:r>
        <w:rPr>
          <w:rStyle w:val="Foreign"/>
        </w:rPr>
        <w:t>pautraḥ</w:t>
      </w:r>
      <w:r>
        <w:t>)</w:t>
      </w:r>
    </w:p>
    <w:p>
      <w:pPr>
        <w:pStyle w:val="Lista4"/>
      </w:pPr>
      <w:r>
        <w:rPr>
          <w:rStyle w:val="Codetext"/>
        </w:rPr>
        <w:t>pautr</w:t>
      </w:r>
      <w:r>
        <w:rPr>
          <w:rStyle w:val="Code"/>
        </w:rPr>
        <w:t>&lt;choice&gt;&lt;sic&gt;</w:t>
      </w:r>
      <w:r>
        <w:rPr>
          <w:rStyle w:val="Codetext"/>
        </w:rPr>
        <w:t>ā</w:t>
      </w:r>
      <w:r>
        <w:rPr>
          <w:rStyle w:val="Code"/>
        </w:rPr>
        <w:t>&lt;/sic&gt;&lt;corr&gt;</w:t>
      </w:r>
      <w:r>
        <w:rPr>
          <w:rStyle w:val="Codetext"/>
        </w:rPr>
        <w:t>ra</w:t>
      </w:r>
      <w:r>
        <w:rPr>
          <w:rStyle w:val="Code"/>
        </w:rPr>
        <w:t>&lt;/corr&gt;&lt;/choice&gt;</w:t>
      </w:r>
      <w:r>
        <w:rPr>
          <w:rStyle w:val="Codetext"/>
        </w:rPr>
        <w:t>ḥ</w:t>
      </w:r>
      <w:r>
        <w:t xml:space="preserve"> </w:t>
      </w:r>
      <w:r>
        <w:rPr>
          <w:noProof/>
        </w:rPr>
        <w:t>(</w:t>
      </w:r>
      <w:r>
        <w:t xml:space="preserve">this would mean a correction of </w:t>
      </w:r>
      <w:r>
        <w:rPr>
          <w:rStyle w:val="Foreign"/>
        </w:rPr>
        <w:t>pautrāḥ</w:t>
      </w:r>
      <w:r>
        <w:t xml:space="preserve"> to </w:t>
      </w:r>
      <w:r>
        <w:rPr>
          <w:rStyle w:val="Foreign"/>
        </w:rPr>
        <w:t>pautrraḥ</w:t>
      </w:r>
      <w:r>
        <w:t>)</w:t>
      </w:r>
    </w:p>
    <w:p>
      <w:pPr>
        <w:pStyle w:val="Lista4"/>
      </w:pPr>
      <w:r>
        <w:rPr>
          <w:rStyle w:val="Codetext"/>
        </w:rPr>
        <w:t>paut</w:t>
      </w:r>
      <w:r>
        <w:rPr>
          <w:rStyle w:val="Code"/>
        </w:rPr>
        <w:t>&lt;choice&gt;&lt;sic&gt;</w:t>
      </w:r>
      <w:r>
        <w:rPr>
          <w:rStyle w:val="Codetext"/>
        </w:rPr>
        <w:t>rāḥ</w:t>
      </w:r>
      <w:r>
        <w:rPr>
          <w:rStyle w:val="Code"/>
        </w:rPr>
        <w:t>&lt;/sic&gt;&lt;corr&gt;</w:t>
      </w:r>
      <w:r>
        <w:rPr>
          <w:rStyle w:val="Codetext"/>
        </w:rPr>
        <w:t>aḥ</w:t>
      </w:r>
      <w:r>
        <w:rPr>
          <w:rStyle w:val="Code"/>
        </w:rPr>
        <w:t>&lt;/corr&gt;&lt;/choice&gt;</w:t>
      </w:r>
      <w:r>
        <w:t xml:space="preserve"> </w:t>
      </w:r>
      <w:r>
        <w:rPr>
          <w:noProof/>
        </w:rPr>
        <w:t>(</w:t>
      </w:r>
      <w:r>
        <w:t xml:space="preserve">this encodes a correction of </w:t>
      </w:r>
      <w:r>
        <w:rPr>
          <w:rStyle w:val="Foreign"/>
        </w:rPr>
        <w:t>pautrāḥ</w:t>
      </w:r>
      <w:r>
        <w:t xml:space="preserve"> to </w:t>
      </w:r>
      <w:r>
        <w:rPr>
          <w:rStyle w:val="Foreign"/>
        </w:rPr>
        <w:t>pautaḥ</w:t>
      </w:r>
      <w:r>
        <w:t>)</w:t>
      </w:r>
    </w:p>
    <w:p>
      <w:pPr>
        <w:pStyle w:val="Lista2"/>
      </w:pPr>
      <w:r>
        <w:t xml:space="preserve">in encoding a normalisation of </w:t>
      </w:r>
      <w:r>
        <w:rPr>
          <w:rStyle w:val="Foreign"/>
        </w:rPr>
        <w:t>yathāruha</w:t>
      </w:r>
      <w:r>
        <w:t xml:space="preserve"> to </w:t>
      </w:r>
      <w:r>
        <w:rPr>
          <w:rStyle w:val="Foreign"/>
        </w:rPr>
        <w:t>yathārhaṁ</w:t>
      </w:r>
      <w:r>
        <w:t>, each of the following are correct:</w:t>
      </w:r>
    </w:p>
    <w:p>
      <w:pPr>
        <w:pStyle w:val="Lista3"/>
      </w:pPr>
      <w:r>
        <w:rPr>
          <w:rStyle w:val="Code"/>
        </w:rPr>
        <w:t>&lt;choice&gt;&lt;orig&gt;</w:t>
      </w:r>
      <w:r>
        <w:rPr>
          <w:rStyle w:val="Codetext"/>
        </w:rPr>
        <w:t>yathāruhaṁ</w:t>
      </w:r>
      <w:r>
        <w:rPr>
          <w:rStyle w:val="Code"/>
        </w:rPr>
        <w:t>&lt;/orig&gt;&lt;reg&gt;</w:t>
      </w:r>
      <w:r>
        <w:rPr>
          <w:rStyle w:val="Codetext"/>
        </w:rPr>
        <w:t>yathārhaṁ</w:t>
      </w:r>
      <w:r>
        <w:rPr>
          <w:rStyle w:val="Code"/>
        </w:rPr>
        <w:t>&lt;/reg&gt;&lt;/choice&gt;</w:t>
      </w:r>
      <w:r>
        <w:t xml:space="preserve"> </w:t>
      </w:r>
      <w:r>
        <w:rPr>
          <w:noProof/>
        </w:rPr>
        <w:t>(</w:t>
      </w:r>
      <w:r>
        <w:t>targeting a whole word)</w:t>
      </w:r>
    </w:p>
    <w:p>
      <w:pPr>
        <w:pStyle w:val="Lista3"/>
      </w:pPr>
      <w:r>
        <w:rPr>
          <w:rStyle w:val="Codetext"/>
        </w:rPr>
        <w:t>yathā</w:t>
      </w:r>
      <w:r>
        <w:rPr>
          <w:rStyle w:val="Code"/>
        </w:rPr>
        <w:t>&lt;choice&gt;&lt;orig&gt;r</w:t>
      </w:r>
      <w:r>
        <w:rPr>
          <w:rStyle w:val="Codetext"/>
        </w:rPr>
        <w:t>uha</w:t>
      </w:r>
      <w:r>
        <w:rPr>
          <w:rStyle w:val="Code"/>
        </w:rPr>
        <w:t>&lt;/orig&gt;&lt;reg&gt;</w:t>
      </w:r>
      <w:r>
        <w:rPr>
          <w:rStyle w:val="Codetext"/>
        </w:rPr>
        <w:t>rhaṁ</w:t>
      </w:r>
      <w:r>
        <w:rPr>
          <w:rStyle w:val="Code"/>
        </w:rPr>
        <w:t>&lt;/reg&gt;&lt;/choice&gt;</w:t>
      </w:r>
      <w:r>
        <w:t xml:space="preserve"> </w:t>
      </w:r>
      <w:r>
        <w:rPr>
          <w:noProof/>
        </w:rPr>
        <w:t>(</w:t>
      </w:r>
      <w:r>
        <w:t>including only minimal context)</w:t>
      </w:r>
    </w:p>
    <w:p>
      <w:pPr>
        <w:pStyle w:val="Lista3"/>
      </w:pPr>
      <w:r>
        <w:t>but each of the following are incorrect:</w:t>
      </w:r>
    </w:p>
    <w:p>
      <w:pPr>
        <w:pStyle w:val="Lista3"/>
      </w:pPr>
      <w:r>
        <w:rPr>
          <w:rStyle w:val="Code"/>
        </w:rPr>
        <w:t>&lt;choice&gt;&lt;orig&gt;</w:t>
      </w:r>
      <w:r>
        <w:rPr>
          <w:rStyle w:val="Codetext"/>
        </w:rPr>
        <w:t>yathāruha</w:t>
      </w:r>
      <w:r>
        <w:rPr>
          <w:rStyle w:val="Code"/>
        </w:rPr>
        <w:t>&lt;/orig&gt;&lt;reg&gt;</w:t>
      </w:r>
      <w:r>
        <w:rPr>
          <w:rStyle w:val="Codetext"/>
        </w:rPr>
        <w:t>yathārha</w:t>
      </w:r>
      <w:r>
        <w:rPr>
          <w:rStyle w:val="Code"/>
        </w:rPr>
        <w:t>&lt;/reg&gt;&lt;/choice&gt;</w:t>
      </w:r>
      <w:r>
        <w:rPr>
          <w:rStyle w:val="Codetext"/>
        </w:rPr>
        <w:t>ṁ</w:t>
      </w:r>
      <w:r>
        <w:t xml:space="preserve"> </w:t>
      </w:r>
      <w:r>
        <w:rPr>
          <w:noProof/>
        </w:rPr>
        <w:t>(</w:t>
      </w:r>
      <w:r>
        <w:t xml:space="preserve">this encodes a normalisation of </w:t>
      </w:r>
      <w:r>
        <w:rPr>
          <w:rStyle w:val="Foreign"/>
        </w:rPr>
        <w:t>yathāruhaṁ</w:t>
      </w:r>
      <w:r>
        <w:t xml:space="preserve"> to </w:t>
      </w:r>
      <w:r>
        <w:rPr>
          <w:rStyle w:val="Foreign"/>
        </w:rPr>
        <w:t>yathārhaṁ</w:t>
      </w:r>
      <w:r>
        <w:t>)</w:t>
      </w:r>
    </w:p>
    <w:p>
      <w:pPr>
        <w:pStyle w:val="Lista3"/>
      </w:pPr>
      <w:r>
        <w:rPr>
          <w:rStyle w:val="Code"/>
        </w:rPr>
        <w:lastRenderedPageBreak/>
        <w:t>&lt;choice&gt;&lt;orig&gt;</w:t>
      </w:r>
      <w:r>
        <w:rPr>
          <w:rStyle w:val="Codetext"/>
        </w:rPr>
        <w:t>yathāruha</w:t>
      </w:r>
      <w:r>
        <w:rPr>
          <w:rStyle w:val="Code"/>
        </w:rPr>
        <w:t>&lt;/orig&gt;&lt;reg&gt;</w:t>
      </w:r>
      <w:r>
        <w:rPr>
          <w:rStyle w:val="Codetext"/>
        </w:rPr>
        <w:t>rhaṁ</w:t>
      </w:r>
      <w:r>
        <w:rPr>
          <w:rStyle w:val="Code"/>
        </w:rPr>
        <w:t>&lt;/reg&gt;&lt;/choice&gt;</w:t>
      </w:r>
      <w:r>
        <w:t xml:space="preserve"> </w:t>
      </w:r>
      <w:r>
        <w:rPr>
          <w:noProof/>
        </w:rPr>
        <w:t>(</w:t>
      </w:r>
      <w:r>
        <w:t xml:space="preserve">this encodes a normalisation of </w:t>
      </w:r>
      <w:r>
        <w:rPr>
          <w:rStyle w:val="Foreign"/>
        </w:rPr>
        <w:t>yathāruha</w:t>
      </w:r>
      <w:r>
        <w:t xml:space="preserve"> to </w:t>
      </w:r>
      <w:r>
        <w:rPr>
          <w:rStyle w:val="Foreign"/>
        </w:rPr>
        <w:t>rhaṁ</w:t>
      </w:r>
      <w:r>
        <w:t>)</w:t>
      </w:r>
    </w:p>
    <w:p>
      <w:pPr>
        <w:pStyle w:val="Lista3"/>
      </w:pPr>
      <w:r>
        <w:rPr>
          <w:rStyle w:val="Codetext"/>
        </w:rPr>
        <w:t>yathār</w:t>
      </w:r>
      <w:r>
        <w:rPr>
          <w:rStyle w:val="Code"/>
        </w:rPr>
        <w:t>&lt;choice&gt;&lt;orig&gt;</w:t>
      </w:r>
      <w:r>
        <w:rPr>
          <w:rStyle w:val="Codetext"/>
        </w:rPr>
        <w:t>uha</w:t>
      </w:r>
      <w:r>
        <w:rPr>
          <w:rStyle w:val="Code"/>
        </w:rPr>
        <w:t>&lt;/orig&gt;&lt;reg&gt;</w:t>
      </w:r>
      <w:r>
        <w:rPr>
          <w:rStyle w:val="Codetext"/>
        </w:rPr>
        <w:t>rhaṁ</w:t>
      </w:r>
      <w:r>
        <w:rPr>
          <w:rStyle w:val="Code"/>
        </w:rPr>
        <w:t>&lt;/reg&gt;&lt;/choice&gt;</w:t>
      </w:r>
      <w:r>
        <w:t xml:space="preserve"> </w:t>
      </w:r>
      <w:r>
        <w:rPr>
          <w:noProof/>
        </w:rPr>
        <w:t>(</w:t>
      </w:r>
      <w:r>
        <w:t xml:space="preserve">this encodes a normalisation of </w:t>
      </w:r>
      <w:r>
        <w:rPr>
          <w:rStyle w:val="Foreign"/>
        </w:rPr>
        <w:t>yathāruha</w:t>
      </w:r>
      <w:r>
        <w:t xml:space="preserve"> to </w:t>
      </w:r>
      <w:r>
        <w:rPr>
          <w:rStyle w:val="Foreign"/>
        </w:rPr>
        <w:t>yathārrhaṁ</w:t>
      </w:r>
      <w:r>
        <w:t>)</w:t>
      </w:r>
    </w:p>
    <w:p>
      <w:pPr>
        <w:pStyle w:val="Lista"/>
      </w:pPr>
      <w:r>
        <w:t>when substitution involves a separable word boundary, take care to maintain the separation (space or hyphen) where, and only where, it is technically possible</w:t>
      </w:r>
    </w:p>
    <w:p>
      <w:pPr>
        <w:pStyle w:val="Lista2"/>
      </w:pPr>
      <w:r>
        <w:t>if both alternatives are separable, make sure that both are separated</w:t>
      </w:r>
    </w:p>
    <w:p>
      <w:pPr>
        <w:pStyle w:val="Lista3"/>
      </w:pPr>
      <w:r>
        <w:t xml:space="preserve">e.g. </w:t>
      </w:r>
      <w:r>
        <w:rPr>
          <w:rStyle w:val="Codetext"/>
        </w:rPr>
        <w:t>dān</w:t>
      </w:r>
      <w:r>
        <w:rPr>
          <w:rStyle w:val="Code"/>
        </w:rPr>
        <w:t>&lt;choice&gt;&lt;orig&gt;</w:t>
      </w:r>
      <w:r>
        <w:rPr>
          <w:rStyle w:val="Codetext"/>
        </w:rPr>
        <w:t>ā ś</w:t>
      </w:r>
      <w:r>
        <w:rPr>
          <w:rStyle w:val="Code"/>
        </w:rPr>
        <w:t>&lt;/orig&gt;&lt;reg&gt;</w:t>
      </w:r>
      <w:r>
        <w:rPr>
          <w:rStyle w:val="Codetext"/>
        </w:rPr>
        <w:t>āc ch</w:t>
      </w:r>
      <w:r>
        <w:rPr>
          <w:rStyle w:val="Code"/>
        </w:rPr>
        <w:t>&lt;/reg&gt;&lt;/choice&gt;</w:t>
      </w:r>
      <w:r>
        <w:rPr>
          <w:rStyle w:val="Codetext"/>
        </w:rPr>
        <w:t>reyo</w:t>
      </w:r>
    </w:p>
    <w:p>
      <w:pPr>
        <w:pStyle w:val="Lista2"/>
      </w:pPr>
      <w:r>
        <w:t>if only the received alternative is separable, make sure the rectified alternative is not separated</w:t>
      </w:r>
    </w:p>
    <w:p>
      <w:pPr>
        <w:pStyle w:val="Lista3"/>
      </w:pPr>
      <w:r>
        <w:t xml:space="preserve">e.g. </w:t>
      </w:r>
      <w:r>
        <w:rPr>
          <w:rStyle w:val="Code"/>
        </w:rPr>
        <w:t>&lt;choice&gt;&lt;orig&gt;</w:t>
      </w:r>
      <w:r>
        <w:rPr>
          <w:rStyle w:val="Codetext"/>
        </w:rPr>
        <w:t>puṇya-vividuye</w:t>
      </w:r>
      <w:r>
        <w:rPr>
          <w:rStyle w:val="Code"/>
        </w:rPr>
        <w:t>&lt;/orig&gt;&lt;reg&gt;</w:t>
      </w:r>
      <w:r>
        <w:rPr>
          <w:rStyle w:val="Codetext"/>
        </w:rPr>
        <w:t>puṇyābhivr̥ddhaye</w:t>
      </w:r>
      <w:r>
        <w:rPr>
          <w:rStyle w:val="Code"/>
        </w:rPr>
        <w:t>&lt;/reg&gt;&lt;/choice&gt;</w:t>
      </w:r>
    </w:p>
    <w:p>
      <w:pPr>
        <w:pStyle w:val="Lista2"/>
      </w:pPr>
      <w:r>
        <w:t>if only the rectified alternative is separable, make sure the received alternative is not separated</w:t>
      </w:r>
    </w:p>
    <w:p>
      <w:pPr>
        <w:pStyle w:val="Lista3"/>
        <w:rPr>
          <w:rStyle w:val="Codetext"/>
          <w:rFonts w:ascii="Gentium" w:hAnsi="Gentium" w:cs="Tiro Devanagari Sanskrit"/>
          <w:noProof w:val="0"/>
          <w:color w:val="auto"/>
          <w:shd w:val="clear" w:color="auto" w:fill="auto"/>
        </w:rPr>
      </w:pPr>
      <w:r>
        <w:t xml:space="preserve">e.g. </w:t>
      </w:r>
      <w:r>
        <w:rPr>
          <w:rStyle w:val="Codetext"/>
        </w:rPr>
        <w:t>umula</w:t>
      </w:r>
      <w:r>
        <w:rPr>
          <w:rStyle w:val="Code"/>
        </w:rPr>
        <w:t>&lt;choice&gt;&lt;orig&gt;</w:t>
      </w:r>
      <w:r>
        <w:rPr>
          <w:rStyle w:val="Codetext"/>
        </w:rPr>
        <w:t>t</w:t>
      </w:r>
      <w:r>
        <w:rPr>
          <w:rStyle w:val="Code"/>
        </w:rPr>
        <w:t>&lt;/orig&gt;&lt;reg&gt;</w:t>
      </w:r>
      <w:r>
        <w:rPr>
          <w:rStyle w:val="Codetext"/>
        </w:rPr>
        <w:t>t t</w:t>
      </w:r>
      <w:r>
        <w:rPr>
          <w:rStyle w:val="Code"/>
        </w:rPr>
        <w:t>&lt;/reg&gt;&lt;/choice&gt;</w:t>
      </w:r>
      <w:r>
        <w:rPr>
          <w:rStyle w:val="Codetext"/>
        </w:rPr>
        <w:t>a</w:t>
      </w:r>
    </w:p>
    <w:p>
      <w:pPr>
        <w:pStyle w:val="Lista2"/>
      </w:pPr>
      <w:r>
        <w:t>see also §</w:t>
      </w:r>
      <w:r>
        <w:fldChar w:fldCharType="begin"/>
      </w:r>
      <w:r>
        <w:instrText xml:space="preserve"> REF _Ref232068629 \r \h </w:instrText>
      </w:r>
      <w:r>
        <w:fldChar w:fldCharType="separate"/>
      </w:r>
      <w:r>
        <w:t>7.8.1.1</w:t>
      </w:r>
      <w:r>
        <w:fldChar w:fldCharType="end"/>
      </w:r>
      <w:r>
        <w:t xml:space="preserve"> about the need to avoid spaces at the beginning and end of text-containing elements</w:t>
      </w:r>
    </w:p>
    <w:p>
      <w:pPr>
        <w:pStyle w:val="Cmsor3"/>
      </w:pPr>
      <w:bookmarkStart w:id="606" w:name="_Ref229054665"/>
      <w:bookmarkStart w:id="607" w:name="_Ref229056282"/>
      <w:bookmarkStart w:id="608" w:name="_Toc242976657"/>
      <w:bookmarkEnd w:id="604"/>
      <w:r>
        <w:t>Suppression: editorial deletion of superfluous text</w:t>
      </w:r>
      <w:bookmarkEnd w:id="606"/>
      <w:bookmarkEnd w:id="607"/>
      <w:bookmarkEnd w:id="608"/>
    </w:p>
    <w:p>
      <w:r>
        <w:t>As noted in §</w:t>
      </w:r>
      <w:r>
        <w:fldChar w:fldCharType="begin"/>
      </w:r>
      <w:r>
        <w:instrText xml:space="preserve"> REF _Ref228885762 \r \h </w:instrText>
      </w:r>
      <w:r>
        <w:fldChar w:fldCharType="separate"/>
      </w:r>
      <w:r>
        <w:t>7.2.1</w:t>
      </w:r>
      <w:r>
        <w:fldChar w:fldCharType="end"/>
      </w:r>
      <w:r>
        <w:t>, editorial suppression is only used in DHARMA practice for superfluous graphemes written by mistake. When non-standard language can be normalised by removing one or more specific graphemes, use the generic encoding for normalisation by substitution (§</w:t>
      </w:r>
      <w:r>
        <w:fldChar w:fldCharType="begin"/>
      </w:r>
      <w:r>
        <w:instrText xml:space="preserve"> REF _Ref228885848 \r \h </w:instrText>
      </w:r>
      <w:r>
        <w:fldChar w:fldCharType="separate"/>
      </w:r>
      <w:r>
        <w:t>7.5.1.2</w:t>
      </w:r>
      <w:r>
        <w:fldChar w:fldCharType="end"/>
      </w:r>
      <w:r>
        <w:t>), with additional guidance on good practice in §</w:t>
      </w:r>
      <w:r>
        <w:fldChar w:fldCharType="begin"/>
      </w:r>
      <w:r>
        <w:instrText xml:space="preserve"> REF _Ref228957347 \r \h </w:instrText>
      </w:r>
      <w:r>
        <w:fldChar w:fldCharType="separate"/>
      </w:r>
      <w:r>
        <w:t>7.7.2.1</w:t>
      </w:r>
      <w:r>
        <w:fldChar w:fldCharType="end"/>
      </w:r>
      <w:r>
        <w:t>.</w:t>
      </w:r>
    </w:p>
    <w:p>
      <w:pPr>
        <w:pStyle w:val="Lista"/>
      </w:pPr>
      <w:r>
        <w:t xml:space="preserve">to suppress superfluous graphemes deemed to be written by mistake, enclose the superfluous text in the element </w:t>
      </w:r>
      <w:r>
        <w:rPr>
          <w:rStyle w:val="Code"/>
        </w:rPr>
        <w:t>&lt;surplus&gt;</w:t>
      </w:r>
    </w:p>
    <w:p>
      <w:pPr>
        <w:pStyle w:val="Lista2"/>
      </w:pPr>
      <w:r>
        <w:t>before encoding editorial deletion, be sure that you have read and understood §</w:t>
      </w:r>
      <w:r>
        <w:fldChar w:fldCharType="begin"/>
      </w:r>
      <w:r>
        <w:instrText xml:space="preserve"> REF _Ref228952859 \r \h </w:instrText>
      </w:r>
      <w:r>
        <w:fldChar w:fldCharType="separate"/>
      </w:r>
      <w:r>
        <w:t>7.7.1</w:t>
      </w:r>
      <w:r>
        <w:fldChar w:fldCharType="end"/>
      </w:r>
    </w:p>
    <w:p>
      <w:pPr>
        <w:pStyle w:val="Lista"/>
      </w:pPr>
      <w:r>
        <w:t>suppression is normally applicable to instances of dittography (repetition) involving graphically separable chunks of writing, including</w:t>
      </w:r>
    </w:p>
    <w:p>
      <w:pPr>
        <w:pStyle w:val="Lista2"/>
      </w:pPr>
      <w:r>
        <w:t xml:space="preserve">erroneous repetition of words, e.g. </w:t>
      </w:r>
      <w:r>
        <w:rPr>
          <w:rStyle w:val="Codetext"/>
        </w:rPr>
        <w:t xml:space="preserve">veda-vyāsena vyāsena </w:t>
      </w:r>
      <w:r>
        <w:rPr>
          <w:rStyle w:val="Code"/>
        </w:rPr>
        <w:t>&lt;surplus&gt;</w:t>
      </w:r>
      <w:r>
        <w:rPr>
          <w:rStyle w:val="Codetext"/>
        </w:rPr>
        <w:t>vyāsena</w:t>
      </w:r>
      <w:r>
        <w:rPr>
          <w:rStyle w:val="Code"/>
        </w:rPr>
        <w:t>&lt;/surplus&gt;</w:t>
      </w:r>
      <w:r>
        <w:t xml:space="preserve"> </w:t>
      </w:r>
      <w:r>
        <w:rPr>
          <w:noProof/>
        </w:rPr>
        <w:t>(</w:t>
      </w:r>
      <w:r>
        <w:t xml:space="preserve">three iterations of </w:t>
      </w:r>
      <w:r>
        <w:rPr>
          <w:rStyle w:val="Foreign"/>
        </w:rPr>
        <w:t>vyāsena</w:t>
      </w:r>
      <w:r>
        <w:t xml:space="preserve"> where two iterations are correct)</w:t>
      </w:r>
    </w:p>
    <w:p>
      <w:pPr>
        <w:pStyle w:val="Lista2"/>
      </w:pPr>
      <w:r>
        <w:t xml:space="preserve">erroneous repetition of </w:t>
      </w:r>
      <w:r>
        <w:rPr>
          <w:rStyle w:val="Foreign"/>
        </w:rPr>
        <w:t>akṣara</w:t>
      </w:r>
      <w:r>
        <w:rPr>
          <w:rStyle w:val="Foreign"/>
          <w:i w:val="0"/>
          <w:iCs w:val="0"/>
        </w:rPr>
        <w:t>s</w:t>
      </w:r>
      <w:r>
        <w:t xml:space="preserve">, e.g. </w:t>
      </w:r>
      <w:r>
        <w:rPr>
          <w:rStyle w:val="Codetext"/>
        </w:rPr>
        <w:t>naika-samara-śata</w:t>
      </w:r>
      <w:r>
        <w:rPr>
          <w:rStyle w:val="Code"/>
        </w:rPr>
        <w:t>&lt;surplus&gt;</w:t>
      </w:r>
      <w:r>
        <w:rPr>
          <w:rStyle w:val="Codetext"/>
        </w:rPr>
        <w:t>ta</w:t>
      </w:r>
      <w:r>
        <w:rPr>
          <w:rStyle w:val="Code"/>
        </w:rPr>
        <w:t>&lt;/surplus&gt;</w:t>
      </w:r>
      <w:r>
        <w:rPr>
          <w:rStyle w:val="Codetext"/>
        </w:rPr>
        <w:t>vijayinā</w:t>
      </w:r>
      <w:r>
        <w:t xml:space="preserve"> </w:t>
      </w:r>
      <w:r>
        <w:rPr>
          <w:noProof/>
        </w:rPr>
        <w:t>(</w:t>
      </w:r>
      <w:r>
        <w:rPr>
          <w:rStyle w:val="Foreign"/>
        </w:rPr>
        <w:t>śatata</w:t>
      </w:r>
      <w:r>
        <w:t xml:space="preserve"> was inscribed instead of </w:t>
      </w:r>
      <w:r>
        <w:rPr>
          <w:rStyle w:val="Foreign"/>
        </w:rPr>
        <w:t>śata</w:t>
      </w:r>
      <w:r>
        <w:t>)</w:t>
      </w:r>
    </w:p>
    <w:p>
      <w:pPr>
        <w:pStyle w:val="Lista"/>
      </w:pPr>
      <w:r>
        <w:t>when individual and graphically inseparable superfluous graphemes appear for a reason other than erroneous repetition, choose at your discretion whether to treat them as mistakes and suppress them, or to treat them as non-standard usage and flag them (§</w:t>
      </w:r>
      <w:r>
        <w:fldChar w:fldCharType="begin"/>
      </w:r>
      <w:r>
        <w:instrText xml:space="preserve"> REF _Ref228886903 \r \h </w:instrText>
      </w:r>
      <w:r>
        <w:fldChar w:fldCharType="separate"/>
      </w:r>
      <w:r>
        <w:t>7.4.2</w:t>
      </w:r>
      <w:r>
        <w:fldChar w:fldCharType="end"/>
      </w:r>
      <w:r>
        <w:t>) without suppression or rectify them by substitution (§</w:t>
      </w:r>
      <w:r>
        <w:fldChar w:fldCharType="begin"/>
      </w:r>
      <w:r>
        <w:instrText xml:space="preserve"> REF _Ref228888134 \r \h </w:instrText>
      </w:r>
      <w:r>
        <w:fldChar w:fldCharType="separate"/>
      </w:r>
      <w:r>
        <w:t>7.5.1.2</w:t>
      </w:r>
      <w:r>
        <w:fldChar w:fldCharType="end"/>
      </w:r>
      <w:r>
        <w:t>), including cases such as</w:t>
      </w:r>
    </w:p>
    <w:p>
      <w:pPr>
        <w:pStyle w:val="Lista2"/>
      </w:pPr>
      <w:r>
        <w:t xml:space="preserve">hypercorrection, e.g. </w:t>
      </w:r>
      <w:r>
        <w:rPr>
          <w:rStyle w:val="Foreign"/>
        </w:rPr>
        <w:t>dattaḥs tataḥ</w:t>
      </w:r>
    </w:p>
    <w:p>
      <w:pPr>
        <w:pStyle w:val="Lista3"/>
        <w:rPr>
          <w:rStyle w:val="Codetext"/>
          <w:rFonts w:ascii="Gentium" w:hAnsi="Gentium" w:cs="Tiro Devanagari Sanskrit"/>
          <w:noProof w:val="0"/>
          <w:color w:val="auto"/>
          <w:shd w:val="clear" w:color="auto" w:fill="auto"/>
        </w:rPr>
      </w:pPr>
      <w:r>
        <w:t xml:space="preserve">suppressed as error: </w:t>
      </w:r>
      <w:r>
        <w:rPr>
          <w:rStyle w:val="Codetext"/>
        </w:rPr>
        <w:t>datta</w:t>
      </w:r>
      <w:r>
        <w:rPr>
          <w:rStyle w:val="Code"/>
        </w:rPr>
        <w:t>&lt;surplus&gt;</w:t>
      </w:r>
      <w:r>
        <w:rPr>
          <w:rStyle w:val="Codetext"/>
        </w:rPr>
        <w:t>ḥ</w:t>
      </w:r>
      <w:r>
        <w:rPr>
          <w:rStyle w:val="Code"/>
        </w:rPr>
        <w:t>&lt;/surplus&gt;</w:t>
      </w:r>
      <w:r>
        <w:rPr>
          <w:rStyle w:val="Codetext"/>
        </w:rPr>
        <w:t>s tataḥ</w:t>
      </w:r>
    </w:p>
    <w:p>
      <w:pPr>
        <w:pStyle w:val="Lista3"/>
      </w:pPr>
      <w:r>
        <w:t xml:space="preserve">flagged as non-standard: </w:t>
      </w:r>
      <w:r>
        <w:rPr>
          <w:rStyle w:val="Codetext"/>
        </w:rPr>
        <w:t>datta</w:t>
      </w:r>
      <w:r>
        <w:rPr>
          <w:rStyle w:val="Code"/>
        </w:rPr>
        <w:t>&lt;orig&gt;</w:t>
      </w:r>
      <w:r>
        <w:rPr>
          <w:rStyle w:val="Codetext"/>
        </w:rPr>
        <w:t>ḥ</w:t>
      </w:r>
      <w:r>
        <w:rPr>
          <w:rStyle w:val="Code"/>
        </w:rPr>
        <w:t>&lt;/orig&gt;</w:t>
      </w:r>
      <w:r>
        <w:rPr>
          <w:rStyle w:val="Codetext"/>
        </w:rPr>
        <w:t>s tataḥ</w:t>
      </w:r>
    </w:p>
    <w:p>
      <w:pPr>
        <w:pStyle w:val="Lista3"/>
      </w:pPr>
      <w:r>
        <w:t xml:space="preserve">normalised: </w:t>
      </w:r>
      <w:r>
        <w:rPr>
          <w:rStyle w:val="Codetext"/>
        </w:rPr>
        <w:t>datta</w:t>
      </w:r>
      <w:r>
        <w:rPr>
          <w:rStyle w:val="Code"/>
        </w:rPr>
        <w:t>&lt;choice&gt;&lt;orig&gt;</w:t>
      </w:r>
      <w:r>
        <w:rPr>
          <w:rStyle w:val="Codetext"/>
        </w:rPr>
        <w:t>ḥs</w:t>
      </w:r>
      <w:r>
        <w:rPr>
          <w:rStyle w:val="Code"/>
        </w:rPr>
        <w:t>&lt;/orig&gt;&lt;reg&gt;</w:t>
      </w:r>
      <w:r>
        <w:rPr>
          <w:rStyle w:val="Codetext"/>
        </w:rPr>
        <w:t>s</w:t>
      </w:r>
      <w:r>
        <w:rPr>
          <w:rStyle w:val="Code"/>
        </w:rPr>
        <w:t>&lt;/reg&gt;&lt;/choice&gt;</w:t>
      </w:r>
      <w:r>
        <w:rPr>
          <w:rStyle w:val="Codetext"/>
        </w:rPr>
        <w:t xml:space="preserve"> tataḥ</w:t>
      </w:r>
    </w:p>
    <w:p>
      <w:pPr>
        <w:pStyle w:val="Lista2"/>
      </w:pPr>
      <w:r>
        <w:t xml:space="preserve">pre-nasalisation, e.g. </w:t>
      </w:r>
      <w:r>
        <w:rPr>
          <w:rStyle w:val="Foreign"/>
        </w:rPr>
        <w:t>putrāṇāṁm api</w:t>
      </w:r>
    </w:p>
    <w:p>
      <w:pPr>
        <w:pStyle w:val="Lista3"/>
        <w:rPr>
          <w:rStyle w:val="Code"/>
          <w:rFonts w:ascii="Gentium" w:hAnsi="Gentium" w:cs="Tiro Devanagari Sanskrit"/>
          <w:noProof w:val="0"/>
          <w:color w:val="auto"/>
          <w:shd w:val="clear" w:color="auto" w:fill="auto"/>
        </w:rPr>
      </w:pPr>
      <w:r>
        <w:t xml:space="preserve">suppressed as error: </w:t>
      </w:r>
      <w:r>
        <w:rPr>
          <w:rStyle w:val="Codetext"/>
        </w:rPr>
        <w:t>putrāṇā</w:t>
      </w:r>
      <w:r>
        <w:rPr>
          <w:rStyle w:val="Code"/>
        </w:rPr>
        <w:t>&lt;surplus&gt;</w:t>
      </w:r>
      <w:r>
        <w:rPr>
          <w:rStyle w:val="Codetext"/>
        </w:rPr>
        <w:t>ṁ</w:t>
      </w:r>
      <w:r>
        <w:rPr>
          <w:rStyle w:val="Code"/>
        </w:rPr>
        <w:t>&lt;/surplus&gt;m api</w:t>
      </w:r>
    </w:p>
    <w:p>
      <w:pPr>
        <w:pStyle w:val="Lista3"/>
      </w:pPr>
      <w:r>
        <w:t xml:space="preserve">flagged as non-standard: </w:t>
      </w:r>
      <w:r>
        <w:rPr>
          <w:rStyle w:val="Codetext"/>
        </w:rPr>
        <w:t>putrāṇā</w:t>
      </w:r>
      <w:r>
        <w:rPr>
          <w:rStyle w:val="Code"/>
        </w:rPr>
        <w:t>&lt;orig&gt;</w:t>
      </w:r>
      <w:r>
        <w:rPr>
          <w:rStyle w:val="Codetext"/>
        </w:rPr>
        <w:t>ṁ</w:t>
      </w:r>
      <w:r>
        <w:rPr>
          <w:rStyle w:val="Code"/>
        </w:rPr>
        <w:t>&lt;/orig&gt;m api</w:t>
      </w:r>
    </w:p>
    <w:p>
      <w:pPr>
        <w:pStyle w:val="Lista3"/>
      </w:pPr>
      <w:r>
        <w:t xml:space="preserve">normalised: </w:t>
      </w:r>
      <w:r>
        <w:rPr>
          <w:rStyle w:val="Codetext"/>
        </w:rPr>
        <w:t>putrāṇā</w:t>
      </w:r>
      <w:r>
        <w:rPr>
          <w:rStyle w:val="Code"/>
        </w:rPr>
        <w:t>&lt;choice&gt;&lt;orig&gt;</w:t>
      </w:r>
      <w:r>
        <w:rPr>
          <w:rStyle w:val="Codetext"/>
        </w:rPr>
        <w:t>ṁm</w:t>
      </w:r>
      <w:r>
        <w:rPr>
          <w:rStyle w:val="Code"/>
        </w:rPr>
        <w:t>&lt;/orig&gt;&lt;reg&gt;</w:t>
      </w:r>
      <w:r>
        <w:rPr>
          <w:rStyle w:val="Codetext"/>
        </w:rPr>
        <w:t>m</w:t>
      </w:r>
      <w:r>
        <w:rPr>
          <w:rStyle w:val="Code"/>
        </w:rPr>
        <w:t>&lt;/reg&gt;&lt;/choice&gt;</w:t>
      </w:r>
      <w:r>
        <w:rPr>
          <w:rStyle w:val="Codetext"/>
        </w:rPr>
        <w:t xml:space="preserve"> api</w:t>
      </w:r>
    </w:p>
    <w:p>
      <w:pPr>
        <w:pStyle w:val="Cmsor3"/>
      </w:pPr>
      <w:bookmarkStart w:id="609" w:name="_mhw0d0be1rtp" w:colFirst="0" w:colLast="0"/>
      <w:bookmarkStart w:id="610" w:name="_Ref228873746"/>
      <w:bookmarkStart w:id="611" w:name="_Ref229056324"/>
      <w:bookmarkStart w:id="612" w:name="_Toc242976658"/>
      <w:bookmarkEnd w:id="609"/>
      <w:r>
        <w:t>Restitution</w:t>
      </w:r>
      <w:bookmarkEnd w:id="610"/>
      <w:r>
        <w:t>: editorial addition of omitted text</w:t>
      </w:r>
      <w:bookmarkEnd w:id="611"/>
      <w:bookmarkEnd w:id="612"/>
    </w:p>
    <w:p>
      <w:r>
        <w:t>As noted in §</w:t>
      </w:r>
      <w:r>
        <w:fldChar w:fldCharType="begin"/>
      </w:r>
      <w:r>
        <w:instrText xml:space="preserve"> REF _Ref228885762 \r \h </w:instrText>
      </w:r>
      <w:r>
        <w:fldChar w:fldCharType="separate"/>
      </w:r>
      <w:r>
        <w:t>7.2.1</w:t>
      </w:r>
      <w:r>
        <w:fldChar w:fldCharType="end"/>
      </w:r>
      <w:r>
        <w:t>, editorial restitution is only used in DHARMA practice for supplying text omitted by mistake. When non-standard text can be normalised by adding one or more specific graphemes, use the generic encoding for normalisation by substitution (§</w:t>
      </w:r>
      <w:r>
        <w:fldChar w:fldCharType="begin"/>
      </w:r>
      <w:r>
        <w:instrText xml:space="preserve"> REF _Ref228885848 \r \h </w:instrText>
      </w:r>
      <w:r>
        <w:fldChar w:fldCharType="separate"/>
      </w:r>
      <w:r>
        <w:t>7.5.1.2</w:t>
      </w:r>
      <w:r>
        <w:fldChar w:fldCharType="end"/>
      </w:r>
      <w:r>
        <w:t>), with additional guidance on good practice in §</w:t>
      </w:r>
      <w:r>
        <w:fldChar w:fldCharType="begin"/>
      </w:r>
      <w:r>
        <w:instrText xml:space="preserve"> REF _Ref228957347 \r \h </w:instrText>
      </w:r>
      <w:r>
        <w:fldChar w:fldCharType="separate"/>
      </w:r>
      <w:r>
        <w:t>7.7.2.1</w:t>
      </w:r>
      <w:r>
        <w:fldChar w:fldCharType="end"/>
      </w:r>
      <w:r>
        <w:t>.</w:t>
      </w:r>
    </w:p>
    <w:p>
      <w:pPr>
        <w:pStyle w:val="Normlbehzs"/>
      </w:pPr>
      <w:r>
        <w:t>Scribal omissions that you do not correct are to be encoded as per §</w:t>
      </w:r>
      <w:r>
        <w:fldChar w:fldCharType="begin"/>
      </w:r>
      <w:r>
        <w:instrText xml:space="preserve"> REF _Ref228887612 \r \h </w:instrText>
      </w:r>
      <w:r>
        <w:fldChar w:fldCharType="separate"/>
      </w:r>
      <w:r>
        <w:t>7.6</w:t>
      </w:r>
      <w:r>
        <w:fldChar w:fldCharType="end"/>
      </w:r>
      <w:r>
        <w:t>, while omissions corrected by a premodern editor on the original support are covered under §</w:t>
      </w:r>
      <w:r>
        <w:fldChar w:fldCharType="begin"/>
      </w:r>
      <w:r>
        <w:instrText xml:space="preserve"> REF _Ref43978471 \r \h </w:instrText>
      </w:r>
      <w:r>
        <w:fldChar w:fldCharType="separate"/>
      </w:r>
      <w:r>
        <w:t>5.5.2</w:t>
      </w:r>
      <w:r>
        <w:fldChar w:fldCharType="end"/>
      </w:r>
      <w:r>
        <w:t>.</w:t>
      </w:r>
    </w:p>
    <w:p>
      <w:pPr>
        <w:pStyle w:val="Normlbehzs"/>
      </w:pPr>
      <w:r>
        <w:t>Neither punctuation nor numbering must be supplied at the ends of stanzas or verse lines in DHARMA editions, because the encoding of verse containers (§</w:t>
      </w:r>
      <w:r>
        <w:fldChar w:fldCharType="begin"/>
      </w:r>
      <w:r>
        <w:instrText xml:space="preserve"> REF _Ref224740501 \r \h </w:instrText>
      </w:r>
      <w:r>
        <w:fldChar w:fldCharType="separate"/>
      </w:r>
      <w:r>
        <w:t>3.2.2</w:t>
      </w:r>
      <w:r>
        <w:fldChar w:fldCharType="end"/>
      </w:r>
      <w:r>
        <w:t>) takes care of the segmentation and numeration of metrical units. Guidance for adding editorial punctuation in other situations is given in §</w:t>
      </w:r>
      <w:r>
        <w:fldChar w:fldCharType="begin"/>
      </w:r>
      <w:r>
        <w:instrText xml:space="preserve"> REF _Ref229060537 \r \h </w:instrText>
      </w:r>
      <w:r>
        <w:fldChar w:fldCharType="separate"/>
      </w:r>
      <w:r>
        <w:t>7.8.3</w:t>
      </w:r>
      <w:r>
        <w:fldChar w:fldCharType="end"/>
      </w:r>
      <w:r>
        <w:t xml:space="preserve">, and editorial </w:t>
      </w:r>
      <w:r>
        <w:rPr>
          <w:rStyle w:val="Foreign"/>
        </w:rPr>
        <w:t>avagraha</w:t>
      </w:r>
      <w:r>
        <w:t xml:space="preserve"> is addressed in §</w:t>
      </w:r>
      <w:r>
        <w:fldChar w:fldCharType="begin"/>
      </w:r>
      <w:r>
        <w:instrText xml:space="preserve"> REF _Ref229062653 \r \h </w:instrText>
      </w:r>
      <w:r>
        <w:fldChar w:fldCharType="separate"/>
      </w:r>
      <w:r>
        <w:t>7.8.3</w:t>
      </w:r>
      <w:r>
        <w:fldChar w:fldCharType="end"/>
      </w:r>
      <w:r>
        <w:t>.</w:t>
      </w:r>
    </w:p>
    <w:p>
      <w:pPr>
        <w:pStyle w:val="Lista"/>
      </w:pPr>
      <w:r>
        <w:lastRenderedPageBreak/>
        <w:t xml:space="preserve">to restitute graphemes deemed to be omitted by mistake, enclose the added text in the element </w:t>
      </w:r>
      <w:r>
        <w:rPr>
          <w:rStyle w:val="Code"/>
        </w:rPr>
        <w:t>&lt;supplied&gt;</w:t>
      </w:r>
      <w:r>
        <w:t xml:space="preserve"> using the mandatory attribute </w:t>
      </w:r>
      <w:r>
        <w:rPr>
          <w:rStyle w:val="Codeattribute"/>
        </w:rPr>
        <w:t>@reason</w:t>
      </w:r>
      <w:r>
        <w:t xml:space="preserve"> with the value </w:t>
      </w:r>
      <w:r>
        <w:rPr>
          <w:rStyle w:val="Codevalue"/>
        </w:rPr>
        <w:t>"omitted"</w:t>
      </w:r>
      <w:r>
        <w:t xml:space="preserve"> to distinguish this from a restoration of a lacuna </w:t>
      </w:r>
      <w:r>
        <w:rPr>
          <w:noProof/>
        </w:rPr>
        <w:t>(</w:t>
      </w:r>
      <w:r>
        <w:t>§</w:t>
      </w:r>
      <w:r>
        <w:fldChar w:fldCharType="begin"/>
      </w:r>
      <w:r>
        <w:instrText xml:space="preserve"> REF _Ref43979611 \r \h </w:instrText>
      </w:r>
      <w:r>
        <w:fldChar w:fldCharType="separate"/>
      </w:r>
      <w:r>
        <w:t>6.4</w:t>
      </w:r>
      <w:r>
        <w:fldChar w:fldCharType="end"/>
      </w:r>
      <w:r>
        <w:t>)</w:t>
      </w:r>
    </w:p>
    <w:p>
      <w:pPr>
        <w:pStyle w:val="Lista2"/>
      </w:pPr>
      <w:r>
        <w:t>before encoding editorial addition, be sure that you have read and understood §</w:t>
      </w:r>
      <w:r>
        <w:fldChar w:fldCharType="begin"/>
      </w:r>
      <w:r>
        <w:instrText xml:space="preserve"> REF _Ref228952859 \r \h </w:instrText>
      </w:r>
      <w:r>
        <w:fldChar w:fldCharType="separate"/>
      </w:r>
      <w:r>
        <w:t>7.7.1</w:t>
      </w:r>
      <w:r>
        <w:fldChar w:fldCharType="end"/>
      </w:r>
    </w:p>
    <w:p>
      <w:pPr>
        <w:pStyle w:val="Lista"/>
      </w:pPr>
      <w:r>
        <w:t>restitution is normally applicable to the omission of graphically separable chunks of writing, including</w:t>
      </w:r>
    </w:p>
    <w:p>
      <w:pPr>
        <w:pStyle w:val="Lista2"/>
      </w:pPr>
      <w:r>
        <w:t xml:space="preserve">omitted </w:t>
      </w:r>
      <w:r>
        <w:rPr>
          <w:rStyle w:val="Foreign"/>
        </w:rPr>
        <w:t>akṣara</w:t>
      </w:r>
      <w:r>
        <w:rPr>
          <w:rStyle w:val="Foreign"/>
          <w:i w:val="0"/>
          <w:iCs w:val="0"/>
        </w:rPr>
        <w:t>s</w:t>
      </w:r>
      <w:r>
        <w:t xml:space="preserve">, e.g. </w:t>
      </w:r>
      <w:r>
        <w:rPr>
          <w:rStyle w:val="Codetext"/>
        </w:rPr>
        <w:t>dhanada-varuṇendrānta</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ka</w:t>
      </w:r>
      <w:r>
        <w:rPr>
          <w:rStyle w:val="Code"/>
        </w:rPr>
        <w:t>&lt;/supplied&gt;</w:t>
      </w:r>
      <w:r>
        <w:rPr>
          <w:rStyle w:val="Codetext"/>
        </w:rPr>
        <w:t>-samasya</w:t>
      </w:r>
    </w:p>
    <w:p>
      <w:pPr>
        <w:pStyle w:val="Lista2"/>
        <w:rPr>
          <w:rStyle w:val="Codetext"/>
          <w:rFonts w:ascii="Gentium" w:hAnsi="Gentium" w:cs="Tiro Devanagari Sanskrit"/>
          <w:noProof w:val="0"/>
          <w:color w:val="auto"/>
          <w:shd w:val="clear" w:color="auto" w:fill="auto"/>
        </w:rPr>
      </w:pPr>
      <w:r>
        <w:t xml:space="preserve">omitted words, e.g. </w:t>
      </w:r>
      <w:r>
        <w:rPr>
          <w:rStyle w:val="Codetext"/>
        </w:rPr>
        <w:t xml:space="preserve">tasya </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tasya</w:t>
      </w:r>
      <w:r>
        <w:rPr>
          <w:rStyle w:val="Code"/>
        </w:rPr>
        <w:t>&lt;/supplied&gt;</w:t>
      </w:r>
      <w:r>
        <w:rPr>
          <w:rStyle w:val="Codetext"/>
        </w:rPr>
        <w:t xml:space="preserve"> tadā phalaM</w:t>
      </w:r>
    </w:p>
    <w:p>
      <w:pPr>
        <w:pStyle w:val="Lista2"/>
      </w:pPr>
      <w:r>
        <w:t>longer omitted strings of glyphs, when they can be supplied on the basis of sound conjecture or parallel texts</w:t>
      </w:r>
    </w:p>
    <w:p>
      <w:pPr>
        <w:pStyle w:val="Lista"/>
      </w:pPr>
      <w:r>
        <w:t>when individual and graphically inseparable graphemes are missing, choose at your discretion whether to treat their absence as a mistake and supply them, or to treat this as non-standard usage and flag their context (§</w:t>
      </w:r>
      <w:r>
        <w:fldChar w:fldCharType="begin"/>
      </w:r>
      <w:r>
        <w:instrText xml:space="preserve"> REF _Ref228886903 \r \h </w:instrText>
      </w:r>
      <w:r>
        <w:fldChar w:fldCharType="separate"/>
      </w:r>
      <w:r>
        <w:t>7.4.2</w:t>
      </w:r>
      <w:r>
        <w:fldChar w:fldCharType="end"/>
      </w:r>
      <w:r>
        <w:t>) without supplying the missing graphemes or rectify them by substitution (§</w:t>
      </w:r>
      <w:r>
        <w:fldChar w:fldCharType="begin"/>
      </w:r>
      <w:r>
        <w:instrText xml:space="preserve"> REF _Ref228888134 \r \h </w:instrText>
      </w:r>
      <w:r>
        <w:fldChar w:fldCharType="separate"/>
      </w:r>
      <w:r>
        <w:t>7.5.1.2</w:t>
      </w:r>
      <w:r>
        <w:fldChar w:fldCharType="end"/>
      </w:r>
      <w:r>
        <w:t xml:space="preserve">), including cases such as </w:t>
      </w:r>
    </w:p>
    <w:p>
      <w:pPr>
        <w:pStyle w:val="Lista2"/>
      </w:pPr>
      <w:r>
        <w:t xml:space="preserve">potential non-standard language, e.g. </w:t>
      </w:r>
      <w:r>
        <w:rPr>
          <w:rStyle w:val="Foreign"/>
        </w:rPr>
        <w:t>dhamma</w:t>
      </w:r>
    </w:p>
    <w:p>
      <w:pPr>
        <w:pStyle w:val="Lista3"/>
      </w:pPr>
      <w:r>
        <w:t xml:space="preserve">restituted: </w:t>
      </w:r>
      <w:r>
        <w:rPr>
          <w:rStyle w:val="Codetext"/>
        </w:rPr>
        <w:t>dha</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r</w:t>
      </w:r>
      <w:r>
        <w:rPr>
          <w:rStyle w:val="Code"/>
        </w:rPr>
        <w:t>&lt;/supplied&gt;</w:t>
      </w:r>
      <w:r>
        <w:rPr>
          <w:rStyle w:val="Codetext"/>
        </w:rPr>
        <w:t>mma</w:t>
      </w:r>
    </w:p>
    <w:p>
      <w:pPr>
        <w:pStyle w:val="Lista3"/>
      </w:pPr>
      <w:r>
        <w:t xml:space="preserve">flagged as non-standard: </w:t>
      </w:r>
      <w:r>
        <w:rPr>
          <w:rStyle w:val="Codetext"/>
        </w:rPr>
        <w:t>dha</w:t>
      </w:r>
      <w:r>
        <w:rPr>
          <w:rStyle w:val="Code"/>
        </w:rPr>
        <w:t>&lt;orig&gt;</w:t>
      </w:r>
      <w:r>
        <w:rPr>
          <w:rStyle w:val="Codetext"/>
        </w:rPr>
        <w:t>mma</w:t>
      </w:r>
      <w:r>
        <w:rPr>
          <w:rStyle w:val="Code"/>
        </w:rPr>
        <w:t>&lt;/orig&gt;</w:t>
      </w:r>
    </w:p>
    <w:p>
      <w:pPr>
        <w:pStyle w:val="Lista3"/>
      </w:pPr>
      <w:r>
        <w:t xml:space="preserve">normalised: </w:t>
      </w:r>
      <w:r>
        <w:rPr>
          <w:rStyle w:val="Codetext"/>
        </w:rPr>
        <w:t>dha</w:t>
      </w:r>
      <w:r>
        <w:rPr>
          <w:rStyle w:val="Code"/>
        </w:rPr>
        <w:t>&lt;choice&gt;&lt;orig&gt;</w:t>
      </w:r>
      <w:r>
        <w:rPr>
          <w:rStyle w:val="Codetext"/>
        </w:rPr>
        <w:t>mma</w:t>
      </w:r>
      <w:r>
        <w:rPr>
          <w:rStyle w:val="Code"/>
        </w:rPr>
        <w:t>&lt;/orig&gt;&lt;reg&gt;</w:t>
      </w:r>
      <w:r>
        <w:rPr>
          <w:rStyle w:val="Codetext"/>
        </w:rPr>
        <w:t>rmma</w:t>
      </w:r>
      <w:r>
        <w:rPr>
          <w:rStyle w:val="Code"/>
        </w:rPr>
        <w:t>&lt;/reg&gt;&lt;/choice&gt;</w:t>
      </w:r>
    </w:p>
    <w:p>
      <w:pPr>
        <w:pStyle w:val="Lista2"/>
      </w:pPr>
      <w:r>
        <w:t xml:space="preserve">probable accidental omission, e.g. </w:t>
      </w:r>
      <w:r>
        <w:rPr>
          <w:rStyle w:val="Foreign"/>
        </w:rPr>
        <w:t>datā</w:t>
      </w:r>
    </w:p>
    <w:p>
      <w:pPr>
        <w:pStyle w:val="Lista3"/>
      </w:pPr>
      <w:r>
        <w:t xml:space="preserve">restituted: </w:t>
      </w:r>
      <w:r>
        <w:rPr>
          <w:rStyle w:val="Codetext"/>
        </w:rPr>
        <w:t>dat</w:t>
      </w:r>
      <w:r>
        <w:rPr>
          <w:rStyle w:val="Code"/>
        </w:rPr>
        <w:t xml:space="preserve">&lt;supplied </w:t>
      </w:r>
      <w:r>
        <w:rPr>
          <w:rStyle w:val="Codeattribute"/>
        </w:rPr>
        <w:t>reason</w:t>
      </w:r>
      <w:r>
        <w:rPr>
          <w:rStyle w:val="Code"/>
        </w:rPr>
        <w:t>=</w:t>
      </w:r>
      <w:r>
        <w:rPr>
          <w:rStyle w:val="Codevalue"/>
        </w:rPr>
        <w:t>"omitted"</w:t>
      </w:r>
      <w:r>
        <w:rPr>
          <w:rStyle w:val="Code"/>
        </w:rPr>
        <w:t>&gt;t&lt;/supplied&gt;</w:t>
      </w:r>
      <w:r>
        <w:rPr>
          <w:rStyle w:val="Codetext"/>
        </w:rPr>
        <w:t>ā</w:t>
      </w:r>
    </w:p>
    <w:p>
      <w:pPr>
        <w:pStyle w:val="Lista3"/>
      </w:pPr>
      <w:r>
        <w:t xml:space="preserve">flagged as non-standard: </w:t>
      </w:r>
      <w:r>
        <w:rPr>
          <w:rStyle w:val="Codetext"/>
        </w:rPr>
        <w:t>da</w:t>
      </w:r>
      <w:r>
        <w:rPr>
          <w:rStyle w:val="Code"/>
        </w:rPr>
        <w:t>&lt;orig&gt;</w:t>
      </w:r>
      <w:r>
        <w:rPr>
          <w:rStyle w:val="Codetext"/>
        </w:rPr>
        <w:t>t</w:t>
      </w:r>
      <w:r>
        <w:rPr>
          <w:rStyle w:val="Code"/>
        </w:rPr>
        <w:t>&lt;/surplus&gt;</w:t>
      </w:r>
      <w:r>
        <w:rPr>
          <w:rStyle w:val="Codetext"/>
        </w:rPr>
        <w:t>ā</w:t>
      </w:r>
    </w:p>
    <w:p>
      <w:pPr>
        <w:pStyle w:val="Lista3"/>
      </w:pPr>
      <w:r>
        <w:t xml:space="preserve">normalised: </w:t>
      </w:r>
      <w:r>
        <w:rPr>
          <w:rStyle w:val="Codetext"/>
        </w:rPr>
        <w:t>da</w:t>
      </w:r>
      <w:r>
        <w:rPr>
          <w:rStyle w:val="Code"/>
        </w:rPr>
        <w:t>&lt;choice&gt;&lt;orig&gt;</w:t>
      </w:r>
      <w:r>
        <w:rPr>
          <w:rStyle w:val="Codetext"/>
        </w:rPr>
        <w:t>t</w:t>
      </w:r>
      <w:r>
        <w:rPr>
          <w:rStyle w:val="Code"/>
        </w:rPr>
        <w:t>&lt;/orig&gt;&lt;reg&gt;</w:t>
      </w:r>
      <w:r>
        <w:rPr>
          <w:rStyle w:val="Codetext"/>
        </w:rPr>
        <w:t>tt</w:t>
      </w:r>
      <w:r>
        <w:rPr>
          <w:rStyle w:val="Code"/>
        </w:rPr>
        <w:t>&lt;/reg&gt;&lt;/choice&gt;</w:t>
      </w:r>
      <w:r>
        <w:rPr>
          <w:rStyle w:val="Codetext"/>
        </w:rPr>
        <w:t>ā</w:t>
      </w:r>
    </w:p>
    <w:p>
      <w:pPr>
        <w:pStyle w:val="Lista2"/>
      </w:pPr>
      <w:r>
        <w:t xml:space="preserve">when an expected small component </w:t>
      </w:r>
      <w:r>
        <w:rPr>
          <w:noProof/>
        </w:rPr>
        <w:t>(</w:t>
      </w:r>
      <w:r>
        <w:t xml:space="preserve">such as a superscript </w:t>
      </w:r>
      <w:r>
        <w:rPr>
          <w:rStyle w:val="Foreign"/>
        </w:rPr>
        <w:t>r</w:t>
      </w:r>
      <w:r>
        <w:t xml:space="preserve"> or an </w:t>
      </w:r>
      <w:r>
        <w:rPr>
          <w:rStyle w:val="Foreign"/>
        </w:rPr>
        <w:t>anusvāra</w:t>
      </w:r>
      <w:r>
        <w:t xml:space="preserve">) cannot be made out in the original or the facsimile you are working from, consider the state of the support and preferably encode as lost and restored </w:t>
      </w:r>
      <w:r>
        <w:rPr>
          <w:noProof/>
        </w:rPr>
        <w:t>(</w:t>
      </w:r>
      <w:r>
        <w:t>as per §</w:t>
      </w:r>
      <w:r>
        <w:fldChar w:fldCharType="begin"/>
      </w:r>
      <w:r>
        <w:instrText xml:space="preserve"> REF _Ref228459751 \r \h </w:instrText>
      </w:r>
      <w:r>
        <w:fldChar w:fldCharType="separate"/>
      </w:r>
      <w:r>
        <w:t>6.4</w:t>
      </w:r>
      <w:r>
        <w:fldChar w:fldCharType="end"/>
      </w:r>
      <w:r>
        <w:t>) unless you are certain that the cause is scribal omission, not damage to the support</w:t>
      </w:r>
    </w:p>
    <w:p>
      <w:pPr>
        <w:pStyle w:val="Cmsor2"/>
      </w:pPr>
      <w:bookmarkStart w:id="613" w:name="_Ref228887612"/>
      <w:r>
        <w:t>Encoding scribal omission without editorial restoration</w:t>
      </w:r>
      <w:bookmarkEnd w:id="613"/>
    </w:p>
    <w:p>
      <w:pPr>
        <w:rPr>
          <w:lang w:eastAsia="en-US" w:bidi="ar-SA"/>
        </w:rPr>
      </w:pPr>
      <w:r>
        <w:rPr>
          <w:lang w:eastAsia="en-US" w:bidi="ar-SA"/>
        </w:rPr>
        <w:t>Occasionally, you may feel certain that something has been omitted from the source (for example because a metrical segment or part of a word is missing), but are unable to restore the omission with any confidence.</w:t>
      </w:r>
    </w:p>
    <w:p>
      <w:pPr>
        <w:pStyle w:val="Lista"/>
      </w:pPr>
      <w:r>
        <w:t>the encoding of such omissions, like that of lacunae (§</w:t>
      </w:r>
      <w:r>
        <w:fldChar w:fldCharType="begin"/>
      </w:r>
      <w:r>
        <w:instrText xml:space="preserve"> REF _Ref228888638 \r \h </w:instrText>
      </w:r>
      <w:r>
        <w:fldChar w:fldCharType="separate"/>
      </w:r>
      <w:r>
        <w:t>6.5.1</w:t>
      </w:r>
      <w:r>
        <w:fldChar w:fldCharType="end"/>
      </w:r>
      <w:r>
        <w:t xml:space="preserve">), involves the </w:t>
      </w:r>
      <w:r>
        <w:rPr>
          <w:rStyle w:val="Code"/>
        </w:rPr>
        <w:t>&lt;gap/&gt;</w:t>
      </w:r>
      <w:r>
        <w:t xml:space="preserve"> element, with the following attributes</w:t>
      </w:r>
    </w:p>
    <w:p>
      <w:pPr>
        <w:pStyle w:val="Lista2"/>
      </w:pPr>
      <w:r>
        <w:t xml:space="preserve">mandatorily </w:t>
      </w:r>
      <w:r>
        <w:rPr>
          <w:rStyle w:val="Codeattribute"/>
        </w:rPr>
        <w:t>@reason</w:t>
      </w:r>
      <w:r>
        <w:rPr>
          <w:rStyle w:val="Code"/>
        </w:rPr>
        <w:t>=</w:t>
      </w:r>
      <w:r>
        <w:rPr>
          <w:rStyle w:val="Codevalue"/>
        </w:rPr>
        <w:t>"omitted"</w:t>
      </w:r>
    </w:p>
    <w:p>
      <w:pPr>
        <w:pStyle w:val="Lista2"/>
      </w:pPr>
      <w:r>
        <w:t xml:space="preserve">mandatorily </w:t>
      </w:r>
      <w:r>
        <w:rPr>
          <w:rStyle w:val="Codeattribute"/>
        </w:rPr>
        <w:t>@unit</w:t>
      </w:r>
      <w:r>
        <w:rPr>
          <w:rStyle w:val="Code"/>
        </w:rPr>
        <w:t>=</w:t>
      </w:r>
      <w:r>
        <w:rPr>
          <w:rStyle w:val="Codevalue"/>
        </w:rPr>
        <w:t>"character"</w:t>
      </w:r>
    </w:p>
    <w:p>
      <w:pPr>
        <w:pStyle w:val="Lista2"/>
      </w:pPr>
      <w:r>
        <w:t xml:space="preserve">mandatorily, either </w:t>
      </w:r>
      <w:r>
        <w:rPr>
          <w:rStyle w:val="Codeattribute"/>
        </w:rPr>
        <w:t>@extent</w:t>
      </w:r>
      <w:r>
        <w:t xml:space="preserve"> or </w:t>
      </w:r>
      <w:r>
        <w:rPr>
          <w:rStyle w:val="Codeattribute"/>
        </w:rPr>
        <w:t>@quantity</w:t>
      </w:r>
      <w:r>
        <w:t>, as explained under §</w:t>
      </w:r>
      <w:r>
        <w:fldChar w:fldCharType="begin"/>
      </w:r>
      <w:r>
        <w:instrText xml:space="preserve"> REF _Ref228262228 \r \h </w:instrText>
      </w:r>
      <w:r>
        <w:fldChar w:fldCharType="separate"/>
      </w:r>
      <w:r>
        <w:t>6.5.1.2</w:t>
      </w:r>
      <w:r>
        <w:fldChar w:fldCharType="end"/>
      </w:r>
    </w:p>
    <w:p>
      <w:pPr>
        <w:pStyle w:val="Lista"/>
      </w:pPr>
      <w:r>
        <w:t xml:space="preserve">if such an omission occurs in metrical verse, then encode the prosody of the omitted text by wrapping the </w:t>
      </w:r>
      <w:r>
        <w:rPr>
          <w:rStyle w:val="Code"/>
        </w:rPr>
        <w:t>&lt;gap/&gt;</w:t>
      </w:r>
      <w:r>
        <w:t xml:space="preserve"> element in </w:t>
      </w:r>
      <w:r>
        <w:rPr>
          <w:rStyle w:val="Code"/>
        </w:rPr>
        <w:t>&lt;seg&gt;</w:t>
      </w:r>
      <w:r>
        <w:t xml:space="preserve"> and adding </w:t>
      </w:r>
      <w:r>
        <w:rPr>
          <w:rStyle w:val="Codeattribute"/>
        </w:rPr>
        <w:t>@met</w:t>
      </w:r>
      <w:r>
        <w:t xml:space="preserve"> to the latter, with values as per §</w:t>
      </w:r>
      <w:r>
        <w:fldChar w:fldCharType="begin"/>
      </w:r>
      <w:r>
        <w:instrText xml:space="preserve"> REF _Ref228275301 \r \h </w:instrText>
      </w:r>
      <w:r>
        <w:fldChar w:fldCharType="separate"/>
      </w:r>
      <w:r>
        <w:t>6.5.2.3</w:t>
      </w:r>
      <w:r>
        <w:fldChar w:fldCharType="end"/>
      </w:r>
    </w:p>
    <w:p>
      <w:pPr>
        <w:pStyle w:val="Lista2"/>
      </w:pPr>
      <w:r>
        <w:t xml:space="preserve">e.g. in a </w:t>
      </w:r>
      <w:r>
        <w:rPr>
          <w:rStyle w:val="Foreign"/>
        </w:rPr>
        <w:t>śārdūlavikrīḍita</w:t>
      </w:r>
      <w:r>
        <w:t xml:space="preserve"> stanza: </w:t>
      </w:r>
      <w:r>
        <w:rPr>
          <w:rStyle w:val="Codetext"/>
        </w:rPr>
        <w:t>vr̥ttaḥ stutya-ya</w:t>
      </w:r>
      <w:r>
        <w:rPr>
          <w:rStyle w:val="Code"/>
        </w:rPr>
        <w:t xml:space="preserve">&lt;seg </w:t>
      </w:r>
      <w:r>
        <w:rPr>
          <w:rStyle w:val="Codeattribute"/>
        </w:rPr>
        <w:t>met=</w:t>
      </w:r>
      <w:r>
        <w:rPr>
          <w:rStyle w:val="Codevalue"/>
        </w:rPr>
        <w:t>"+-+--"</w:t>
      </w:r>
      <w:r>
        <w:rPr>
          <w:rStyle w:val="Code"/>
        </w:rPr>
        <w:t xml:space="preserve">&gt;&lt;gap </w:t>
      </w:r>
      <w:r>
        <w:rPr>
          <w:rStyle w:val="Codeattribute"/>
        </w:rPr>
        <w:t>reason=</w:t>
      </w:r>
      <w:r>
        <w:rPr>
          <w:rStyle w:val="Codevalue"/>
        </w:rPr>
        <w:t>"omitted"</w:t>
      </w:r>
      <w:r>
        <w:rPr>
          <w:rStyle w:val="Code"/>
        </w:rPr>
        <w:t xml:space="preserve"> </w:t>
      </w:r>
      <w:r>
        <w:rPr>
          <w:rStyle w:val="Codeattribute"/>
        </w:rPr>
        <w:t>quantity=</w:t>
      </w:r>
      <w:r>
        <w:rPr>
          <w:rStyle w:val="Codevalue"/>
        </w:rPr>
        <w:t>"5"</w:t>
      </w:r>
      <w:r>
        <w:rPr>
          <w:rStyle w:val="Code"/>
        </w:rPr>
        <w:t xml:space="preserve"> </w:t>
      </w:r>
      <w:r>
        <w:rPr>
          <w:rStyle w:val="Codeattribute"/>
        </w:rPr>
        <w:t>unit=</w:t>
      </w:r>
      <w:r>
        <w:rPr>
          <w:rStyle w:val="Codevalue"/>
        </w:rPr>
        <w:t>"character"</w:t>
      </w:r>
      <w:r>
        <w:rPr>
          <w:rStyle w:val="Code"/>
        </w:rPr>
        <w:t>/&gt;&lt;/seg&gt;</w:t>
      </w:r>
      <w:r>
        <w:rPr>
          <w:rStyle w:val="Codetext"/>
        </w:rPr>
        <w:t>-matir nnityodayas satyavāK</w:t>
      </w:r>
    </w:p>
    <w:p>
      <w:pPr>
        <w:pStyle w:val="Lista"/>
      </w:pPr>
      <w:r>
        <w:t>tentative or alternative restorations for an unrestored lacuna may be discussed in an apparatus note (§</w:t>
      </w:r>
      <w:r>
        <w:fldChar w:fldCharType="begin"/>
      </w:r>
      <w:r>
        <w:instrText xml:space="preserve"> REF _Ref43988104 \w \h  \* MERGEFORMAT </w:instrText>
      </w:r>
      <w:r>
        <w:fldChar w:fldCharType="separate"/>
      </w:r>
      <w:r>
        <w:t>10.7</w:t>
      </w:r>
      <w:r>
        <w:fldChar w:fldCharType="end"/>
      </w:r>
      <w:r>
        <w:t>)</w:t>
      </w:r>
    </w:p>
    <w:p>
      <w:pPr>
        <w:pStyle w:val="Cmsor2"/>
      </w:pPr>
      <w:bookmarkStart w:id="614" w:name="_1tyn3helxkp0" w:colFirst="0" w:colLast="0"/>
      <w:bookmarkStart w:id="615" w:name="_Ref43991017"/>
      <w:bookmarkStart w:id="616" w:name="_Ref63674857"/>
      <w:bookmarkStart w:id="617" w:name="_Ref43978756"/>
      <w:bookmarkEnd w:id="614"/>
      <w:r>
        <w:t>Good practice in editorial intervention</w:t>
      </w:r>
      <w:bookmarkEnd w:id="615"/>
    </w:p>
    <w:p>
      <w:pPr>
        <w:pStyle w:val="Cmsor3"/>
      </w:pPr>
      <w:bookmarkStart w:id="618" w:name="_28dwy480zoal" w:colFirst="0" w:colLast="0"/>
      <w:bookmarkStart w:id="619" w:name="_Ref228952859"/>
      <w:bookmarkStart w:id="620" w:name="_Ref43981233"/>
      <w:bookmarkStart w:id="621" w:name="_Toc242976659"/>
      <w:bookmarkEnd w:id="618"/>
      <w:r>
        <w:t>Manipulating graphemes</w:t>
      </w:r>
      <w:bookmarkEnd w:id="619"/>
      <w:bookmarkEnd w:id="621"/>
    </w:p>
    <w:p>
      <w:r>
        <w:t>Since the units to which all our encoding applies are the source graphemes (for which see also §</w:t>
      </w:r>
      <w:r>
        <w:fldChar w:fldCharType="begin"/>
      </w:r>
      <w:r>
        <w:instrText xml:space="preserve"> REF _Ref227844670 \r \h </w:instrText>
      </w:r>
      <w:r>
        <w:fldChar w:fldCharType="separate"/>
      </w:r>
      <w:r>
        <w:t>16.3</w:t>
      </w:r>
      <w:r>
        <w:fldChar w:fldCharType="end"/>
      </w:r>
      <w:r>
        <w:t xml:space="preserve">), editorial intervention can only be, and must always be, represented in our editions in terms of source graphemes, </w:t>
      </w:r>
      <w:r>
        <w:lastRenderedPageBreak/>
        <w:t xml:space="preserve">and not in terms of </w:t>
      </w:r>
      <w:r>
        <w:rPr>
          <w:rStyle w:val="Foreign"/>
        </w:rPr>
        <w:t>akṣara</w:t>
      </w:r>
      <w:r>
        <w:rPr>
          <w:rStyle w:val="Foreign"/>
          <w:i w:val="0"/>
          <w:iCs w:val="0"/>
        </w:rPr>
        <w:t>s</w:t>
      </w:r>
      <w:r>
        <w:t>, target graphemes, phonemes or any other unit. This has the following important implications.</w:t>
      </w:r>
    </w:p>
    <w:p>
      <w:pPr>
        <w:pStyle w:val="Lista"/>
        <w:rPr>
          <w:lang w:eastAsia="en-US" w:bidi="ar-SA"/>
        </w:rPr>
      </w:pPr>
      <w:r>
        <w:rPr>
          <w:lang w:eastAsia="en-US" w:bidi="ar-SA"/>
        </w:rPr>
        <w:t xml:space="preserve">editorial intervention </w:t>
      </w:r>
      <w:r>
        <w:rPr>
          <w:i/>
          <w:iCs/>
          <w:lang w:eastAsia="en-US" w:bidi="ar-SA"/>
        </w:rPr>
        <w:t>can</w:t>
      </w:r>
      <w:r>
        <w:t xml:space="preserve"> apply to a unit smaller than the </w:t>
      </w:r>
      <w:r>
        <w:rPr>
          <w:rStyle w:val="Foreign"/>
        </w:rPr>
        <w:t>akṣara</w:t>
      </w:r>
      <w:r>
        <w:t xml:space="preserve">, so if not all components of a complex </w:t>
      </w:r>
      <w:r>
        <w:rPr>
          <w:rStyle w:val="Foreign"/>
        </w:rPr>
        <w:t>akṣara</w:t>
      </w:r>
      <w:r>
        <w:t xml:space="preserve"> require intervention, then only the specific intervention is to be encoded, and not a substitution of the entire </w:t>
      </w:r>
      <w:r>
        <w:rPr>
          <w:rStyle w:val="Foreign"/>
        </w:rPr>
        <w:t>akṣara</w:t>
      </w:r>
      <w:r>
        <w:t xml:space="preserve"> (as it would usually be shown in an edition printed in an Indic script), for example</w:t>
      </w:r>
    </w:p>
    <w:p>
      <w:pPr>
        <w:pStyle w:val="Lista3"/>
      </w:pPr>
      <w:r>
        <w:t xml:space="preserve">in suppression, </w:t>
      </w:r>
      <w:r>
        <w:rPr>
          <w:rStyle w:val="Codetext"/>
        </w:rPr>
        <w:t>ś</w:t>
      </w:r>
      <w:r>
        <w:rPr>
          <w:rStyle w:val="Code"/>
        </w:rPr>
        <w:t>&lt;surplus&gt;</w:t>
      </w:r>
      <w:r>
        <w:rPr>
          <w:rStyle w:val="Codetext"/>
        </w:rPr>
        <w:t>r</w:t>
      </w:r>
      <w:r>
        <w:rPr>
          <w:rStyle w:val="Code"/>
        </w:rPr>
        <w:t>&lt;/surplus&gt;</w:t>
      </w:r>
      <w:r>
        <w:rPr>
          <w:rStyle w:val="Codetext"/>
        </w:rPr>
        <w:t>āpa</w:t>
      </w:r>
    </w:p>
    <w:p>
      <w:pPr>
        <w:pStyle w:val="Lista4"/>
      </w:pPr>
      <w:r>
        <w:rPr>
          <w:b/>
          <w:bCs/>
        </w:rPr>
        <w:t>not</w:t>
      </w:r>
      <w:r>
        <w:t xml:space="preserve"> </w:t>
      </w:r>
      <w:r>
        <w:rPr>
          <w:rStyle w:val="Code"/>
        </w:rPr>
        <w:t>&lt;choice&gt;&lt;sic&gt;</w:t>
      </w:r>
      <w:r>
        <w:rPr>
          <w:rStyle w:val="Codetext"/>
        </w:rPr>
        <w:t>śrā</w:t>
      </w:r>
      <w:r>
        <w:rPr>
          <w:rStyle w:val="Code"/>
        </w:rPr>
        <w:t>&lt;/sic&gt;&lt;corr&gt;</w:t>
      </w:r>
      <w:r>
        <w:rPr>
          <w:rStyle w:val="Codetext"/>
        </w:rPr>
        <w:t>śā</w:t>
      </w:r>
      <w:r>
        <w:rPr>
          <w:rStyle w:val="Code"/>
        </w:rPr>
        <w:t>&lt;/corr&gt;&lt;/subst&gt;</w:t>
      </w:r>
      <w:r>
        <w:rPr>
          <w:rStyle w:val="Codetext"/>
        </w:rPr>
        <w:t>pa</w:t>
      </w:r>
    </w:p>
    <w:p>
      <w:pPr>
        <w:pStyle w:val="Lista3"/>
        <w:rPr>
          <w:rStyle w:val="Codetext"/>
          <w:rFonts w:ascii="Gentium" w:hAnsi="Gentium" w:cs="Tiro Devanagari Sanskrit"/>
          <w:noProof w:val="0"/>
          <w:color w:val="auto"/>
          <w:shd w:val="clear" w:color="auto" w:fill="auto"/>
        </w:rPr>
      </w:pPr>
      <w:r>
        <w:t xml:space="preserve">in restitution, </w:t>
      </w:r>
      <w:r>
        <w:rPr>
          <w:rStyle w:val="Codetext"/>
        </w:rPr>
        <w:t>tārkṣ</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y</w:t>
      </w:r>
      <w:r>
        <w:rPr>
          <w:rStyle w:val="Code"/>
        </w:rPr>
        <w:t>&lt;/supplied&gt;</w:t>
      </w:r>
      <w:r>
        <w:rPr>
          <w:rStyle w:val="Codetext"/>
        </w:rPr>
        <w:t>a</w:t>
      </w:r>
    </w:p>
    <w:p>
      <w:pPr>
        <w:pStyle w:val="Lista4"/>
        <w:rPr>
          <w:rStyle w:val="Code"/>
          <w:rFonts w:ascii="Gentium" w:hAnsi="Gentium" w:cs="Tiro Devanagari Sanskrit"/>
          <w:noProof w:val="0"/>
          <w:color w:val="auto"/>
          <w:shd w:val="clear" w:color="auto" w:fill="auto"/>
        </w:rPr>
      </w:pPr>
      <w:r>
        <w:rPr>
          <w:b/>
          <w:bCs/>
        </w:rPr>
        <w:t>not</w:t>
      </w:r>
      <w:r>
        <w:t xml:space="preserve"> </w:t>
      </w:r>
      <w:r>
        <w:rPr>
          <w:rStyle w:val="Codetext"/>
        </w:rPr>
        <w:t>tā</w:t>
      </w:r>
      <w:r>
        <w:rPr>
          <w:rStyle w:val="Code"/>
        </w:rPr>
        <w:t>&lt;choice&gt;&lt;sic&gt;</w:t>
      </w:r>
      <w:r>
        <w:rPr>
          <w:rStyle w:val="Codetext"/>
        </w:rPr>
        <w:t>rkṣa</w:t>
      </w:r>
      <w:r>
        <w:rPr>
          <w:rStyle w:val="Code"/>
        </w:rPr>
        <w:t>&lt;/sic&gt;&lt;corr&gt;</w:t>
      </w:r>
      <w:r>
        <w:rPr>
          <w:rStyle w:val="Codetext"/>
        </w:rPr>
        <w:t>rkṣya</w:t>
      </w:r>
      <w:r>
        <w:rPr>
          <w:rStyle w:val="Code"/>
        </w:rPr>
        <w:t>&lt;/corr&gt;&lt;/subst&gt;</w:t>
      </w:r>
    </w:p>
    <w:p>
      <w:pPr>
        <w:pStyle w:val="Lista3"/>
        <w:rPr>
          <w:rStyle w:val="Codetext"/>
          <w:rFonts w:ascii="Gentium" w:hAnsi="Gentium" w:cs="Tiro Devanagari Sanskrit"/>
          <w:noProof w:val="0"/>
          <w:color w:val="auto"/>
          <w:shd w:val="clear" w:color="auto" w:fill="auto"/>
        </w:rPr>
      </w:pPr>
      <w:r>
        <w:t xml:space="preserve">in substitution, </w:t>
      </w:r>
      <w:r>
        <w:rPr>
          <w:rStyle w:val="Codetext"/>
        </w:rPr>
        <w:t>pa</w:t>
      </w:r>
      <w:r>
        <w:rPr>
          <w:rStyle w:val="Code"/>
        </w:rPr>
        <w:t>&lt;choice&gt;&lt;sic&gt;</w:t>
      </w:r>
      <w:r>
        <w:rPr>
          <w:rStyle w:val="Codetext"/>
        </w:rPr>
        <w:t>t</w:t>
      </w:r>
      <w:r>
        <w:rPr>
          <w:rStyle w:val="Code"/>
        </w:rPr>
        <w:t>&lt;/sic&gt;&lt;corr&gt;</w:t>
      </w:r>
      <w:r>
        <w:rPr>
          <w:rStyle w:val="Codetext"/>
        </w:rPr>
        <w:t>d</w:t>
      </w:r>
      <w:r>
        <w:rPr>
          <w:rStyle w:val="Code"/>
        </w:rPr>
        <w:t>&lt;/corr&gt;&lt;/subst&gt;</w:t>
      </w:r>
      <w:r>
        <w:rPr>
          <w:rStyle w:val="Codetext"/>
        </w:rPr>
        <w:t>ma</w:t>
      </w:r>
    </w:p>
    <w:p>
      <w:pPr>
        <w:pStyle w:val="Lista4"/>
      </w:pPr>
      <w:r>
        <w:rPr>
          <w:b/>
          <w:bCs/>
        </w:rPr>
        <w:t>not</w:t>
      </w:r>
      <w:r>
        <w:t xml:space="preserve"> </w:t>
      </w:r>
      <w:r>
        <w:rPr>
          <w:rStyle w:val="Codetext"/>
        </w:rPr>
        <w:t>pa</w:t>
      </w:r>
      <w:r>
        <w:rPr>
          <w:rStyle w:val="Code"/>
        </w:rPr>
        <w:t>&lt;choice&gt;&lt;sic&gt;</w:t>
      </w:r>
      <w:r>
        <w:rPr>
          <w:rStyle w:val="Codetext"/>
        </w:rPr>
        <w:t>tma</w:t>
      </w:r>
      <w:r>
        <w:rPr>
          <w:rStyle w:val="Code"/>
        </w:rPr>
        <w:t>&lt;/sic&gt;&lt;corr&gt;</w:t>
      </w:r>
      <w:r>
        <w:rPr>
          <w:rStyle w:val="Codetext"/>
        </w:rPr>
        <w:t>dma</w:t>
      </w:r>
      <w:r>
        <w:rPr>
          <w:rStyle w:val="Code"/>
        </w:rPr>
        <w:t>&lt;/corr&gt;&lt;/subst&gt;</w:t>
      </w:r>
    </w:p>
    <w:p>
      <w:pPr>
        <w:pStyle w:val="Lista"/>
      </w:pPr>
      <w:r>
        <w:t xml:space="preserve">editorial intervention </w:t>
      </w:r>
      <w:r>
        <w:rPr>
          <w:i/>
          <w:iCs/>
        </w:rPr>
        <w:t>cannot</w:t>
      </w:r>
      <w:r>
        <w:t xml:space="preserve"> apply to a unit smaller than the grapheme, so even if the engraver had merely omitted an element or added a superfluous stroke, editorial correction cannot be encoded at this level; instead</w:t>
      </w:r>
    </w:p>
    <w:p>
      <w:pPr>
        <w:pStyle w:val="Lista2"/>
      </w:pPr>
      <w:r>
        <w:t>the absence or superfluous presence of a non-distinctive element can be annotated if desired, but not represented in markup except by encoding eccentric ductus (§</w:t>
      </w:r>
      <w:r>
        <w:fldChar w:fldCharType="begin"/>
      </w:r>
      <w:r>
        <w:instrText xml:space="preserve"> REF _Ref227942295 \r \h </w:instrText>
      </w:r>
      <w:r>
        <w:fldChar w:fldCharType="separate"/>
      </w:r>
      <w:r>
        <w:t>6.3.1.2</w:t>
      </w:r>
      <w:r>
        <w:fldChar w:fldCharType="end"/>
      </w:r>
      <w:r>
        <w:t>)</w:t>
      </w:r>
    </w:p>
    <w:p>
      <w:pPr>
        <w:pStyle w:val="Lista2"/>
      </w:pPr>
      <w:r>
        <w:t>the absence or superfluous presence of a distinctive element must be encoded as a correction of one grapheme to another, for example</w:t>
      </w:r>
    </w:p>
    <w:p>
      <w:pPr>
        <w:pStyle w:val="Lista3"/>
      </w:pPr>
      <w:r>
        <w:t xml:space="preserve">in a script where </w:t>
      </w:r>
      <w:r>
        <w:rPr>
          <w:rStyle w:val="Foreign"/>
        </w:rPr>
        <w:t>ka</w:t>
      </w:r>
      <w:r>
        <w:t xml:space="preserve"> differs from </w:t>
      </w:r>
      <w:r>
        <w:rPr>
          <w:rStyle w:val="Foreign"/>
        </w:rPr>
        <w:t>ra</w:t>
      </w:r>
      <w:r>
        <w:t xml:space="preserve"> only in the presence of a cross-stroke in the former, and the scribe erroneously engraved </w:t>
      </w:r>
      <w:r>
        <w:rPr>
          <w:rStyle w:val="Foreign"/>
        </w:rPr>
        <w:t>lora</w:t>
      </w:r>
      <w:r>
        <w:t xml:space="preserve"> instead of </w:t>
      </w:r>
      <w:r>
        <w:rPr>
          <w:rStyle w:val="Foreign"/>
        </w:rPr>
        <w:t>loka</w:t>
      </w:r>
      <w:r>
        <w:t xml:space="preserve">, your rectification of that error is a correction of </w:t>
      </w:r>
      <w:r>
        <w:rPr>
          <w:rStyle w:val="Foreign"/>
        </w:rPr>
        <w:t>r</w:t>
      </w:r>
      <w:r>
        <w:t xml:space="preserve"> to </w:t>
      </w:r>
      <w:r>
        <w:rPr>
          <w:rStyle w:val="Foreign"/>
        </w:rPr>
        <w:t>k</w:t>
      </w:r>
      <w:r>
        <w:t xml:space="preserve">: </w:t>
      </w:r>
      <w:r>
        <w:rPr>
          <w:rStyle w:val="Codetext"/>
        </w:rPr>
        <w:t>lo</w:t>
      </w:r>
      <w:r>
        <w:rPr>
          <w:rStyle w:val="Code"/>
        </w:rPr>
        <w:t>&lt;choice&gt;&lt;sic&gt;</w:t>
      </w:r>
      <w:r>
        <w:rPr>
          <w:rStyle w:val="Codetext"/>
        </w:rPr>
        <w:t>r</w:t>
      </w:r>
      <w:r>
        <w:rPr>
          <w:rStyle w:val="Code"/>
        </w:rPr>
        <w:t>&lt;/sic&gt;&lt;corr&gt;</w:t>
      </w:r>
      <w:r>
        <w:rPr>
          <w:rStyle w:val="Codetext"/>
        </w:rPr>
        <w:t>k</w:t>
      </w:r>
      <w:r>
        <w:rPr>
          <w:rStyle w:val="Code"/>
        </w:rPr>
        <w:t>&lt;/corr&gt;&lt;/choice&gt;</w:t>
      </w:r>
      <w:r>
        <w:rPr>
          <w:rStyle w:val="Codetext"/>
        </w:rPr>
        <w:t>a</w:t>
      </w:r>
    </w:p>
    <w:p>
      <w:pPr>
        <w:pStyle w:val="Lista4"/>
      </w:pPr>
      <w:r>
        <w:t xml:space="preserve">and not an editorial restitution </w:t>
      </w:r>
      <w:r>
        <w:rPr>
          <w:noProof/>
        </w:rPr>
        <w:t>(</w:t>
      </w:r>
      <w:r>
        <w:t>of the cross-stroke), even though the scribe’s physical error was the omission of a graphic element</w:t>
      </w:r>
    </w:p>
    <w:p>
      <w:pPr>
        <w:pStyle w:val="Lista3"/>
      </w:pPr>
      <w:r>
        <w:t xml:space="preserve">in a script where </w:t>
      </w:r>
      <w:r>
        <w:rPr>
          <w:rStyle w:val="Foreign"/>
        </w:rPr>
        <w:t>śa</w:t>
      </w:r>
      <w:r>
        <w:t xml:space="preserve"> differs from </w:t>
      </w:r>
      <w:r>
        <w:rPr>
          <w:rStyle w:val="Foreign"/>
        </w:rPr>
        <w:t>ga</w:t>
      </w:r>
      <w:r>
        <w:t xml:space="preserve"> only in that the former has a cross-stroke, and the scribe erroneously engraved </w:t>
      </w:r>
      <w:r>
        <w:rPr>
          <w:rStyle w:val="Foreign"/>
        </w:rPr>
        <w:t>śuṇa</w:t>
      </w:r>
      <w:r>
        <w:t xml:space="preserve"> instead of </w:t>
      </w:r>
      <w:r>
        <w:rPr>
          <w:rStyle w:val="Foreign"/>
        </w:rPr>
        <w:t>guṇa</w:t>
      </w:r>
      <w:r>
        <w:t xml:space="preserve">, your rectification of that error is a correction of </w:t>
      </w:r>
      <w:r>
        <w:rPr>
          <w:rStyle w:val="Foreign"/>
        </w:rPr>
        <w:t>ś</w:t>
      </w:r>
      <w:r>
        <w:t xml:space="preserve"> to </w:t>
      </w:r>
      <w:r>
        <w:rPr>
          <w:rStyle w:val="Foreign"/>
        </w:rPr>
        <w:t>g</w:t>
      </w:r>
      <w:r>
        <w:t xml:space="preserve">: </w:t>
      </w:r>
      <w:r>
        <w:rPr>
          <w:rStyle w:val="Code"/>
        </w:rPr>
        <w:t>&lt;choice&gt;&lt;sic&gt;</w:t>
      </w:r>
      <w:r>
        <w:rPr>
          <w:rStyle w:val="Codetext"/>
        </w:rPr>
        <w:t>ś</w:t>
      </w:r>
      <w:r>
        <w:rPr>
          <w:rStyle w:val="Code"/>
        </w:rPr>
        <w:t>&lt;/sic&gt;&lt;corr&gt;</w:t>
      </w:r>
      <w:r>
        <w:rPr>
          <w:rStyle w:val="Codetext"/>
        </w:rPr>
        <w:t>g</w:t>
      </w:r>
      <w:r>
        <w:rPr>
          <w:rStyle w:val="Code"/>
        </w:rPr>
        <w:t>&lt;/corr&gt;&lt;/choice&gt;</w:t>
      </w:r>
      <w:r>
        <w:rPr>
          <w:rStyle w:val="Codetext"/>
        </w:rPr>
        <w:t>u</w:t>
      </w:r>
      <w:r>
        <w:rPr>
          <w:rStyle w:val="Code"/>
        </w:rPr>
        <w:t>ṇ</w:t>
      </w:r>
      <w:r>
        <w:rPr>
          <w:rStyle w:val="Codetext"/>
        </w:rPr>
        <w:t>a</w:t>
      </w:r>
    </w:p>
    <w:p>
      <w:pPr>
        <w:pStyle w:val="Lista4"/>
      </w:pPr>
      <w:r>
        <w:t xml:space="preserve">and not an editorial suppression </w:t>
      </w:r>
      <w:r>
        <w:rPr>
          <w:noProof/>
        </w:rPr>
        <w:t>(</w:t>
      </w:r>
      <w:r>
        <w:t>of the cross-stroke), even though the scribe’s physical error was the engraving of a superfluous glyph component</w:t>
      </w:r>
    </w:p>
    <w:p>
      <w:pPr>
        <w:pStyle w:val="Lista"/>
      </w:pPr>
      <w:r>
        <w:t xml:space="preserve">due to the nature of aksharic writing, the suppression or restitution of certain graphs (namely of a vowel marker or </w:t>
      </w:r>
      <w:r>
        <w:rPr>
          <w:rStyle w:val="Foreign"/>
        </w:rPr>
        <w:t>virāma</w:t>
      </w:r>
      <w:r>
        <w:t xml:space="preserve">) may result in the </w:t>
      </w:r>
      <w:r>
        <w:rPr>
          <w:i/>
          <w:iCs/>
        </w:rPr>
        <w:t>substitution</w:t>
      </w:r>
      <w:r>
        <w:t xml:space="preserve"> of one grapheme by another (viz. of the marked vowel or </w:t>
      </w:r>
      <w:r>
        <w:rPr>
          <w:rStyle w:val="Foreign"/>
        </w:rPr>
        <w:t>virāma</w:t>
      </w:r>
      <w:r>
        <w:t xml:space="preserve"> by the default vowel, or vice versa), which must be encoded as substitution rather than suppression or restitution; for example</w:t>
      </w:r>
    </w:p>
    <w:p>
      <w:pPr>
        <w:pStyle w:val="Lista2"/>
      </w:pPr>
      <w:r>
        <w:t xml:space="preserve">if the scribe engraved </w:t>
      </w:r>
      <w:r>
        <w:rPr>
          <w:rStyle w:val="Foreign"/>
        </w:rPr>
        <w:t>mahāraja</w:t>
      </w:r>
      <w:r>
        <w:t xml:space="preserve"> and you correct this to </w:t>
      </w:r>
      <w:r>
        <w:rPr>
          <w:rStyle w:val="Foreign"/>
        </w:rPr>
        <w:t>mahārāja</w:t>
      </w:r>
      <w:r>
        <w:t xml:space="preserve">, your rectification of that error is a correction of </w:t>
      </w:r>
      <w:r>
        <w:rPr>
          <w:rStyle w:val="Foreign"/>
        </w:rPr>
        <w:t>a</w:t>
      </w:r>
      <w:r>
        <w:t xml:space="preserve"> to </w:t>
      </w:r>
      <w:r>
        <w:rPr>
          <w:rStyle w:val="Foreign"/>
        </w:rPr>
        <w:t>ā</w:t>
      </w:r>
      <w:r>
        <w:t xml:space="preserve">: </w:t>
      </w:r>
      <w:r>
        <w:rPr>
          <w:rStyle w:val="Codetext"/>
        </w:rPr>
        <w:t>mahār</w:t>
      </w:r>
      <w:r>
        <w:rPr>
          <w:rStyle w:val="Code"/>
        </w:rPr>
        <w:t>&lt;choice&gt;&lt;sic&gt;</w:t>
      </w:r>
      <w:r>
        <w:rPr>
          <w:rStyle w:val="Codetext"/>
        </w:rPr>
        <w:t>a</w:t>
      </w:r>
      <w:r>
        <w:rPr>
          <w:rStyle w:val="Code"/>
        </w:rPr>
        <w:t>&lt;/sic&gt;&lt;corr&gt;</w:t>
      </w:r>
      <w:r>
        <w:rPr>
          <w:rStyle w:val="Codetext"/>
        </w:rPr>
        <w:t>ā</w:t>
      </w:r>
      <w:r>
        <w:rPr>
          <w:rStyle w:val="Code"/>
        </w:rPr>
        <w:t>&lt;/corr&gt;&lt;/choice&gt;</w:t>
      </w:r>
      <w:r>
        <w:rPr>
          <w:rStyle w:val="Codetext"/>
        </w:rPr>
        <w:t>ja</w:t>
      </w:r>
    </w:p>
    <w:p>
      <w:pPr>
        <w:pStyle w:val="Lista3"/>
      </w:pPr>
      <w:r>
        <w:t xml:space="preserve">and not an editorial restitution </w:t>
      </w:r>
      <w:r>
        <w:rPr>
          <w:noProof/>
        </w:rPr>
        <w:t>(</w:t>
      </w:r>
      <w:r>
        <w:t>of the vowel marker), even though the scribe’s physical error was the omission of a glyph component</w:t>
      </w:r>
    </w:p>
    <w:p>
      <w:pPr>
        <w:pStyle w:val="Lista3"/>
      </w:pPr>
      <w:r>
        <w:t xml:space="preserve">while </w:t>
      </w:r>
      <w:r>
        <w:rPr>
          <w:rStyle w:val="Codetext"/>
        </w:rPr>
        <w:t>mahār</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ā</w:t>
      </w:r>
      <w:r>
        <w:rPr>
          <w:rStyle w:val="Code"/>
        </w:rPr>
        <w:t>&lt;/supplied&gt;</w:t>
      </w:r>
      <w:r>
        <w:rPr>
          <w:rStyle w:val="Codetext"/>
        </w:rPr>
        <w:t>ja</w:t>
      </w:r>
      <w:r>
        <w:t xml:space="preserve"> would mean that the received reading is </w:t>
      </w:r>
      <w:r>
        <w:rPr>
          <w:rStyle w:val="Foreign"/>
        </w:rPr>
        <w:t>mahārja</w:t>
      </w:r>
      <w:r>
        <w:t xml:space="preserve">, which you correct to </w:t>
      </w:r>
      <w:r>
        <w:rPr>
          <w:rStyle w:val="Foreign"/>
        </w:rPr>
        <w:t>mahārāja</w:t>
      </w:r>
    </w:p>
    <w:p>
      <w:pPr>
        <w:pStyle w:val="Lista2"/>
      </w:pPr>
      <w:r>
        <w:t xml:space="preserve">if the scribe engraved </w:t>
      </w:r>
      <w:r>
        <w:rPr>
          <w:rStyle w:val="Foreign"/>
        </w:rPr>
        <w:t>viditim</w:t>
      </w:r>
      <w:r>
        <w:t xml:space="preserve"> and you correct this to </w:t>
      </w:r>
      <w:r>
        <w:rPr>
          <w:rStyle w:val="Foreign"/>
        </w:rPr>
        <w:t>viditam</w:t>
      </w:r>
      <w:r>
        <w:t xml:space="preserve">, your rectification of that error is a correction of </w:t>
      </w:r>
      <w:r>
        <w:rPr>
          <w:rStyle w:val="Foreign"/>
        </w:rPr>
        <w:t>i</w:t>
      </w:r>
      <w:r>
        <w:t xml:space="preserve"> to </w:t>
      </w:r>
      <w:r>
        <w:rPr>
          <w:rStyle w:val="Foreign"/>
        </w:rPr>
        <w:t>a</w:t>
      </w:r>
      <w:r>
        <w:t xml:space="preserve">: </w:t>
      </w:r>
      <w:r>
        <w:rPr>
          <w:rStyle w:val="Codetext"/>
        </w:rPr>
        <w:t>vidit</w:t>
      </w:r>
      <w:r>
        <w:rPr>
          <w:rStyle w:val="Code"/>
        </w:rPr>
        <w:t>&lt;choice&gt;&lt;sic&gt;</w:t>
      </w:r>
      <w:r>
        <w:rPr>
          <w:rStyle w:val="Codetext"/>
        </w:rPr>
        <w:t>i</w:t>
      </w:r>
      <w:r>
        <w:rPr>
          <w:rStyle w:val="Code"/>
        </w:rPr>
        <w:t>&lt;/sic&gt;&lt;corr&gt;</w:t>
      </w:r>
      <w:r>
        <w:rPr>
          <w:rStyle w:val="Codetext"/>
        </w:rPr>
        <w:t>a</w:t>
      </w:r>
      <w:r>
        <w:rPr>
          <w:rStyle w:val="Code"/>
        </w:rPr>
        <w:t>&lt;/corr&gt;&lt;/choice&gt;</w:t>
      </w:r>
      <w:r>
        <w:rPr>
          <w:rStyle w:val="Codetext"/>
        </w:rPr>
        <w:t>m</w:t>
      </w:r>
    </w:p>
    <w:p>
      <w:pPr>
        <w:pStyle w:val="Lista3"/>
      </w:pPr>
      <w:r>
        <w:t xml:space="preserve">and not an editorial suppression </w:t>
      </w:r>
      <w:r>
        <w:rPr>
          <w:noProof/>
        </w:rPr>
        <w:t>(</w:t>
      </w:r>
      <w:r>
        <w:t>of the vowel marker), even though the scribe’s physical error was the engraving of a superfluous glyph component</w:t>
      </w:r>
    </w:p>
    <w:p>
      <w:pPr>
        <w:pStyle w:val="Lista3"/>
        <w:rPr>
          <w:rStyle w:val="Foreign"/>
          <w:i w:val="0"/>
          <w:noProof w:val="0"/>
        </w:rPr>
      </w:pPr>
      <w:r>
        <w:t xml:space="preserve">while </w:t>
      </w:r>
      <w:r>
        <w:rPr>
          <w:rStyle w:val="Codetext"/>
        </w:rPr>
        <w:t>vidit</w:t>
      </w:r>
      <w:r>
        <w:rPr>
          <w:rStyle w:val="Code"/>
        </w:rPr>
        <w:t>&lt;surplus&gt;</w:t>
      </w:r>
      <w:r>
        <w:rPr>
          <w:rStyle w:val="Codetext"/>
        </w:rPr>
        <w:t>i</w:t>
      </w:r>
      <w:r>
        <w:rPr>
          <w:rStyle w:val="Code"/>
        </w:rPr>
        <w:t>&lt;/surplus&gt;</w:t>
      </w:r>
      <w:r>
        <w:rPr>
          <w:rStyle w:val="Codetext"/>
        </w:rPr>
        <w:t>m</w:t>
      </w:r>
      <w:r>
        <w:t xml:space="preserve"> would mean that your intended correction is </w:t>
      </w:r>
      <w:r>
        <w:rPr>
          <w:rStyle w:val="Foreign"/>
        </w:rPr>
        <w:t>viditm</w:t>
      </w:r>
    </w:p>
    <w:p>
      <w:pPr>
        <w:pStyle w:val="Lista2"/>
      </w:pPr>
      <w:r>
        <w:t xml:space="preserve">if the scribe engraved </w:t>
      </w:r>
      <w:r>
        <w:rPr>
          <w:rStyle w:val="Foreign"/>
        </w:rPr>
        <w:t>śrīmāna</w:t>
      </w:r>
      <w:r>
        <w:t xml:space="preserve"> and you correct this to </w:t>
      </w:r>
      <w:r>
        <w:rPr>
          <w:rStyle w:val="Foreign"/>
        </w:rPr>
        <w:t>śrīmān·</w:t>
      </w:r>
      <w:r>
        <w:t xml:space="preserve">, your rectification of that error is a correction of </w:t>
      </w:r>
      <w:r>
        <w:rPr>
          <w:rStyle w:val="Foreign"/>
        </w:rPr>
        <w:t>a</w:t>
      </w:r>
      <w:r>
        <w:t xml:space="preserve"> to </w:t>
      </w:r>
      <w:r>
        <w:rPr>
          <w:rStyle w:val="Foreign"/>
        </w:rPr>
        <w:t>virāma</w:t>
      </w:r>
      <w:r>
        <w:t xml:space="preserve">: </w:t>
      </w:r>
      <w:r>
        <w:rPr>
          <w:rStyle w:val="Codetext"/>
        </w:rPr>
        <w:t>śrīmān</w:t>
      </w:r>
      <w:r>
        <w:rPr>
          <w:rStyle w:val="Code"/>
        </w:rPr>
        <w:t>&lt;choice&gt;&lt;sic&gt;</w:t>
      </w:r>
      <w:r>
        <w:rPr>
          <w:rStyle w:val="Codetext"/>
        </w:rPr>
        <w:t>a</w:t>
      </w:r>
      <w:r>
        <w:rPr>
          <w:rStyle w:val="Code"/>
        </w:rPr>
        <w:t>&lt;/sic&gt;&lt;corr&gt;</w:t>
      </w:r>
      <w:r>
        <w:rPr>
          <w:rStyle w:val="Codetext"/>
        </w:rPr>
        <w:t>·</w:t>
      </w:r>
      <w:r>
        <w:rPr>
          <w:rStyle w:val="Code"/>
        </w:rPr>
        <w:t>&lt;/corr&gt;&lt;/choice&gt;</w:t>
      </w:r>
    </w:p>
    <w:p>
      <w:pPr>
        <w:pStyle w:val="Lista3"/>
      </w:pPr>
      <w:r>
        <w:t xml:space="preserve">instead of restituting a </w:t>
      </w:r>
      <w:r>
        <w:rPr>
          <w:rStyle w:val="Foreign"/>
        </w:rPr>
        <w:t>virāma</w:t>
      </w:r>
      <w:r>
        <w:t>, you may choose simply to suppress the inherent vowel</w:t>
      </w:r>
    </w:p>
    <w:p>
      <w:pPr>
        <w:pStyle w:val="Lista4"/>
      </w:pPr>
      <w:r>
        <w:t xml:space="preserve">this will assert that your correct text, had it been present in the original, would have been written with a ligature (conjoining the final </w:t>
      </w:r>
      <w:r>
        <w:rPr>
          <w:rStyle w:val="Foreign"/>
        </w:rPr>
        <w:t>n</w:t>
      </w:r>
      <w:r>
        <w:t xml:space="preserve"> to the next </w:t>
      </w:r>
      <w:r>
        <w:rPr>
          <w:rStyle w:val="Foreign"/>
        </w:rPr>
        <w:t>akṣara</w:t>
      </w:r>
      <w:r>
        <w:t>) rather than in hiatus</w:t>
      </w:r>
    </w:p>
    <w:p>
      <w:pPr>
        <w:pStyle w:val="Lista4"/>
        <w:rPr>
          <w:rStyle w:val="Foreign"/>
          <w:i w:val="0"/>
          <w:iCs w:val="0"/>
          <w:noProof w:val="0"/>
        </w:rPr>
      </w:pPr>
      <w:r>
        <w:t xml:space="preserve">e.g. </w:t>
      </w:r>
      <w:r>
        <w:rPr>
          <w:rStyle w:val="Codetext"/>
        </w:rPr>
        <w:t>śrīmān</w:t>
      </w:r>
      <w:r>
        <w:rPr>
          <w:rStyle w:val="Code"/>
        </w:rPr>
        <w:t>&lt;surplus&gt;</w:t>
      </w:r>
      <w:r>
        <w:rPr>
          <w:rStyle w:val="Codetext"/>
        </w:rPr>
        <w:t>a</w:t>
      </w:r>
      <w:r>
        <w:rPr>
          <w:rStyle w:val="Code"/>
        </w:rPr>
        <w:t>&lt;/surplus&gt;</w:t>
      </w:r>
      <w:r>
        <w:rPr>
          <w:rStyle w:val="Codetext"/>
        </w:rPr>
        <w:t xml:space="preserve"> mahārājaḥ</w:t>
      </w:r>
      <w:r>
        <w:t xml:space="preserve">, where the text corrected by you and written in the original writing system would have involved the ligature </w:t>
      </w:r>
      <w:r>
        <w:rPr>
          <w:rStyle w:val="Foreign"/>
        </w:rPr>
        <w:t>nma</w:t>
      </w:r>
    </w:p>
    <w:p>
      <w:pPr>
        <w:pStyle w:val="Lista3"/>
      </w:pPr>
      <w:r>
        <w:t>if the original document employs special final forms of consonants, then the editorial correction is different again, as illustrated in the next point</w:t>
      </w:r>
    </w:p>
    <w:p>
      <w:pPr>
        <w:pStyle w:val="Lista"/>
      </w:pPr>
      <w:r>
        <w:lastRenderedPageBreak/>
        <w:t>also due to the nature of aksharic writing, the suppression or restitution of certain graphemes may entail the changing of an adjacent grapheme; for example</w:t>
      </w:r>
    </w:p>
    <w:p>
      <w:pPr>
        <w:pStyle w:val="Lista2"/>
      </w:pPr>
      <w:r>
        <w:t>supplying a consonant before an initial vowel form requires the transformation of that initial vowel into a dependent vowel</w:t>
      </w:r>
    </w:p>
    <w:p>
      <w:pPr>
        <w:pStyle w:val="Lista3"/>
      </w:pPr>
      <w:r>
        <w:t xml:space="preserve">e.g. correcting </w:t>
      </w:r>
      <w:r>
        <w:rPr>
          <w:rStyle w:val="Foreign"/>
        </w:rPr>
        <w:t>Adharma</w:t>
      </w:r>
      <w:r>
        <w:t xml:space="preserve"> to </w:t>
      </w:r>
      <w:r>
        <w:rPr>
          <w:rStyle w:val="Foreign"/>
        </w:rPr>
        <w:t>sadharma</w:t>
      </w:r>
      <w:r>
        <w:t xml:space="preserve"> is not simply a restitution of </w:t>
      </w:r>
      <w:r>
        <w:rPr>
          <w:rStyle w:val="Foreign"/>
        </w:rPr>
        <w:t>s</w:t>
      </w:r>
      <w:r>
        <w:t xml:space="preserve">, but a correction of </w:t>
      </w:r>
      <w:r>
        <w:rPr>
          <w:rStyle w:val="Foreign"/>
        </w:rPr>
        <w:t>A</w:t>
      </w:r>
      <w:r>
        <w:t xml:space="preserve"> to </w:t>
      </w:r>
      <w:r>
        <w:rPr>
          <w:rStyle w:val="Foreign"/>
        </w:rPr>
        <w:t>sa</w:t>
      </w:r>
      <w:r>
        <w:t xml:space="preserve">: </w:t>
      </w:r>
      <w:r>
        <w:rPr>
          <w:rStyle w:val="Code"/>
        </w:rPr>
        <w:t>&lt;choice&gt;&lt;sic&gt;</w:t>
      </w:r>
      <w:r>
        <w:rPr>
          <w:rStyle w:val="Codetext"/>
        </w:rPr>
        <w:t>A</w:t>
      </w:r>
      <w:r>
        <w:rPr>
          <w:rStyle w:val="Code"/>
        </w:rPr>
        <w:t>&lt;/sic&gt;&lt;corr&gt;</w:t>
      </w:r>
      <w:r>
        <w:rPr>
          <w:rStyle w:val="Codetext"/>
        </w:rPr>
        <w:t>sa</w:t>
      </w:r>
      <w:r>
        <w:rPr>
          <w:rStyle w:val="Code"/>
        </w:rPr>
        <w:t>&lt;/corr&gt;&lt;/choice&gt;</w:t>
      </w:r>
      <w:r>
        <w:rPr>
          <w:rStyle w:val="Codetext"/>
        </w:rPr>
        <w:t>dharma</w:t>
      </w:r>
    </w:p>
    <w:p>
      <w:pPr>
        <w:pStyle w:val="Lista2"/>
      </w:pPr>
      <w:r>
        <w:t>suppressing a vowel in a final position may require the transformation of the preceding consonant into a final form (if the writing system in question employs final consonant forms and one is applicable in the context)</w:t>
      </w:r>
    </w:p>
    <w:p>
      <w:pPr>
        <w:pStyle w:val="Lista3"/>
      </w:pPr>
      <w:r>
        <w:t xml:space="preserve">e.g. correcting </w:t>
      </w:r>
      <w:r>
        <w:rPr>
          <w:rStyle w:val="Foreign"/>
        </w:rPr>
        <w:t>śrīmāna</w:t>
      </w:r>
      <w:r>
        <w:t xml:space="preserve"> to </w:t>
      </w:r>
      <w:r>
        <w:rPr>
          <w:rStyle w:val="Foreign"/>
        </w:rPr>
        <w:t>śrīmāN</w:t>
      </w:r>
      <w:r>
        <w:t xml:space="preserve"> is not simply the suppression of </w:t>
      </w:r>
      <w:r>
        <w:rPr>
          <w:rStyle w:val="Foreign"/>
        </w:rPr>
        <w:t>a</w:t>
      </w:r>
      <w:r>
        <w:t xml:space="preserve">, but a correction of </w:t>
      </w:r>
      <w:r>
        <w:rPr>
          <w:rStyle w:val="Foreign"/>
        </w:rPr>
        <w:t>na</w:t>
      </w:r>
      <w:r>
        <w:t xml:space="preserve"> to </w:t>
      </w:r>
      <w:r>
        <w:rPr>
          <w:rStyle w:val="Foreign"/>
        </w:rPr>
        <w:t>N</w:t>
      </w:r>
      <w:r>
        <w:t xml:space="preserve">: </w:t>
      </w:r>
      <w:r>
        <w:rPr>
          <w:rStyle w:val="Codetext"/>
        </w:rPr>
        <w:t>śrīmā</w:t>
      </w:r>
      <w:r>
        <w:rPr>
          <w:rStyle w:val="Code"/>
        </w:rPr>
        <w:t>&lt;choice&gt;&lt;sic&gt;</w:t>
      </w:r>
      <w:r>
        <w:rPr>
          <w:rStyle w:val="Codetext"/>
        </w:rPr>
        <w:t>na</w:t>
      </w:r>
      <w:r>
        <w:rPr>
          <w:rStyle w:val="Code"/>
        </w:rPr>
        <w:t>&lt;/sic&gt;&lt;corr&gt;</w:t>
      </w:r>
      <w:r>
        <w:rPr>
          <w:rStyle w:val="Codetext"/>
        </w:rPr>
        <w:t>N</w:t>
      </w:r>
      <w:r>
        <w:rPr>
          <w:rStyle w:val="Code"/>
        </w:rPr>
        <w:t>&lt;/corr&gt;&lt;/choice&gt;</w:t>
      </w:r>
    </w:p>
    <w:p>
      <w:pPr>
        <w:pStyle w:val="Lista"/>
      </w:pPr>
      <w:r>
        <w:t>due to the nature of our transliteration scheme, some source graphemes are represented by digraphs in our editions, but an editorial change that apparently affects only part of a digraph (a single target grapheme) in fact affects a complete source grapheme (represented by two target graphemes); for example</w:t>
      </w:r>
    </w:p>
    <w:p>
      <w:pPr>
        <w:pStyle w:val="Lista2"/>
      </w:pPr>
      <w:r>
        <w:t xml:space="preserve">if the scribe engraved </w:t>
      </w:r>
      <w:r>
        <w:rPr>
          <w:rStyle w:val="Foreign"/>
        </w:rPr>
        <w:t>sukhya</w:t>
      </w:r>
      <w:r>
        <w:t xml:space="preserve"> and you correct this to </w:t>
      </w:r>
      <w:r>
        <w:rPr>
          <w:rStyle w:val="Foreign"/>
        </w:rPr>
        <w:t>saukhya</w:t>
      </w:r>
      <w:r>
        <w:t xml:space="preserve">, your rectification of that error is a correction of </w:t>
      </w:r>
      <w:r>
        <w:rPr>
          <w:rStyle w:val="Foreign"/>
        </w:rPr>
        <w:t>u</w:t>
      </w:r>
      <w:r>
        <w:t xml:space="preserve"> to </w:t>
      </w:r>
      <w:r>
        <w:rPr>
          <w:rStyle w:val="Foreign"/>
        </w:rPr>
        <w:t>au</w:t>
      </w:r>
      <w:r>
        <w:t xml:space="preserve">: </w:t>
      </w:r>
      <w:r>
        <w:rPr>
          <w:rStyle w:val="Codetext"/>
        </w:rPr>
        <w:t>s</w:t>
      </w:r>
      <w:r>
        <w:rPr>
          <w:rStyle w:val="Code"/>
        </w:rPr>
        <w:t>&lt;choice&gt;&lt;sic&gt;</w:t>
      </w:r>
      <w:r>
        <w:rPr>
          <w:rStyle w:val="Codetext"/>
        </w:rPr>
        <w:t>u</w:t>
      </w:r>
      <w:r>
        <w:rPr>
          <w:rStyle w:val="Code"/>
        </w:rPr>
        <w:t>&lt;/sic&gt;&lt;corr&gt;</w:t>
      </w:r>
      <w:r>
        <w:rPr>
          <w:rStyle w:val="Codetext"/>
        </w:rPr>
        <w:t>au</w:t>
      </w:r>
      <w:r>
        <w:rPr>
          <w:rStyle w:val="Code"/>
        </w:rPr>
        <w:t>&lt;/corr&gt;&lt;/choice&gt;</w:t>
      </w:r>
      <w:r>
        <w:rPr>
          <w:rStyle w:val="Codetext"/>
        </w:rPr>
        <w:t>khya</w:t>
      </w:r>
    </w:p>
    <w:p>
      <w:pPr>
        <w:pStyle w:val="Lista3"/>
      </w:pPr>
      <w:r>
        <w:t xml:space="preserve">not restitution of </w:t>
      </w:r>
      <w:r>
        <w:rPr>
          <w:rStyle w:val="Foreign"/>
        </w:rPr>
        <w:t>a</w:t>
      </w:r>
      <w:r>
        <w:t>, even though in transliteration you are only adding a single target grapheme</w:t>
      </w:r>
    </w:p>
    <w:p>
      <w:pPr>
        <w:pStyle w:val="Lista2"/>
      </w:pPr>
      <w:r>
        <w:t xml:space="preserve">if the scribe engraved </w:t>
      </w:r>
      <w:r>
        <w:rPr>
          <w:rStyle w:val="Foreign"/>
        </w:rPr>
        <w:t>utphannasya</w:t>
      </w:r>
      <w:r>
        <w:t xml:space="preserve"> and you correct this to </w:t>
      </w:r>
      <w:r>
        <w:rPr>
          <w:rStyle w:val="Foreign"/>
        </w:rPr>
        <w:t>utpannasya</w:t>
      </w:r>
      <w:r>
        <w:t xml:space="preserve">, your rectification of that error is a correction of </w:t>
      </w:r>
      <w:r>
        <w:rPr>
          <w:rStyle w:val="Foreign"/>
        </w:rPr>
        <w:t>ph</w:t>
      </w:r>
      <w:r>
        <w:t xml:space="preserve"> to </w:t>
      </w:r>
      <w:r>
        <w:rPr>
          <w:rStyle w:val="Foreign"/>
        </w:rPr>
        <w:t>p</w:t>
      </w:r>
      <w:r>
        <w:t xml:space="preserve">: </w:t>
      </w:r>
      <w:r>
        <w:rPr>
          <w:rStyle w:val="Codetext"/>
        </w:rPr>
        <w:t>ut</w:t>
      </w:r>
      <w:r>
        <w:rPr>
          <w:rStyle w:val="Code"/>
        </w:rPr>
        <w:t>&lt;choice&gt;&lt;sic&gt;</w:t>
      </w:r>
      <w:r>
        <w:rPr>
          <w:rStyle w:val="Codetext"/>
        </w:rPr>
        <w:t>ph</w:t>
      </w:r>
      <w:r>
        <w:rPr>
          <w:rStyle w:val="Code"/>
        </w:rPr>
        <w:t>&lt;/sic&gt;&lt;corr&gt;</w:t>
      </w:r>
      <w:r>
        <w:rPr>
          <w:rStyle w:val="Codetext"/>
        </w:rPr>
        <w:t>p</w:t>
      </w:r>
      <w:r>
        <w:rPr>
          <w:rStyle w:val="Code"/>
        </w:rPr>
        <w:t>&lt;/corr&gt;&lt;/choice&gt;</w:t>
      </w:r>
      <w:r>
        <w:rPr>
          <w:rStyle w:val="Codetext"/>
        </w:rPr>
        <w:t>annasya</w:t>
      </w:r>
    </w:p>
    <w:p>
      <w:pPr>
        <w:pStyle w:val="Lista3"/>
      </w:pPr>
      <w:r>
        <w:t xml:space="preserve">not suppression of </w:t>
      </w:r>
      <w:r>
        <w:rPr>
          <w:rStyle w:val="Foreign"/>
        </w:rPr>
        <w:t>h</w:t>
      </w:r>
      <w:r>
        <w:t>, even though in transliteration you are only removing a single target grapheme</w:t>
      </w:r>
    </w:p>
    <w:p>
      <w:pPr>
        <w:pStyle w:val="Lista2"/>
      </w:pPr>
      <w:r>
        <w:t xml:space="preserve">if the scribe engraved </w:t>
      </w:r>
      <w:r>
        <w:rPr>
          <w:rStyle w:val="Foreign"/>
        </w:rPr>
        <w:t>nikhāya</w:t>
      </w:r>
      <w:r>
        <w:t xml:space="preserve"> and you correct this to </w:t>
      </w:r>
      <w:r>
        <w:rPr>
          <w:rStyle w:val="Foreign"/>
        </w:rPr>
        <w:t>nidhāya</w:t>
      </w:r>
      <w:r>
        <w:t xml:space="preserve">, your rectification of that error is a correction of </w:t>
      </w:r>
      <w:r>
        <w:rPr>
          <w:rStyle w:val="Foreign"/>
        </w:rPr>
        <w:t>kh</w:t>
      </w:r>
      <w:r>
        <w:t xml:space="preserve"> to </w:t>
      </w:r>
      <w:r>
        <w:rPr>
          <w:rStyle w:val="Foreign"/>
        </w:rPr>
        <w:t>dh</w:t>
      </w:r>
      <w:r>
        <w:t xml:space="preserve">: </w:t>
      </w:r>
      <w:r>
        <w:rPr>
          <w:rStyle w:val="Codetext"/>
        </w:rPr>
        <w:t>ni</w:t>
      </w:r>
      <w:r>
        <w:rPr>
          <w:rStyle w:val="Code"/>
        </w:rPr>
        <w:t>&lt;choice&gt;&lt;sic&gt;</w:t>
      </w:r>
      <w:r>
        <w:rPr>
          <w:rStyle w:val="Codetext"/>
        </w:rPr>
        <w:t>kh</w:t>
      </w:r>
      <w:r>
        <w:rPr>
          <w:rStyle w:val="Code"/>
        </w:rPr>
        <w:t>&lt;/sic&gt;&lt;corr&gt;</w:t>
      </w:r>
      <w:r>
        <w:rPr>
          <w:rStyle w:val="Codetext"/>
        </w:rPr>
        <w:t>dh</w:t>
      </w:r>
      <w:r>
        <w:rPr>
          <w:rStyle w:val="Code"/>
        </w:rPr>
        <w:t>&lt;/corr&gt;&lt;/choice&gt;</w:t>
      </w:r>
      <w:r>
        <w:rPr>
          <w:rStyle w:val="Codetext"/>
        </w:rPr>
        <w:t>āya</w:t>
      </w:r>
    </w:p>
    <w:p>
      <w:pPr>
        <w:pStyle w:val="Lista3"/>
      </w:pPr>
      <w:r>
        <w:t xml:space="preserve">not correction of </w:t>
      </w:r>
      <w:r>
        <w:rPr>
          <w:rStyle w:val="Foreign"/>
        </w:rPr>
        <w:t>k</w:t>
      </w:r>
      <w:r>
        <w:t xml:space="preserve"> to </w:t>
      </w:r>
      <w:r>
        <w:rPr>
          <w:rStyle w:val="Foreign"/>
        </w:rPr>
        <w:t>d</w:t>
      </w:r>
      <w:r>
        <w:t>, even though in transliteration you are only changing that target grapheme</w:t>
      </w:r>
    </w:p>
    <w:p>
      <w:pPr>
        <w:pStyle w:val="Cmsor3"/>
      </w:pPr>
      <w:bookmarkStart w:id="622" w:name="_Ref228973253"/>
      <w:bookmarkStart w:id="623" w:name="_Toc242976660"/>
      <w:r>
        <w:t>The scope of editorial intervention</w:t>
      </w:r>
      <w:bookmarkEnd w:id="622"/>
      <w:bookmarkEnd w:id="623"/>
    </w:p>
    <w:p>
      <w:r>
        <w:rPr>
          <w:lang w:eastAsia="en-US" w:bidi="ar-SA"/>
        </w:rPr>
        <w:t xml:space="preserve">When you flag or rectify anomalous language, the </w:t>
      </w:r>
      <w:r>
        <w:t>size of segments included in your tags should generally be whatever you deem to be a reasonable minimum to which the anomaly can be localised. Instead of placing only the absolute minimum within your tags, you may choose to include relevant context. In this connection, relevant context means any adjacent graphemes (or, for higher-level intervention, adjacent morphemes) which in your opinion may have played a role in generating the anomaly (as phonetic context engendering the use of an unexpected phoneme; as graphetic context engendering the use of an unexpected graph; or as grammatical or semantic context engendering the use of an unexpected word or morpheme), or are useful for highlighting the nature of the anomaly by suggesting what the expected reading should have been. Whether or not to include context is not a wholly subjective decision, and the choice has very little ultimate effect on our corpus so long as the received text is faithfully reproduced and any editorial intervention accurately reflects the rectified text. See also §</w:t>
      </w:r>
      <w:r>
        <w:fldChar w:fldCharType="begin"/>
      </w:r>
      <w:r>
        <w:instrText xml:space="preserve"> REF _Ref228956991 \r \h </w:instrText>
      </w:r>
      <w:r>
        <w:fldChar w:fldCharType="separate"/>
      </w:r>
      <w:r>
        <w:t>7.7.3</w:t>
      </w:r>
      <w:r>
        <w:fldChar w:fldCharType="end"/>
      </w:r>
      <w:r>
        <w:t xml:space="preserve"> on the option to encode several editorial changes as a single intervention. Additional considerations are provided for the normalisation and flagging of non-standard readings (§</w:t>
      </w:r>
      <w:r>
        <w:fldChar w:fldCharType="begin"/>
      </w:r>
      <w:r>
        <w:instrText xml:space="preserve"> REF _Ref228957347 \r \h </w:instrText>
      </w:r>
      <w:r>
        <w:fldChar w:fldCharType="separate"/>
      </w:r>
      <w:r>
        <w:t>7.7.2.1</w:t>
      </w:r>
      <w:r>
        <w:fldChar w:fldCharType="end"/>
      </w:r>
      <w:r>
        <w:t xml:space="preserve">). </w:t>
      </w:r>
    </w:p>
    <w:p>
      <w:pPr>
        <w:pStyle w:val="Lista"/>
      </w:pPr>
      <w:r>
        <w:t>the rectification of orthography should target only the specific graphemes involved</w:t>
      </w:r>
    </w:p>
    <w:p>
      <w:pPr>
        <w:pStyle w:val="Lista2"/>
      </w:pPr>
      <w:r>
        <w:t>when anomalous orthography is flagged but not corrected, you may choose to include relevant context</w:t>
      </w:r>
    </w:p>
    <w:p>
      <w:pPr>
        <w:pStyle w:val="Lista3"/>
      </w:pPr>
      <w:r>
        <w:t xml:space="preserve">e.g. </w:t>
      </w:r>
      <w:r>
        <w:rPr>
          <w:rStyle w:val="Codetext"/>
        </w:rPr>
        <w:t>sahas</w:t>
      </w:r>
      <w:r>
        <w:rPr>
          <w:rStyle w:val="Code"/>
        </w:rPr>
        <w:t>&lt;orig&gt;</w:t>
      </w:r>
      <w:r>
        <w:rPr>
          <w:rStyle w:val="Codetext"/>
        </w:rPr>
        <w:t>rān</w:t>
      </w:r>
      <w:r>
        <w:rPr>
          <w:rStyle w:val="Code"/>
        </w:rPr>
        <w:t>&lt;/orig&gt;</w:t>
      </w:r>
      <w:r>
        <w:rPr>
          <w:rStyle w:val="Codetext"/>
        </w:rPr>
        <w:t>i</w:t>
      </w:r>
      <w:r>
        <w:t xml:space="preserve"> </w:t>
      </w:r>
      <w:r>
        <w:rPr>
          <w:noProof/>
        </w:rPr>
        <w:t>(</w:t>
      </w:r>
      <w:r>
        <w:rPr>
          <w:rStyle w:val="Foreign"/>
        </w:rPr>
        <w:t>sahasrāṇi</w:t>
      </w:r>
      <w:r>
        <w:t xml:space="preserve"> is expected, and it is the vicinity of </w:t>
      </w:r>
      <w:r>
        <w:rPr>
          <w:rStyle w:val="Foreign"/>
        </w:rPr>
        <w:t>r</w:t>
      </w:r>
      <w:r>
        <w:t xml:space="preserve"> that drives the retroflexion of </w:t>
      </w:r>
      <w:r>
        <w:rPr>
          <w:rStyle w:val="Foreign"/>
        </w:rPr>
        <w:t>n</w:t>
      </w:r>
      <w:r>
        <w:t>)</w:t>
      </w:r>
    </w:p>
    <w:p>
      <w:pPr>
        <w:pStyle w:val="Lista"/>
      </w:pPr>
      <w:r>
        <w:t>the rectification of grammar may target</w:t>
      </w:r>
    </w:p>
    <w:p>
      <w:pPr>
        <w:pStyle w:val="Lista2"/>
      </w:pPr>
      <w:r>
        <w:t>a specific grapheme or a small cluster of adjacent graphemes, when this is sufficient to clarify the correction</w:t>
      </w:r>
    </w:p>
    <w:p>
      <w:pPr>
        <w:pStyle w:val="Lista3"/>
      </w:pPr>
      <w:r>
        <w:t xml:space="preserve">e.g. </w:t>
      </w:r>
      <w:r>
        <w:rPr>
          <w:rStyle w:val="Codetext"/>
        </w:rPr>
        <w:t>yuṣmābh</w:t>
      </w:r>
      <w:r>
        <w:rPr>
          <w:rStyle w:val="Code"/>
        </w:rPr>
        <w:t>&lt;choice&gt;&lt;sic&gt;ya&lt;/sic&gt;&lt;corr&gt;</w:t>
      </w:r>
      <w:r>
        <w:rPr>
          <w:rStyle w:val="Codetext"/>
        </w:rPr>
        <w:t>i</w:t>
      </w:r>
      <w:r>
        <w:rPr>
          <w:rStyle w:val="Code"/>
        </w:rPr>
        <w:t>&lt;/corr&gt;&lt;/choice&gt;</w:t>
      </w:r>
      <w:r>
        <w:rPr>
          <w:rStyle w:val="Codetext"/>
        </w:rPr>
        <w:t>ḥ</w:t>
      </w:r>
    </w:p>
    <w:p>
      <w:pPr>
        <w:pStyle w:val="Lista2"/>
      </w:pPr>
      <w:r>
        <w:t>the whole of a morpheme (word, stem, prefix, suffix, ending) when you feel that this improves clarity or when several non-adjacent graphemes would otherwise need to be modified</w:t>
      </w:r>
    </w:p>
    <w:p>
      <w:pPr>
        <w:pStyle w:val="Lista3"/>
      </w:pPr>
      <w:r>
        <w:t xml:space="preserve">e.g. </w:t>
      </w:r>
      <w:r>
        <w:rPr>
          <w:rStyle w:val="Codetext"/>
        </w:rPr>
        <w:t>mahārāj</w:t>
      </w:r>
      <w:r>
        <w:rPr>
          <w:rStyle w:val="Code"/>
        </w:rPr>
        <w:t>&lt;choice&gt;&lt;sic&gt;</w:t>
      </w:r>
      <w:r>
        <w:rPr>
          <w:rStyle w:val="Codetext"/>
        </w:rPr>
        <w:t>asya</w:t>
      </w:r>
      <w:r>
        <w:rPr>
          <w:rStyle w:val="Code"/>
        </w:rPr>
        <w:t>&lt;/sic&gt;&lt;corr&gt;</w:t>
      </w:r>
      <w:r>
        <w:rPr>
          <w:rStyle w:val="Codetext"/>
        </w:rPr>
        <w:t>ena</w:t>
      </w:r>
      <w:r>
        <w:rPr>
          <w:rStyle w:val="Code"/>
        </w:rPr>
        <w:t>&lt;/corr&gt;&lt;/choice&gt;</w:t>
      </w:r>
    </w:p>
    <w:p>
      <w:pPr>
        <w:pStyle w:val="Lista2"/>
      </w:pPr>
      <w:r>
        <w:lastRenderedPageBreak/>
        <w:t>when anomalous grammar is flagged but not corrected, you may choose to include context beyond the affected word</w:t>
      </w:r>
    </w:p>
    <w:p>
      <w:pPr>
        <w:pStyle w:val="Lista3"/>
      </w:pPr>
      <w:r>
        <w:t xml:space="preserve">e.g. </w:t>
      </w:r>
      <w:r>
        <w:rPr>
          <w:rStyle w:val="Code"/>
        </w:rPr>
        <w:t>&lt;orig&gt;</w:t>
      </w:r>
      <w:r>
        <w:rPr>
          <w:rStyle w:val="Codetext"/>
        </w:rPr>
        <w:t>tasmai viprasya</w:t>
      </w:r>
      <w:r>
        <w:rPr>
          <w:rStyle w:val="Code"/>
        </w:rPr>
        <w:t>&lt;/orig&gt;</w:t>
      </w:r>
      <w:r>
        <w:t xml:space="preserve"> (where either </w:t>
      </w:r>
      <w:r>
        <w:rPr>
          <w:rStyle w:val="Foreign"/>
        </w:rPr>
        <w:t>tasya viprasya</w:t>
      </w:r>
      <w:r>
        <w:t xml:space="preserve"> or </w:t>
      </w:r>
      <w:r>
        <w:rPr>
          <w:rStyle w:val="Foreign"/>
        </w:rPr>
        <w:t>tasmai viprāya</w:t>
      </w:r>
      <w:r>
        <w:t xml:space="preserve"> would be expected)</w:t>
      </w:r>
    </w:p>
    <w:p>
      <w:pPr>
        <w:pStyle w:val="Lista"/>
      </w:pPr>
      <w:r>
        <w:t>the rectification (in particular, normalisation) of non-standard lexicon should normally target whole words</w:t>
      </w:r>
    </w:p>
    <w:p>
      <w:pPr>
        <w:pStyle w:val="Lista2"/>
      </w:pPr>
      <w:r>
        <w:t>but you may choose to target smaller units if this seems more expedient, for instance in a word that mixes Sanskritic and Middle Indic characteristics</w:t>
      </w:r>
    </w:p>
    <w:p>
      <w:pPr>
        <w:pStyle w:val="Lista"/>
      </w:pPr>
      <w:r>
        <w:t>editorial intervention at a larger scale, involving entire phrases or the transposition of words, should preferably not be made in the edition but only suggested in an apparatus note (§</w:t>
      </w:r>
      <w:r>
        <w:fldChar w:fldCharType="begin"/>
      </w:r>
      <w:r>
        <w:instrText xml:space="preserve"> REF _Ref43988104 \w \h  \* MERGEFORMAT </w:instrText>
      </w:r>
      <w:r>
        <w:fldChar w:fldCharType="separate"/>
      </w:r>
      <w:r>
        <w:t>10.7</w:t>
      </w:r>
      <w:r>
        <w:fldChar w:fldCharType="end"/>
      </w:r>
      <w:r>
        <w:t>)</w:t>
      </w:r>
    </w:p>
    <w:p>
      <w:pPr>
        <w:pStyle w:val="Lista2"/>
      </w:pPr>
      <w:r>
        <w:t>but exceptions may be made for well-understood text with numerous anomalies</w:t>
      </w:r>
    </w:p>
    <w:p>
      <w:pPr>
        <w:pStyle w:val="Lista2"/>
      </w:pPr>
      <w:r>
        <w:t xml:space="preserve">in particular, feel free to include the contents of an entire </w:t>
      </w:r>
      <w:r>
        <w:rPr>
          <w:rStyle w:val="Code"/>
        </w:rPr>
        <w:t>&lt;l&gt;</w:t>
      </w:r>
      <w:r>
        <w:t xml:space="preserve"> element in a single substitution in the stock admonitory stanzas cited in land grants, whose error-rate is often much higher than in the remainder of an inscription</w:t>
      </w:r>
    </w:p>
    <w:p>
      <w:pPr>
        <w:pStyle w:val="Lista3"/>
      </w:pPr>
      <w:r>
        <w:t xml:space="preserve">e.g. </w:t>
      </w:r>
      <w:r>
        <w:rPr>
          <w:rStyle w:val="Code"/>
        </w:rPr>
        <w:t>&lt;l&gt;&lt;choice&gt;&lt;orig&gt;</w:t>
      </w:r>
      <w:r>
        <w:rPr>
          <w:rStyle w:val="Codetext"/>
        </w:rPr>
        <w:t>sva-datnā para-datnā vvā</w:t>
      </w:r>
      <w:r>
        <w:rPr>
          <w:rStyle w:val="Code"/>
        </w:rPr>
        <w:t>&lt;/orig&gt;&lt;reg&gt;</w:t>
      </w:r>
      <w:r>
        <w:rPr>
          <w:rStyle w:val="Codetext"/>
        </w:rPr>
        <w:t>sva-dattāṁ para-dattāṁ vā</w:t>
      </w:r>
      <w:r>
        <w:rPr>
          <w:rStyle w:val="Code"/>
        </w:rPr>
        <w:t>&lt;/reg&gt;&lt;/choice&gt;&lt;/l&gt;</w:t>
      </w:r>
    </w:p>
    <w:p>
      <w:pPr>
        <w:pStyle w:val="Cmsor4"/>
      </w:pPr>
      <w:bookmarkStart w:id="624" w:name="_Ref228957347"/>
      <w:r>
        <w:t>The minimum scope of intervention for non-standard readings</w:t>
      </w:r>
      <w:bookmarkEnd w:id="624"/>
    </w:p>
    <w:p>
      <w:r>
        <w:t>As indicated in §</w:t>
      </w:r>
      <w:r>
        <w:fldChar w:fldCharType="begin"/>
      </w:r>
      <w:r>
        <w:instrText xml:space="preserve"> REF _Ref228885762 \r \h </w:instrText>
      </w:r>
      <w:r>
        <w:fldChar w:fldCharType="separate"/>
      </w:r>
      <w:r>
        <w:t>7.2.1</w:t>
      </w:r>
      <w:r>
        <w:fldChar w:fldCharType="end"/>
      </w:r>
      <w:r>
        <w:t xml:space="preserve"> above, there is no encoding method dedicated to the suppression or restitution of individual graphemes in the framework of normalisation, so normalisation must always be encoded as substitution, even if the normalised reading can be obtained simply by adding or removing specific graphemes to or from the received text. Although it is theoretically permissible to leave empty either of the children of </w:t>
      </w:r>
      <w:r>
        <w:rPr>
          <w:rStyle w:val="Code"/>
        </w:rPr>
        <w:t>&lt;choice&gt;</w:t>
      </w:r>
      <w:r>
        <w:t xml:space="preserve"> </w:t>
      </w:r>
      <w:r>
        <w:rPr>
          <w:noProof/>
        </w:rPr>
        <w:t>(</w:t>
      </w:r>
      <w:r>
        <w:t xml:space="preserve">i.e. </w:t>
      </w:r>
      <w:r>
        <w:rPr>
          <w:rStyle w:val="Code"/>
        </w:rPr>
        <w:t>&lt;orig&gt;</w:t>
      </w:r>
      <w:r>
        <w:t xml:space="preserve"> or </w:t>
      </w:r>
      <w:r>
        <w:rPr>
          <w:rStyle w:val="Code"/>
        </w:rPr>
        <w:t>&lt;reg&gt;</w:t>
      </w:r>
      <w:r>
        <w:t xml:space="preserve">), and thus simulate suppletion or suppression, we avoid doing this in DHARMA practice because it is conceptually complicated and may be difficult to interpret when rendered for display. Moreover, doing so would still leave us without a method for merely flagging a locus that could be normalised by adding a specific grapheme. Therefore, when flagging or normalising non-standard usage, at least one adjacent grapheme must be included in your markup in the following situations. </w:t>
      </w:r>
    </w:p>
    <w:p>
      <w:pPr>
        <w:pStyle w:val="Lista"/>
      </w:pPr>
      <w:r>
        <w:t>when non-standard orthography manifests as the absence of an expected grapheme, then relevant context must be included in the markup</w:t>
      </w:r>
    </w:p>
    <w:p>
      <w:pPr>
        <w:pStyle w:val="Lista2"/>
      </w:pPr>
      <w:r>
        <w:t>in flagging (because nothing else is there to flag), e.g.</w:t>
      </w:r>
    </w:p>
    <w:p>
      <w:pPr>
        <w:pStyle w:val="Lista3"/>
      </w:pPr>
      <w:r>
        <w:rPr>
          <w:rStyle w:val="Codetext"/>
        </w:rPr>
        <w:t>sa</w:t>
      </w:r>
      <w:r>
        <w:rPr>
          <w:rStyle w:val="Code"/>
        </w:rPr>
        <w:t>&lt;orig&gt;</w:t>
      </w:r>
      <w:r>
        <w:rPr>
          <w:rStyle w:val="Codetext"/>
        </w:rPr>
        <w:t>t</w:t>
      </w:r>
      <w:r>
        <w:rPr>
          <w:rStyle w:val="Code"/>
        </w:rPr>
        <w:t>&lt;/orig&gt;v</w:t>
      </w:r>
      <w:r>
        <w:rPr>
          <w:rStyle w:val="Codetext"/>
        </w:rPr>
        <w:t>a</w:t>
      </w:r>
    </w:p>
    <w:p>
      <w:pPr>
        <w:pStyle w:val="Lista3"/>
      </w:pPr>
      <w:r>
        <w:rPr>
          <w:rStyle w:val="Codetext"/>
        </w:rPr>
        <w:t>qə</w:t>
      </w:r>
      <w:r>
        <w:rPr>
          <w:rStyle w:val="Code"/>
        </w:rPr>
        <w:t>&lt;orig&gt;</w:t>
      </w:r>
      <w:r>
        <w:rPr>
          <w:rStyle w:val="Codetext"/>
        </w:rPr>
        <w:t>c</w:t>
      </w:r>
      <w:r>
        <w:rPr>
          <w:rStyle w:val="Code"/>
        </w:rPr>
        <w:t>&lt;/orig&gt;</w:t>
      </w:r>
      <w:r>
        <w:rPr>
          <w:rStyle w:val="Codetext"/>
        </w:rPr>
        <w:t>u</w:t>
      </w:r>
    </w:p>
    <w:p>
      <w:pPr>
        <w:pStyle w:val="Lista3"/>
      </w:pPr>
      <w:r>
        <w:rPr>
          <w:rStyle w:val="Codetext"/>
        </w:rPr>
        <w:t>sakuli</w:t>
      </w:r>
      <w:r>
        <w:rPr>
          <w:rStyle w:val="Code"/>
        </w:rPr>
        <w:t>&lt;orig&gt;</w:t>
      </w:r>
      <w:r>
        <w:rPr>
          <w:rStyle w:val="Codetext"/>
        </w:rPr>
        <w:t>li</w:t>
      </w:r>
      <w:r>
        <w:rPr>
          <w:rStyle w:val="Code"/>
        </w:rPr>
        <w:t>&lt;/orig&gt;</w:t>
      </w:r>
      <w:r>
        <w:rPr>
          <w:rStyle w:val="Codetext"/>
        </w:rPr>
        <w:t xml:space="preserve"> ḍayəḥ</w:t>
      </w:r>
    </w:p>
    <w:p>
      <w:pPr>
        <w:pStyle w:val="Lista2"/>
      </w:pPr>
      <w:r>
        <w:t xml:space="preserve">as well as in normalisation (to avoid using an empty </w:t>
      </w:r>
      <w:r>
        <w:rPr>
          <w:rStyle w:val="Code"/>
        </w:rPr>
        <w:t>&lt;orig&gt;</w:t>
      </w:r>
      <w:r>
        <w:t xml:space="preserve"> element), e.g.</w:t>
      </w:r>
    </w:p>
    <w:p>
      <w:pPr>
        <w:pStyle w:val="Lista3"/>
      </w:pPr>
      <w:r>
        <w:rPr>
          <w:rStyle w:val="Codetext"/>
        </w:rPr>
        <w:t>sa</w:t>
      </w:r>
      <w:r>
        <w:rPr>
          <w:rStyle w:val="Code"/>
        </w:rPr>
        <w:t>&lt;choice&gt;&lt;orig&gt;</w:t>
      </w:r>
      <w:r>
        <w:rPr>
          <w:rStyle w:val="Codetext"/>
        </w:rPr>
        <w:t>t</w:t>
      </w:r>
      <w:r>
        <w:rPr>
          <w:rStyle w:val="Code"/>
        </w:rPr>
        <w:t>&lt;/orig&gt;&lt;reg&gt;</w:t>
      </w:r>
      <w:r>
        <w:rPr>
          <w:rStyle w:val="Codetext"/>
        </w:rPr>
        <w:t>tt</w:t>
      </w:r>
      <w:r>
        <w:rPr>
          <w:rStyle w:val="Code"/>
        </w:rPr>
        <w:t>&lt;/reg&gt;&lt;/choice&gt;v</w:t>
      </w:r>
      <w:r>
        <w:rPr>
          <w:rStyle w:val="Codetext"/>
        </w:rPr>
        <w:t>a</w:t>
      </w:r>
    </w:p>
    <w:p>
      <w:pPr>
        <w:pStyle w:val="Lista3"/>
      </w:pPr>
      <w:r>
        <w:rPr>
          <w:rStyle w:val="Codetext"/>
        </w:rPr>
        <w:t>qə</w:t>
      </w:r>
      <w:r>
        <w:rPr>
          <w:rStyle w:val="Code"/>
        </w:rPr>
        <w:t>&lt;choice&gt;&lt;orig&gt;</w:t>
      </w:r>
      <w:r>
        <w:rPr>
          <w:rStyle w:val="Codetext"/>
        </w:rPr>
        <w:t>c</w:t>
      </w:r>
      <w:r>
        <w:rPr>
          <w:rStyle w:val="Code"/>
        </w:rPr>
        <w:t>&lt;/orig&gt;&lt;reg&gt;</w:t>
      </w:r>
      <w:r>
        <w:rPr>
          <w:rStyle w:val="Codetext"/>
        </w:rPr>
        <w:t>ñc</w:t>
      </w:r>
      <w:r>
        <w:rPr>
          <w:rStyle w:val="Code"/>
        </w:rPr>
        <w:t>&lt;/reg&gt;&lt;/choice&gt;</w:t>
      </w:r>
      <w:r>
        <w:rPr>
          <w:rStyle w:val="Codetext"/>
        </w:rPr>
        <w:t>u</w:t>
      </w:r>
    </w:p>
    <w:p>
      <w:pPr>
        <w:pStyle w:val="Lista3"/>
      </w:pPr>
      <w:r>
        <w:rPr>
          <w:rStyle w:val="Codetext"/>
        </w:rPr>
        <w:t>sakuli</w:t>
      </w:r>
      <w:r>
        <w:rPr>
          <w:rStyle w:val="Code"/>
        </w:rPr>
        <w:t>&lt;choice&gt;&lt;orig&gt;</w:t>
      </w:r>
      <w:r>
        <w:rPr>
          <w:rStyle w:val="Codetext"/>
        </w:rPr>
        <w:t>li</w:t>
      </w:r>
      <w:r>
        <w:rPr>
          <w:rStyle w:val="Code"/>
        </w:rPr>
        <w:t>&lt;/orig&gt;&lt;reg&gt;</w:t>
      </w:r>
      <w:r>
        <w:rPr>
          <w:rStyle w:val="Codetext"/>
        </w:rPr>
        <w:t>liṁ</w:t>
      </w:r>
      <w:r>
        <w:rPr>
          <w:rStyle w:val="Code"/>
        </w:rPr>
        <w:t>&lt;/reg&gt;&lt;/choice&gt;</w:t>
      </w:r>
      <w:r>
        <w:rPr>
          <w:rStyle w:val="Codetext"/>
        </w:rPr>
        <w:t xml:space="preserve"> ḍayəḥ</w:t>
      </w:r>
    </w:p>
    <w:p>
      <w:pPr>
        <w:pStyle w:val="Lista"/>
      </w:pPr>
      <w:r>
        <w:t>when non-standard orthography manifests as the presence of a superfluous grapheme, then</w:t>
      </w:r>
    </w:p>
    <w:p>
      <w:pPr>
        <w:pStyle w:val="Lista3"/>
      </w:pPr>
      <w:r>
        <w:t>choose at your discretion whether to flag only the superfluous grapheme or include relevant context, e.g.</w:t>
      </w:r>
    </w:p>
    <w:p>
      <w:pPr>
        <w:pStyle w:val="Lista4"/>
      </w:pPr>
      <w:r>
        <w:rPr>
          <w:rStyle w:val="Codetext"/>
        </w:rPr>
        <w:t>e</w:t>
      </w:r>
      <w:r>
        <w:rPr>
          <w:rStyle w:val="Code"/>
        </w:rPr>
        <w:t>&lt;orig&gt;</w:t>
      </w:r>
      <w:r>
        <w:rPr>
          <w:rStyle w:val="Codetext"/>
        </w:rPr>
        <w:t>ṉ</w:t>
      </w:r>
      <w:r>
        <w:rPr>
          <w:rStyle w:val="Code"/>
        </w:rPr>
        <w:t>&lt;/orig&gt;</w:t>
      </w:r>
      <w:r>
        <w:rPr>
          <w:rStyle w:val="Codetext"/>
        </w:rPr>
        <w:t>ṉ eḻuttu</w:t>
      </w:r>
      <w:r>
        <w:t xml:space="preserve"> or </w:t>
      </w:r>
      <w:r>
        <w:rPr>
          <w:rStyle w:val="Codetext"/>
        </w:rPr>
        <w:t>e</w:t>
      </w:r>
      <w:r>
        <w:rPr>
          <w:rStyle w:val="Code"/>
        </w:rPr>
        <w:t>&lt;orig&gt;</w:t>
      </w:r>
      <w:r>
        <w:rPr>
          <w:rStyle w:val="Codetext"/>
        </w:rPr>
        <w:t>ṉṉ</w:t>
      </w:r>
      <w:r>
        <w:rPr>
          <w:rStyle w:val="Code"/>
        </w:rPr>
        <w:t>&lt;/orig&gt;</w:t>
      </w:r>
      <w:r>
        <w:rPr>
          <w:rStyle w:val="Codetext"/>
        </w:rPr>
        <w:t xml:space="preserve"> eḻuttu</w:t>
      </w:r>
    </w:p>
    <w:p>
      <w:pPr>
        <w:pStyle w:val="Lista4"/>
      </w:pPr>
      <w:r>
        <w:rPr>
          <w:rStyle w:val="Codetext"/>
        </w:rPr>
        <w:t>sa</w:t>
      </w:r>
      <w:r>
        <w:rPr>
          <w:rStyle w:val="Code"/>
        </w:rPr>
        <w:t>&lt;orig&gt;</w:t>
      </w:r>
      <w:r>
        <w:rPr>
          <w:rStyle w:val="Codetext"/>
        </w:rPr>
        <w:t>ṁ</w:t>
      </w:r>
      <w:r>
        <w:rPr>
          <w:rStyle w:val="Code"/>
        </w:rPr>
        <w:t>&lt;/orig&gt;</w:t>
      </w:r>
      <w:r>
        <w:rPr>
          <w:rStyle w:val="Codetext"/>
        </w:rPr>
        <w:t>mvat</w:t>
      </w:r>
      <w:r>
        <w:t xml:space="preserve"> or </w:t>
      </w:r>
      <w:r>
        <w:rPr>
          <w:rStyle w:val="Codetext"/>
        </w:rPr>
        <w:t>sa</w:t>
      </w:r>
      <w:r>
        <w:rPr>
          <w:rStyle w:val="Code"/>
        </w:rPr>
        <w:t>&lt;orig&gt;</w:t>
      </w:r>
      <w:r>
        <w:rPr>
          <w:rStyle w:val="Codetext"/>
        </w:rPr>
        <w:t>ṁm</w:t>
      </w:r>
      <w:r>
        <w:rPr>
          <w:rStyle w:val="Code"/>
        </w:rPr>
        <w:t>&lt;/orig&gt;</w:t>
      </w:r>
      <w:r>
        <w:rPr>
          <w:rStyle w:val="Codetext"/>
        </w:rPr>
        <w:t>vat</w:t>
      </w:r>
    </w:p>
    <w:p>
      <w:pPr>
        <w:pStyle w:val="Lista3"/>
      </w:pPr>
      <w:r>
        <w:t xml:space="preserve">while relevant context must be included in normalisation (to avoid the creation of an empty </w:t>
      </w:r>
      <w:r>
        <w:rPr>
          <w:rStyle w:val="Code"/>
        </w:rPr>
        <w:t>&lt;reg&gt;</w:t>
      </w:r>
      <w:r>
        <w:t xml:space="preserve"> element), e.g.</w:t>
      </w:r>
    </w:p>
    <w:p>
      <w:pPr>
        <w:pStyle w:val="Lista4"/>
      </w:pPr>
      <w:r>
        <w:rPr>
          <w:rStyle w:val="Codetext"/>
        </w:rPr>
        <w:t>e</w:t>
      </w:r>
      <w:r>
        <w:rPr>
          <w:rStyle w:val="Code"/>
        </w:rPr>
        <w:t>&lt;choice&gt;&lt;orig&gt;</w:t>
      </w:r>
      <w:r>
        <w:rPr>
          <w:rStyle w:val="Codetext"/>
        </w:rPr>
        <w:t>ṉṉ</w:t>
      </w:r>
      <w:r>
        <w:rPr>
          <w:rStyle w:val="Code"/>
        </w:rPr>
        <w:t>&lt;/orig&gt;&lt;reg&gt;</w:t>
      </w:r>
      <w:r>
        <w:rPr>
          <w:rStyle w:val="Codetext"/>
        </w:rPr>
        <w:t>ṉ</w:t>
      </w:r>
      <w:r>
        <w:rPr>
          <w:rStyle w:val="Code"/>
        </w:rPr>
        <w:t>&lt;/reg&gt;&lt;/choice&gt;</w:t>
      </w:r>
      <w:r>
        <w:rPr>
          <w:rStyle w:val="Codetext"/>
        </w:rPr>
        <w:t xml:space="preserve"> eḻuttu</w:t>
      </w:r>
    </w:p>
    <w:p>
      <w:pPr>
        <w:pStyle w:val="Lista4"/>
      </w:pPr>
      <w:r>
        <w:rPr>
          <w:rStyle w:val="Codetext"/>
        </w:rPr>
        <w:t>sa</w:t>
      </w:r>
      <w:r>
        <w:rPr>
          <w:rStyle w:val="Code"/>
        </w:rPr>
        <w:t>&lt;choice&gt;&lt;orig&gt;</w:t>
      </w:r>
      <w:r>
        <w:rPr>
          <w:rStyle w:val="Codetext"/>
        </w:rPr>
        <w:t>ṁm</w:t>
      </w:r>
      <w:r>
        <w:rPr>
          <w:rStyle w:val="Code"/>
        </w:rPr>
        <w:t>&lt;/orig&gt;&lt;reg&gt;</w:t>
      </w:r>
      <w:r>
        <w:rPr>
          <w:rStyle w:val="Codetext"/>
        </w:rPr>
        <w:t>m</w:t>
      </w:r>
      <w:r>
        <w:rPr>
          <w:rStyle w:val="Code"/>
        </w:rPr>
        <w:t>&lt;/reg&gt;&lt;/choice&gt;</w:t>
      </w:r>
      <w:r>
        <w:rPr>
          <w:rStyle w:val="Codetext"/>
        </w:rPr>
        <w:t>vat</w:t>
      </w:r>
    </w:p>
    <w:p>
      <w:pPr>
        <w:pStyle w:val="Cmsor3"/>
      </w:pPr>
      <w:bookmarkStart w:id="625" w:name="_Ref228956991"/>
      <w:bookmarkStart w:id="626" w:name="_Toc242976661"/>
      <w:r>
        <w:t>The precision of editorial intervention</w:t>
      </w:r>
      <w:bookmarkEnd w:id="625"/>
      <w:bookmarkEnd w:id="626"/>
    </w:p>
    <w:p>
      <w:pPr>
        <w:rPr>
          <w:lang w:eastAsia="en-US" w:bidi="ar-SA"/>
        </w:rPr>
      </w:pPr>
      <w:r>
        <w:rPr>
          <w:lang w:eastAsia="en-US" w:bidi="ar-SA"/>
        </w:rPr>
        <w:t>The tools at our disposal allow us to encode editorial intervention at the level of individual graphemes (§</w:t>
      </w:r>
      <w:r>
        <w:rPr>
          <w:lang w:eastAsia="en-US" w:bidi="ar-SA"/>
        </w:rPr>
        <w:fldChar w:fldCharType="begin"/>
      </w:r>
      <w:r>
        <w:rPr>
          <w:lang w:eastAsia="en-US" w:bidi="ar-SA"/>
        </w:rPr>
        <w:instrText xml:space="preserve"> REF _Ref228952859 \r \h </w:instrText>
      </w:r>
      <w:r>
        <w:rPr>
          <w:lang w:eastAsia="en-US" w:bidi="ar-SA"/>
        </w:rPr>
      </w:r>
      <w:r>
        <w:rPr>
          <w:lang w:eastAsia="en-US" w:bidi="ar-SA"/>
        </w:rPr>
        <w:fldChar w:fldCharType="separate"/>
      </w:r>
      <w:r>
        <w:rPr>
          <w:lang w:eastAsia="en-US" w:bidi="ar-SA"/>
        </w:rPr>
        <w:t>7.7.1</w:t>
      </w:r>
      <w:r>
        <w:rPr>
          <w:lang w:eastAsia="en-US" w:bidi="ar-SA"/>
        </w:rPr>
        <w:fldChar w:fldCharType="end"/>
      </w:r>
      <w:r>
        <w:rPr>
          <w:lang w:eastAsia="en-US" w:bidi="ar-SA"/>
        </w:rPr>
        <w:t xml:space="preserve">). This level of precision is, in an ideal situation, applicable to and desirable in all editorial intervention. However, many source documents call for a large number of editorial corrections and, as the case may </w:t>
      </w:r>
      <w:r>
        <w:rPr>
          <w:lang w:eastAsia="en-US" w:bidi="ar-SA"/>
        </w:rPr>
        <w:lastRenderedPageBreak/>
        <w:t xml:space="preserve">be, normalisations. Encoding several separate editorial interventions in a small space creates clutter which makes it difficult to work with (and easy to make mistakes in) our encoded files and can also hinder the legibility of the edition as displayed to the end user. The purpose of editorial intervention is to reveal to the scholarly reader where the editor sees a problem with the received text, how the editor identifies that problem, and how she rectifies it. This can be likewise achieved by bundling several alterations into a single act of intervention. </w:t>
      </w:r>
      <w:r>
        <w:t xml:space="preserve">So long as the received text is faithfully reproduced </w:t>
      </w:r>
      <w:r>
        <w:rPr>
          <w:noProof/>
        </w:rPr>
        <w:t>(</w:t>
      </w:r>
      <w:r>
        <w:t>and if an editorial rectification is present, then that too is accurate and fits the context), the tagging of a short segment and the tagging of a longer segment that includes graphemes not directly involved in the anomaly are functionally equivalent.</w:t>
      </w:r>
      <w:r>
        <w:rPr>
          <w:lang w:eastAsia="en-US" w:bidi="ar-SA"/>
        </w:rPr>
        <w:t xml:space="preserve"> Therefore, at your discretion, feel free to encode a single editorial substitution on a string of graphemes that would, in principle, call for several separate interventions on smaller units. </w:t>
      </w:r>
    </w:p>
    <w:p>
      <w:pPr>
        <w:pStyle w:val="Lista"/>
      </w:pPr>
      <w:r>
        <w:t>for example</w:t>
      </w:r>
    </w:p>
    <w:p>
      <w:pPr>
        <w:pStyle w:val="Lista2"/>
      </w:pPr>
      <w:r>
        <w:t xml:space="preserve">a single correction </w:t>
      </w:r>
      <w:r>
        <w:rPr>
          <w:rStyle w:val="Codetext"/>
        </w:rPr>
        <w:t>mahārāj</w:t>
      </w:r>
      <w:r>
        <w:rPr>
          <w:rStyle w:val="Code"/>
        </w:rPr>
        <w:t>&lt;choice&gt;&lt;sic&gt;</w:t>
      </w:r>
      <w:r>
        <w:rPr>
          <w:rStyle w:val="Codetext"/>
        </w:rPr>
        <w:t>adhijājā</w:t>
      </w:r>
      <w:r>
        <w:rPr>
          <w:rStyle w:val="Code"/>
        </w:rPr>
        <w:t>&lt;/sic&gt;&lt;corr&gt;</w:t>
      </w:r>
      <w:r>
        <w:rPr>
          <w:rStyle w:val="Codetext"/>
        </w:rPr>
        <w:t>ādhirāja</w:t>
      </w:r>
      <w:r>
        <w:rPr>
          <w:rStyle w:val="Code"/>
        </w:rPr>
        <w:t>&lt;/corr&gt;&lt;/choice&gt;</w:t>
      </w:r>
    </w:p>
    <w:p>
      <w:pPr>
        <w:pStyle w:val="Lista2"/>
      </w:pPr>
      <w:r>
        <w:t xml:space="preserve">may replace meticulous detail: </w:t>
      </w:r>
      <w:r>
        <w:rPr>
          <w:rStyle w:val="Codetext"/>
        </w:rPr>
        <w:t>mahārāj</w:t>
      </w:r>
      <w:r>
        <w:rPr>
          <w:rStyle w:val="Code"/>
        </w:rPr>
        <w:t>&lt;choice&gt;&lt;sic&gt;</w:t>
      </w:r>
      <w:r>
        <w:rPr>
          <w:rStyle w:val="Codetext"/>
        </w:rPr>
        <w:t>a</w:t>
      </w:r>
      <w:r>
        <w:rPr>
          <w:rStyle w:val="Code"/>
        </w:rPr>
        <w:t>&lt;/sic&gt;&lt;corr&gt;</w:t>
      </w:r>
      <w:r>
        <w:rPr>
          <w:rStyle w:val="Codetext"/>
        </w:rPr>
        <w:t>ā</w:t>
      </w:r>
      <w:r>
        <w:rPr>
          <w:rStyle w:val="Code"/>
        </w:rPr>
        <w:t>&lt;/corr&gt;&lt;/choice&gt;</w:t>
      </w:r>
      <w:r>
        <w:rPr>
          <w:rStyle w:val="Codetext"/>
        </w:rPr>
        <w:t>dhi</w:t>
      </w:r>
      <w:r>
        <w:rPr>
          <w:rStyle w:val="Code"/>
        </w:rPr>
        <w:t>&lt;choice&gt;&lt;sic&gt;</w:t>
      </w:r>
      <w:r>
        <w:rPr>
          <w:rStyle w:val="Codetext"/>
        </w:rPr>
        <w:t>j</w:t>
      </w:r>
      <w:r>
        <w:rPr>
          <w:rStyle w:val="Code"/>
        </w:rPr>
        <w:t>&lt;/sic&gt;&lt;corr&gt;</w:t>
      </w:r>
      <w:r>
        <w:rPr>
          <w:rStyle w:val="Codetext"/>
        </w:rPr>
        <w:t>r</w:t>
      </w:r>
      <w:r>
        <w:rPr>
          <w:rStyle w:val="Code"/>
        </w:rPr>
        <w:t>&lt;/corr&gt;&lt;/choice&gt;</w:t>
      </w:r>
      <w:r>
        <w:rPr>
          <w:rStyle w:val="Codetext"/>
        </w:rPr>
        <w:t>āj</w:t>
      </w:r>
      <w:r>
        <w:rPr>
          <w:rStyle w:val="Code"/>
        </w:rPr>
        <w:t>&lt;choice&gt;&lt;sic&gt;</w:t>
      </w:r>
      <w:r>
        <w:rPr>
          <w:rStyle w:val="Codetext"/>
        </w:rPr>
        <w:t>ā</w:t>
      </w:r>
      <w:r>
        <w:rPr>
          <w:rStyle w:val="Code"/>
        </w:rPr>
        <w:t>&lt;/sic&gt;&lt;corr&gt;</w:t>
      </w:r>
      <w:r>
        <w:rPr>
          <w:rStyle w:val="Codetext"/>
        </w:rPr>
        <w:t>a</w:t>
      </w:r>
      <w:r>
        <w:rPr>
          <w:rStyle w:val="Code"/>
        </w:rPr>
        <w:t>&lt;/corr&gt;&lt;/choice&gt;</w:t>
      </w:r>
    </w:p>
    <w:p>
      <w:pPr>
        <w:pStyle w:val="Cmsor3"/>
      </w:pPr>
      <w:bookmarkStart w:id="627" w:name="_Ref232089210"/>
      <w:bookmarkStart w:id="628" w:name="_Toc242976662"/>
      <w:r>
        <w:t>Editorial intervention in metrical verse</w:t>
      </w:r>
      <w:bookmarkEnd w:id="620"/>
      <w:bookmarkEnd w:id="627"/>
      <w:bookmarkEnd w:id="628"/>
    </w:p>
    <w:p>
      <w:r>
        <w:t>Scribal mistakes, non-standard language, and the correction or normalisation thereof, can interfere with prosody, therefore editorial intervention in metrical verse must be executed with extra care. The leading principles are the following:</w:t>
      </w:r>
    </w:p>
    <w:p>
      <w:pPr>
        <w:pStyle w:val="Lista"/>
      </w:pPr>
      <w:r>
        <w:t>if a correction or normalisation is encoded in verse, then the prosody of the locus is to be understood as the prosody of the rectified (and not the received) reading; therefore</w:t>
      </w:r>
    </w:p>
    <w:p>
      <w:pPr>
        <w:pStyle w:val="Lista2"/>
      </w:pPr>
      <w:r>
        <w:t xml:space="preserve">if the prosody is deviant in the received text but appropriate in the rectified text, then the line containing the anomaly does not need encoding for a metrical deviation </w:t>
      </w:r>
    </w:p>
    <w:p>
      <w:pPr>
        <w:pStyle w:val="Lista2"/>
      </w:pPr>
      <w:r>
        <w:t xml:space="preserve">if the prosody is deviant in the rectified text, then the line containing the anomaly must be encoded as metrically deviant </w:t>
      </w:r>
      <w:r>
        <w:rPr>
          <w:noProof/>
        </w:rPr>
        <w:t>(</w:t>
      </w:r>
      <w:r>
        <w:t xml:space="preserve">with the attribute </w:t>
      </w:r>
      <w:r>
        <w:rPr>
          <w:rStyle w:val="Codeattribute"/>
        </w:rPr>
        <w:t>@real</w:t>
      </w:r>
      <w:r>
        <w:t>, as per §</w:t>
      </w:r>
      <w:r>
        <w:fldChar w:fldCharType="begin"/>
      </w:r>
      <w:r>
        <w:instrText xml:space="preserve"> REF _Ref43980303 \r \h  \* MERGEFORMAT </w:instrText>
      </w:r>
      <w:r>
        <w:fldChar w:fldCharType="separate"/>
      </w:r>
      <w:r>
        <w:t>3.3.4.1</w:t>
      </w:r>
      <w:r>
        <w:fldChar w:fldCharType="end"/>
      </w:r>
      <w:r>
        <w:t>)</w:t>
      </w:r>
    </w:p>
    <w:p>
      <w:pPr>
        <w:pStyle w:val="Lista"/>
      </w:pPr>
      <w:r>
        <w:t>in rectifying anomalies in verse, correct prosody should be prioritised over linguistic neatness; therefore</w:t>
      </w:r>
    </w:p>
    <w:p>
      <w:pPr>
        <w:pStyle w:val="Lista2"/>
      </w:pPr>
      <w:r>
        <w:t>always correct scribal mistakes and standardise non-standard usage where such an intervention can restore faulty prosody to the expected</w:t>
      </w:r>
    </w:p>
    <w:p>
      <w:pPr>
        <w:pStyle w:val="Lista2"/>
      </w:pPr>
      <w:r>
        <w:t>abstain from encoding either a correction or a normalisation (and instead, merely flag the spot) if doing so would disrupt otherwise correct metre</w:t>
      </w:r>
    </w:p>
    <w:p>
      <w:pPr>
        <w:pStyle w:val="Lista2"/>
      </w:pPr>
      <w:r>
        <w:t>but keep in mind that non-standard prosody has a right to exist, and do not “correct” non-standard prosody in reasonably correct language just to put the metre right</w:t>
      </w:r>
    </w:p>
    <w:p>
      <w:pPr>
        <w:pStyle w:val="Lista"/>
      </w:pPr>
      <w:r>
        <w:t>“correct prosody” in this context is defined according to the basic textbook rules (</w:t>
      </w:r>
      <w:r>
        <w:rPr>
          <w:highlight w:val="yellow"/>
        </w:rPr>
        <w:t>Prosody Guide</w:t>
      </w:r>
      <w:r>
        <w:t>)</w:t>
      </w:r>
    </w:p>
    <w:p>
      <w:pPr>
        <w:pStyle w:val="Lista2"/>
      </w:pPr>
      <w:r>
        <w:t xml:space="preserve">in order to facilitate research on prosody, all deviations from the standard rules shall be encoded with </w:t>
      </w:r>
      <w:r>
        <w:rPr>
          <w:rStyle w:val="Codeattribute"/>
        </w:rPr>
        <w:t>@real</w:t>
      </w:r>
      <w:r>
        <w:t xml:space="preserve"> including</w:t>
      </w:r>
    </w:p>
    <w:p>
      <w:pPr>
        <w:pStyle w:val="Lista3"/>
      </w:pPr>
      <w:r>
        <w:rPr>
          <w:rStyle w:val="Foreign"/>
        </w:rPr>
        <w:t>vipulā anuṣṭubh</w:t>
      </w:r>
      <w:r>
        <w:t xml:space="preserve"> (§</w:t>
      </w:r>
      <w:r>
        <w:fldChar w:fldCharType="begin"/>
      </w:r>
      <w:r>
        <w:instrText xml:space="preserve"> REF _Ref224725166 \r \h </w:instrText>
      </w:r>
      <w:r>
        <w:fldChar w:fldCharType="separate"/>
      </w:r>
      <w:r>
        <w:t>3.3.4.1</w:t>
      </w:r>
      <w:r>
        <w:fldChar w:fldCharType="end"/>
      </w:r>
      <w:r>
        <w:t>)</w:t>
      </w:r>
    </w:p>
    <w:p>
      <w:pPr>
        <w:pStyle w:val="Lista3"/>
      </w:pPr>
      <w:r>
        <w:t>the presumed use of poetic licence</w:t>
      </w:r>
    </w:p>
    <w:p>
      <w:pPr>
        <w:pStyle w:val="Lista"/>
      </w:pPr>
      <w:r>
        <w:t>detailed instructions for possible scenarios are given in the subsections below</w:t>
      </w:r>
    </w:p>
    <w:p>
      <w:pPr>
        <w:pStyle w:val="Cmsor4"/>
      </w:pPr>
      <w:r>
        <w:t>If the prosody is incorrect, but the language is not anomalous</w:t>
      </w:r>
    </w:p>
    <w:p>
      <w:r>
        <w:t>If the received text has deviant metre, but is otherwise linguistically standard, correct and meaningful, then editorial intervention is usually not warranted. Incorrect or non-standard metre does not in itself constitute grounds for correction or normalisation. Instead, encode the metrical deviation as per §</w:t>
      </w:r>
      <w:r>
        <w:fldChar w:fldCharType="begin"/>
      </w:r>
      <w:r>
        <w:instrText xml:space="preserve"> REF _Ref224726481 \r \h </w:instrText>
      </w:r>
      <w:r>
        <w:fldChar w:fldCharType="separate"/>
      </w:r>
      <w:r>
        <w:t>3.3.4.2</w:t>
      </w:r>
      <w:r>
        <w:fldChar w:fldCharType="end"/>
      </w:r>
      <w:r>
        <w:t>. Editorial intervention is, however, permitted if you can thereby restore the expected metre and believe that your intervention is in line with the composer’s intent, i.e. that the metrical deviation is a result of scribal mistake. In this case proceed as in §</w:t>
      </w:r>
      <w:r>
        <w:fldChar w:fldCharType="begin"/>
      </w:r>
      <w:r>
        <w:instrText xml:space="preserve"> REF _Ref229047302 \r \h </w:instrText>
      </w:r>
      <w:r>
        <w:fldChar w:fldCharType="separate"/>
      </w:r>
      <w:r>
        <w:t>7.7.4.2</w:t>
      </w:r>
      <w:r>
        <w:fldChar w:fldCharType="end"/>
      </w:r>
      <w:r>
        <w:t>.</w:t>
      </w:r>
    </w:p>
    <w:p>
      <w:pPr>
        <w:pStyle w:val="Normlbehzs"/>
      </w:pPr>
      <w:r>
        <w:lastRenderedPageBreak/>
        <w:t>As a special case, a prosodic deviation in linguistically standard text can sometimes be corrected by the application of a straightforward “de-normalisation” where the composer presumably had a metrically appropriate non-standard form in mind, but the scribe has replaced this with the metrically inappropriate standard form.</w:t>
      </w:r>
    </w:p>
    <w:p>
      <w:pPr>
        <w:pStyle w:val="Lista"/>
      </w:pPr>
      <w:r>
        <w:t xml:space="preserve">de-normalisation should not be encoded in your edition: instead, add </w:t>
      </w:r>
      <w:r>
        <w:rPr>
          <w:rStyle w:val="Codeattribute"/>
        </w:rPr>
        <w:t>@real</w:t>
      </w:r>
      <w:r>
        <w:t xml:space="preserve"> to the </w:t>
      </w:r>
      <w:r>
        <w:rPr>
          <w:rStyle w:val="Code"/>
        </w:rPr>
        <w:t>&lt;l&gt;</w:t>
      </w:r>
      <w:r>
        <w:t xml:space="preserve"> element affected </w:t>
      </w:r>
      <w:r>
        <w:rPr>
          <w:noProof/>
        </w:rPr>
        <w:t>(</w:t>
      </w:r>
      <w:r>
        <w:t>§</w:t>
      </w:r>
      <w:r>
        <w:fldChar w:fldCharType="begin"/>
      </w:r>
      <w:r>
        <w:instrText xml:space="preserve"> REF _Ref43980303 \r \h  \* MERGEFORMAT </w:instrText>
      </w:r>
      <w:r>
        <w:fldChar w:fldCharType="separate"/>
      </w:r>
      <w:r>
        <w:t>3.3.4.1</w:t>
      </w:r>
      <w:r>
        <w:fldChar w:fldCharType="end"/>
      </w:r>
      <w:r>
        <w:t xml:space="preserve">), and explain the situation in an apparatus note </w:t>
      </w:r>
      <w:r>
        <w:rPr>
          <w:noProof/>
        </w:rPr>
        <w:t>(</w:t>
      </w:r>
      <w:r>
        <w:t>§</w:t>
      </w:r>
      <w:r>
        <w:fldChar w:fldCharType="begin"/>
      </w:r>
      <w:r>
        <w:instrText xml:space="preserve"> REF _Ref43988104 \w \h  \* MERGEFORMAT </w:instrText>
      </w:r>
      <w:r>
        <w:fldChar w:fldCharType="separate"/>
      </w:r>
      <w:r>
        <w:t>10.7</w:t>
      </w:r>
      <w:r>
        <w:fldChar w:fldCharType="end"/>
      </w:r>
      <w:r>
        <w:t>)</w:t>
      </w:r>
    </w:p>
    <w:p>
      <w:pPr>
        <w:pStyle w:val="Lista"/>
      </w:pPr>
      <w:r>
        <w:t xml:space="preserve">for example, in an even </w:t>
      </w:r>
      <w:r>
        <w:rPr>
          <w:rStyle w:val="Foreign"/>
        </w:rPr>
        <w:t>pāda</w:t>
      </w:r>
      <w:r>
        <w:t xml:space="preserve"> of an </w:t>
      </w:r>
      <w:r>
        <w:rPr>
          <w:rStyle w:val="Foreign"/>
        </w:rPr>
        <w:t>anuṣṭubh</w:t>
      </w:r>
      <w:r>
        <w:t xml:space="preserve"> stanza: </w:t>
      </w:r>
    </w:p>
    <w:p>
      <w:pPr>
        <w:pStyle w:val="Lista2"/>
      </w:pPr>
      <w:r>
        <w:rPr>
          <w:rStyle w:val="Code"/>
        </w:rPr>
        <w:t xml:space="preserve">&lt;l </w:t>
      </w:r>
      <w:r>
        <w:rPr>
          <w:rStyle w:val="Codeattribute"/>
        </w:rPr>
        <w:t>n</w:t>
      </w:r>
      <w:r>
        <w:rPr>
          <w:rStyle w:val="Code"/>
        </w:rPr>
        <w:t>=</w:t>
      </w:r>
      <w:r>
        <w:rPr>
          <w:rStyle w:val="Codevalue"/>
        </w:rPr>
        <w:t>"a"</w:t>
      </w:r>
      <w:r>
        <w:rPr>
          <w:rStyle w:val="Code"/>
        </w:rPr>
        <w:t xml:space="preserve"> </w:t>
      </w:r>
      <w:r>
        <w:rPr>
          <w:rStyle w:val="Codeattribute"/>
        </w:rPr>
        <w:t>real</w:t>
      </w:r>
      <w:r>
        <w:rPr>
          <w:rStyle w:val="Code"/>
        </w:rPr>
        <w:t>=</w:t>
      </w:r>
      <w:r>
        <w:rPr>
          <w:rStyle w:val="Codevalue"/>
        </w:rPr>
        <w:t>"-+-+-+-+"</w:t>
      </w:r>
      <w:r>
        <w:rPr>
          <w:rStyle w:val="Code"/>
        </w:rPr>
        <w:t>&gt;</w:t>
      </w:r>
      <w:r>
        <w:rPr>
          <w:rStyle w:val="Codetext"/>
        </w:rPr>
        <w:t>kṣitīśa-siṅhavarmmaṇas</w:t>
      </w:r>
      <w:r>
        <w:rPr>
          <w:rStyle w:val="Code"/>
        </w:rPr>
        <w:t>&lt;/l&gt;</w:t>
      </w:r>
      <w:r>
        <w:t xml:space="preserve"> </w:t>
      </w:r>
    </w:p>
    <w:p>
      <w:pPr>
        <w:pStyle w:val="Lista2"/>
      </w:pPr>
      <w:r>
        <w:t xml:space="preserve">accompanied by a note explaining that the non-standard form </w:t>
      </w:r>
      <w:r>
        <w:rPr>
          <w:rStyle w:val="Foreign"/>
        </w:rPr>
        <w:t>siṅhavarmmasya</w:t>
      </w:r>
      <w:r>
        <w:t>, for which parallels are known to occur in related texts, would be metrically correct</w:t>
      </w:r>
    </w:p>
    <w:p>
      <w:pPr>
        <w:pStyle w:val="Cmsor4"/>
      </w:pPr>
      <w:bookmarkStart w:id="629" w:name="_Ref229047302"/>
      <w:r>
        <w:t>If rectifying an anomaly can achieve correct prosody</w:t>
      </w:r>
      <w:bookmarkEnd w:id="629"/>
    </w:p>
    <w:p>
      <w:r>
        <w:t>If the prosody is deviant, but the correction of an error or the normalisation of non-standard orthography or morphology can restore the prosody to the expected pattern, proceed as follows.</w:t>
      </w:r>
    </w:p>
    <w:p>
      <w:pPr>
        <w:pStyle w:val="Lista"/>
      </w:pPr>
      <w:r>
        <w:t>rectify the anomaly even if you would ignore or merely flag the same anomaly in other circumstances</w:t>
      </w:r>
    </w:p>
    <w:p>
      <w:pPr>
        <w:pStyle w:val="Lista2"/>
      </w:pPr>
      <w:r>
        <w:t>unless you feel that doing so would be contrary to the composer’s intent, in which case proceed as in §</w:t>
      </w:r>
      <w:r>
        <w:fldChar w:fldCharType="begin"/>
      </w:r>
      <w:r>
        <w:instrText xml:space="preserve"> REF _Ref229048033 \r \h </w:instrText>
      </w:r>
      <w:r>
        <w:fldChar w:fldCharType="separate"/>
      </w:r>
      <w:r>
        <w:t>7.7.4.3</w:t>
      </w:r>
      <w:r>
        <w:fldChar w:fldCharType="end"/>
      </w:r>
    </w:p>
    <w:p>
      <w:pPr>
        <w:pStyle w:val="Lista"/>
      </w:pPr>
      <w:r>
        <w:t>encode this intervention as a correction, even if in other circumstances you would encode the same intervention as normalisation</w:t>
      </w:r>
    </w:p>
    <w:p>
      <w:pPr>
        <w:pStyle w:val="Lista2"/>
      </w:pPr>
      <w:r>
        <w:t>the underlying assumption in this case is that the composer had the correct or standard form in mind, but that form has been replaced by an incorrect or non-standard form in the process of the creation of the document</w:t>
      </w:r>
    </w:p>
    <w:p>
      <w:pPr>
        <w:pStyle w:val="Lista"/>
      </w:pPr>
      <w:r>
        <w:t xml:space="preserve">do not add </w:t>
      </w:r>
      <w:r>
        <w:rPr>
          <w:rStyle w:val="Codeattribute"/>
        </w:rPr>
        <w:t>@real</w:t>
      </w:r>
      <w:r>
        <w:t xml:space="preserve"> to the </w:t>
      </w:r>
      <w:r>
        <w:rPr>
          <w:rStyle w:val="Code"/>
        </w:rPr>
        <w:t>&lt;l&gt;</w:t>
      </w:r>
      <w:r>
        <w:t xml:space="preserve"> element affected</w:t>
      </w:r>
      <w:r>
        <w:rPr>
          <w:noProof/>
        </w:rPr>
        <w:t>, since the prosody has been restored</w:t>
      </w:r>
    </w:p>
    <w:p>
      <w:pPr>
        <w:pStyle w:val="Lista"/>
      </w:pPr>
      <w:r>
        <w:t xml:space="preserve">for example, in an odd </w:t>
      </w:r>
      <w:r>
        <w:rPr>
          <w:rStyle w:val="Foreign"/>
        </w:rPr>
        <w:t>pāda</w:t>
      </w:r>
      <w:r>
        <w:t xml:space="preserve"> of an </w:t>
      </w:r>
      <w:r>
        <w:rPr>
          <w:rStyle w:val="Foreign"/>
        </w:rPr>
        <w:t>anuṣṭubh</w:t>
      </w:r>
      <w:r>
        <w:t xml:space="preserve"> stanza:</w:t>
      </w:r>
    </w:p>
    <w:p>
      <w:pPr>
        <w:pStyle w:val="Lista2"/>
      </w:pPr>
      <w:r>
        <w:rPr>
          <w:rStyle w:val="Code"/>
        </w:rPr>
        <w:t xml:space="preserve">&lt;l </w:t>
      </w:r>
      <w:r>
        <w:rPr>
          <w:rStyle w:val="Codeattribute"/>
        </w:rPr>
        <w:t>n</w:t>
      </w:r>
      <w:r>
        <w:rPr>
          <w:rStyle w:val="Code"/>
        </w:rPr>
        <w:t>=</w:t>
      </w:r>
      <w:r>
        <w:rPr>
          <w:rStyle w:val="Codevalue"/>
        </w:rPr>
        <w:t>"c"</w:t>
      </w:r>
      <w:r>
        <w:rPr>
          <w:rStyle w:val="Code"/>
        </w:rPr>
        <w:t>&gt;</w:t>
      </w:r>
      <w:r>
        <w:rPr>
          <w:rStyle w:val="Codetext"/>
        </w:rPr>
        <w:t xml:space="preserve">ṣaṣṭi </w:t>
      </w:r>
      <w:r>
        <w:rPr>
          <w:rStyle w:val="Code"/>
        </w:rPr>
        <w:t>&lt;choice&gt;&lt;sic&gt;</w:t>
      </w:r>
      <w:r>
        <w:rPr>
          <w:rStyle w:val="Codetext"/>
        </w:rPr>
        <w:t>varuṣa</w:t>
      </w:r>
      <w:r>
        <w:rPr>
          <w:rStyle w:val="Code"/>
        </w:rPr>
        <w:t>&lt;/sic&gt;&lt;corr&gt;</w:t>
      </w:r>
      <w:r>
        <w:rPr>
          <w:rStyle w:val="Codetext"/>
        </w:rPr>
        <w:t>varṣa</w:t>
      </w:r>
      <w:r>
        <w:rPr>
          <w:rStyle w:val="Code"/>
        </w:rPr>
        <w:t>&lt;/corr&gt;&lt;/choice&gt;</w:t>
      </w:r>
      <w:r>
        <w:rPr>
          <w:rStyle w:val="Codetext"/>
        </w:rPr>
        <w:t>-sahasrāṇi</w:t>
      </w:r>
      <w:r>
        <w:rPr>
          <w:rStyle w:val="Code"/>
        </w:rPr>
        <w:t>&lt;/l&gt;</w:t>
      </w:r>
    </w:p>
    <w:p>
      <w:pPr>
        <w:pStyle w:val="Lista2"/>
      </w:pPr>
      <w:r>
        <w:t xml:space="preserve">where </w:t>
      </w:r>
      <w:r>
        <w:rPr>
          <w:rStyle w:val="Foreign"/>
        </w:rPr>
        <w:t>varuṣa</w:t>
      </w:r>
      <w:r>
        <w:t xml:space="preserve"> is a vernacularised spelling of </w:t>
      </w:r>
      <w:r>
        <w:rPr>
          <w:rStyle w:val="Foreign"/>
        </w:rPr>
        <w:t>varṣa</w:t>
      </w:r>
      <w:r>
        <w:t xml:space="preserve"> that is hypermetrical here</w:t>
      </w:r>
    </w:p>
    <w:p>
      <w:pPr>
        <w:pStyle w:val="Lista2"/>
      </w:pPr>
      <w:r>
        <w:t xml:space="preserve">the alteration to </w:t>
      </w:r>
      <w:r>
        <w:rPr>
          <w:rStyle w:val="Foreign"/>
        </w:rPr>
        <w:t>varṣa</w:t>
      </w:r>
      <w:r>
        <w:t xml:space="preserve"> is encoded as a correction</w:t>
      </w:r>
    </w:p>
    <w:p>
      <w:pPr>
        <w:pStyle w:val="Lista2"/>
      </w:pPr>
      <w:r>
        <w:t xml:space="preserve">since the intervention restores the expected metre, </w:t>
      </w:r>
      <w:r>
        <w:rPr>
          <w:rStyle w:val="Codeattribute"/>
        </w:rPr>
        <w:t>@real</w:t>
      </w:r>
      <w:r>
        <w:t xml:space="preserve"> is not encoded on the line</w:t>
      </w:r>
    </w:p>
    <w:p>
      <w:pPr>
        <w:pStyle w:val="Cmsor4"/>
      </w:pPr>
      <w:bookmarkStart w:id="630" w:name="_Ref229048033"/>
      <w:r>
        <w:t>If correct prosody cannot be achieved</w:t>
      </w:r>
      <w:bookmarkEnd w:id="630"/>
    </w:p>
    <w:p>
      <w:r>
        <w:t>If the received text has both anomalous language and deviant prosody, but you see no straightforward way to restore the prosody to the expected pattern by correcting or normalising the language, or feel that doing so would change the intended meaning or be otherwise incompatible with the composer’s intent, proceed as follows.</w:t>
      </w:r>
    </w:p>
    <w:p>
      <w:pPr>
        <w:pStyle w:val="Lista"/>
      </w:pPr>
      <w:r>
        <w:t xml:space="preserve">preferably, merely flag the anomaly and add </w:t>
      </w:r>
      <w:r>
        <w:rPr>
          <w:rStyle w:val="Codeattribute"/>
        </w:rPr>
        <w:t>@real</w:t>
      </w:r>
      <w:r>
        <w:t xml:space="preserve"> to the </w:t>
      </w:r>
      <w:r>
        <w:rPr>
          <w:rStyle w:val="Code"/>
        </w:rPr>
        <w:t>&lt;l&gt;</w:t>
      </w:r>
      <w:r>
        <w:t xml:space="preserve"> element affected </w:t>
      </w:r>
      <w:r>
        <w:rPr>
          <w:noProof/>
        </w:rPr>
        <w:t>(</w:t>
      </w:r>
      <w:r>
        <w:t>§</w:t>
      </w:r>
      <w:r>
        <w:fldChar w:fldCharType="begin"/>
      </w:r>
      <w:r>
        <w:instrText xml:space="preserve"> REF _Ref43980303 \r \h  \* MERGEFORMAT </w:instrText>
      </w:r>
      <w:r>
        <w:fldChar w:fldCharType="separate"/>
      </w:r>
      <w:r>
        <w:t>3.3.4.1</w:t>
      </w:r>
      <w:r>
        <w:fldChar w:fldCharType="end"/>
      </w:r>
      <w:r>
        <w:t>)</w:t>
      </w:r>
    </w:p>
    <w:p>
      <w:pPr>
        <w:pStyle w:val="Lista2"/>
      </w:pPr>
      <w:r>
        <w:t xml:space="preserve">the proposed rectification of the anomaly may be mentioned in an apparatus note </w:t>
      </w:r>
      <w:r>
        <w:rPr>
          <w:noProof/>
        </w:rPr>
        <w:t>(</w:t>
      </w:r>
      <w:r>
        <w:t>§</w:t>
      </w:r>
      <w:r>
        <w:fldChar w:fldCharType="begin"/>
      </w:r>
      <w:r>
        <w:instrText xml:space="preserve"> REF _Ref43988104 \w \h  \* MERGEFORMAT </w:instrText>
      </w:r>
      <w:r>
        <w:fldChar w:fldCharType="separate"/>
      </w:r>
      <w:r>
        <w:t>10.7</w:t>
      </w:r>
      <w:r>
        <w:fldChar w:fldCharType="end"/>
      </w:r>
      <w:r>
        <w:t>)</w:t>
      </w:r>
    </w:p>
    <w:p>
      <w:pPr>
        <w:pStyle w:val="Lista2"/>
      </w:pPr>
      <w:r>
        <w:t xml:space="preserve">for example, in an even </w:t>
      </w:r>
      <w:r>
        <w:rPr>
          <w:rStyle w:val="Foreign"/>
        </w:rPr>
        <w:t>pāda</w:t>
      </w:r>
      <w:r>
        <w:t xml:space="preserve"> of an </w:t>
      </w:r>
      <w:r>
        <w:rPr>
          <w:rStyle w:val="Foreign"/>
        </w:rPr>
        <w:t>anuṣṭubh</w:t>
      </w:r>
      <w:r>
        <w:t xml:space="preserve"> stanza: </w:t>
      </w:r>
    </w:p>
    <w:p>
      <w:pPr>
        <w:pStyle w:val="Lista3"/>
      </w:pPr>
      <w:r>
        <w:rPr>
          <w:rStyle w:val="Code"/>
        </w:rPr>
        <w:t xml:space="preserve">&lt;l </w:t>
      </w:r>
      <w:r>
        <w:rPr>
          <w:rStyle w:val="Codeattribute"/>
        </w:rPr>
        <w:t>n</w:t>
      </w:r>
      <w:r>
        <w:rPr>
          <w:rStyle w:val="Code"/>
        </w:rPr>
        <w:t>=</w:t>
      </w:r>
      <w:r>
        <w:rPr>
          <w:rStyle w:val="Codevalue"/>
        </w:rPr>
        <w:t>"a"</w:t>
      </w:r>
      <w:r>
        <w:rPr>
          <w:rStyle w:val="Code"/>
        </w:rPr>
        <w:t xml:space="preserve"> </w:t>
      </w:r>
      <w:r>
        <w:rPr>
          <w:rStyle w:val="Codeattribute"/>
        </w:rPr>
        <w:t>real</w:t>
      </w:r>
      <w:r>
        <w:rPr>
          <w:rStyle w:val="Code"/>
        </w:rPr>
        <w:t>=</w:t>
      </w:r>
      <w:r>
        <w:rPr>
          <w:rStyle w:val="Codevalue"/>
        </w:rPr>
        <w:t>"-++--+++-"</w:t>
      </w:r>
      <w:r>
        <w:rPr>
          <w:rStyle w:val="Code"/>
        </w:rPr>
        <w:t>&gt;</w:t>
      </w:r>
      <w:r>
        <w:rPr>
          <w:rStyle w:val="Codetext"/>
        </w:rPr>
        <w:t>sva-dattāṁ para</w:t>
      </w:r>
      <w:r>
        <w:rPr>
          <w:rStyle w:val="Code"/>
        </w:rPr>
        <w:t xml:space="preserve">&lt;lb </w:t>
      </w:r>
      <w:r>
        <w:rPr>
          <w:rStyle w:val="Codeattribute"/>
        </w:rPr>
        <w:t>break</w:t>
      </w:r>
      <w:r>
        <w:rPr>
          <w:rStyle w:val="Code"/>
        </w:rPr>
        <w:t>=</w:t>
      </w:r>
      <w:r>
        <w:rPr>
          <w:rStyle w:val="Codevalue"/>
        </w:rPr>
        <w:t>"no"</w:t>
      </w:r>
      <w:r>
        <w:rPr>
          <w:rStyle w:val="Code"/>
        </w:rPr>
        <w:t xml:space="preserve"> </w:t>
      </w:r>
      <w:r>
        <w:rPr>
          <w:rStyle w:val="Codeattribute"/>
        </w:rPr>
        <w:t>n</w:t>
      </w:r>
      <w:r>
        <w:rPr>
          <w:rStyle w:val="Code"/>
        </w:rPr>
        <w:t>=</w:t>
      </w:r>
      <w:r>
        <w:rPr>
          <w:rStyle w:val="Codevalue"/>
        </w:rPr>
        <w:t>"20"</w:t>
      </w:r>
      <w:r>
        <w:rPr>
          <w:rStyle w:val="Code"/>
        </w:rPr>
        <w:t>/&gt;-</w:t>
      </w:r>
      <w:r>
        <w:rPr>
          <w:rStyle w:val="Codetext"/>
        </w:rPr>
        <w:t xml:space="preserve">dattām </w:t>
      </w:r>
      <w:r>
        <w:rPr>
          <w:rStyle w:val="Code"/>
        </w:rPr>
        <w:t>&lt;orig&gt;</w:t>
      </w:r>
      <w:r>
        <w:rPr>
          <w:rStyle w:val="Codetext"/>
        </w:rPr>
        <w:t>vāpi</w:t>
      </w:r>
      <w:r>
        <w:rPr>
          <w:rStyle w:val="Code"/>
        </w:rPr>
        <w:t>&lt;/orig&gt;&lt;/l&gt;</w:t>
      </w:r>
    </w:p>
    <w:p>
      <w:pPr>
        <w:pStyle w:val="Lista3"/>
      </w:pPr>
      <w:r>
        <w:t xml:space="preserve">instead of </w:t>
      </w:r>
      <w:r>
        <w:rPr>
          <w:rStyle w:val="Foreign"/>
        </w:rPr>
        <w:t>vāpi</w:t>
      </w:r>
      <w:r>
        <w:t xml:space="preserve">, the standard version of this common stanza has </w:t>
      </w:r>
      <w:r>
        <w:rPr>
          <w:rStyle w:val="Foreign"/>
        </w:rPr>
        <w:t>vā</w:t>
      </w:r>
      <w:r>
        <w:t>, which is metrically appropriate</w:t>
      </w:r>
    </w:p>
    <w:p>
      <w:pPr>
        <w:pStyle w:val="Lista3"/>
        <w:rPr>
          <w:rStyle w:val="Foreign"/>
          <w:i w:val="0"/>
          <w:iCs w:val="0"/>
          <w:noProof w:val="0"/>
        </w:rPr>
      </w:pPr>
      <w:r>
        <w:t xml:space="preserve">but since </w:t>
      </w:r>
      <w:r>
        <w:rPr>
          <w:rStyle w:val="Foreign"/>
        </w:rPr>
        <w:t>vāpi</w:t>
      </w:r>
      <w:r>
        <w:t xml:space="preserve"> is morphologically and orthographically correct, fully standard, and meaningful in the context, it is assumed to be deliberate and only flagged as original and not corrected to </w:t>
      </w:r>
      <w:r>
        <w:rPr>
          <w:rStyle w:val="Foreign"/>
        </w:rPr>
        <w:t>vā</w:t>
      </w:r>
    </w:p>
    <w:p>
      <w:pPr>
        <w:pStyle w:val="Lista"/>
      </w:pPr>
      <w:r>
        <w:t>however, if you feel confident that a particular correction or normalisation is warranted, you may choose to implement it at your discretion even if doing so still leaves the prosody deviant</w:t>
      </w:r>
    </w:p>
    <w:p>
      <w:pPr>
        <w:pStyle w:val="Lista2"/>
      </w:pPr>
      <w:r>
        <w:t xml:space="preserve">the pattern encoded in </w:t>
      </w:r>
      <w:r>
        <w:rPr>
          <w:rStyle w:val="Codeattribute"/>
        </w:rPr>
        <w:t>@real</w:t>
      </w:r>
      <w:r>
        <w:t xml:space="preserve"> must in this case correspond to the prosody of the rectified text, not that of the received text</w:t>
      </w:r>
    </w:p>
    <w:p>
      <w:pPr>
        <w:pStyle w:val="Cmsor4"/>
      </w:pPr>
      <w:r>
        <w:t>If rectification would disrupt correct prosody</w:t>
      </w:r>
    </w:p>
    <w:p>
      <w:pPr>
        <w:rPr>
          <w:lang w:eastAsia="en-US" w:bidi="ar-SA"/>
        </w:rPr>
      </w:pPr>
      <w:r>
        <w:rPr>
          <w:lang w:eastAsia="en-US" w:bidi="ar-SA"/>
        </w:rPr>
        <w:t>If the received text is anomalous in language but metrically appropriate, and rectifying the anomaly would render the prosody inappropriate, proceed as follows.</w:t>
      </w:r>
    </w:p>
    <w:p>
      <w:pPr>
        <w:pStyle w:val="Lista"/>
      </w:pPr>
      <w:r>
        <w:lastRenderedPageBreak/>
        <w:t>preferably, abstain from implementing the correction or normalisation</w:t>
      </w:r>
    </w:p>
    <w:p>
      <w:pPr>
        <w:pStyle w:val="Lista2"/>
      </w:pPr>
      <w:r>
        <w:t>instead, simply flag the spot as erroneous or non-standard</w:t>
      </w:r>
    </w:p>
    <w:p>
      <w:pPr>
        <w:pStyle w:val="Lista3"/>
      </w:pPr>
      <w:r>
        <w:t xml:space="preserve">the correct or standard form may be mentioned in an apparatus note </w:t>
      </w:r>
      <w:r>
        <w:rPr>
          <w:noProof/>
        </w:rPr>
        <w:t>(</w:t>
      </w:r>
      <w:r>
        <w:t>§</w:t>
      </w:r>
      <w:r>
        <w:fldChar w:fldCharType="begin"/>
      </w:r>
      <w:r>
        <w:instrText xml:space="preserve"> REF _Ref43988104 \w \h  \* MERGEFORMAT </w:instrText>
      </w:r>
      <w:r>
        <w:fldChar w:fldCharType="separate"/>
      </w:r>
      <w:r>
        <w:t>10.7</w:t>
      </w:r>
      <w:r>
        <w:fldChar w:fldCharType="end"/>
      </w:r>
      <w:r>
        <w:t>)</w:t>
      </w:r>
    </w:p>
    <w:p>
      <w:pPr>
        <w:pStyle w:val="Lista2"/>
      </w:pPr>
      <w:r>
        <w:t xml:space="preserve">for example, in a </w:t>
      </w:r>
      <w:r>
        <w:rPr>
          <w:rStyle w:val="Foreign"/>
        </w:rPr>
        <w:t>vasantatilakā</w:t>
      </w:r>
      <w:r>
        <w:t xml:space="preserve"> stanza, </w:t>
      </w:r>
      <w:r>
        <w:rPr>
          <w:rStyle w:val="Code"/>
        </w:rPr>
        <w:t xml:space="preserve">&lt;l </w:t>
      </w:r>
      <w:r>
        <w:rPr>
          <w:rStyle w:val="Codeattribute"/>
        </w:rPr>
        <w:t>n</w:t>
      </w:r>
      <w:r>
        <w:rPr>
          <w:rStyle w:val="Code"/>
        </w:rPr>
        <w:t>=</w:t>
      </w:r>
      <w:r>
        <w:rPr>
          <w:rStyle w:val="Codevalue"/>
        </w:rPr>
        <w:t>"a"</w:t>
      </w:r>
      <w:r>
        <w:rPr>
          <w:rStyle w:val="Code"/>
        </w:rPr>
        <w:t>&gt;</w:t>
      </w:r>
      <w:r>
        <w:rPr>
          <w:rStyle w:val="Codetext"/>
        </w:rPr>
        <w:t>saḥ sarvva-satva-satat</w:t>
      </w:r>
      <w:r>
        <w:rPr>
          <w:rStyle w:val="Code"/>
        </w:rPr>
        <w:t>&lt;orig&gt;</w:t>
      </w:r>
      <w:r>
        <w:rPr>
          <w:rStyle w:val="Codetext"/>
        </w:rPr>
        <w:t>ārtthibhi</w:t>
      </w:r>
      <w:r>
        <w:rPr>
          <w:rStyle w:val="Code"/>
        </w:rPr>
        <w:t>&lt;/orig&gt;</w:t>
      </w:r>
      <w:r>
        <w:rPr>
          <w:rStyle w:val="Codetext"/>
        </w:rPr>
        <w:t xml:space="preserve"> nitya-dātā</w:t>
      </w:r>
      <w:r>
        <w:rPr>
          <w:rStyle w:val="Code"/>
        </w:rPr>
        <w:t>&lt;/l&gt;</w:t>
      </w:r>
    </w:p>
    <w:p>
      <w:pPr>
        <w:pStyle w:val="Lista3"/>
      </w:pPr>
      <w:r>
        <w:t xml:space="preserve">the metre is correct, but the form </w:t>
      </w:r>
      <w:r>
        <w:rPr>
          <w:rStyle w:val="Foreign"/>
        </w:rPr>
        <w:t>°ārtthibhi</w:t>
      </w:r>
      <w:r>
        <w:t xml:space="preserve"> is a solecism for expected </w:t>
      </w:r>
      <w:r>
        <w:rPr>
          <w:rStyle w:val="Foreign"/>
        </w:rPr>
        <w:t>°ārtthibhyo</w:t>
      </w:r>
      <w:r>
        <w:t>, which in turn would be metrically incorrect, so the locus has been merely flagged as non-standard</w:t>
      </w:r>
    </w:p>
    <w:p>
      <w:pPr>
        <w:pStyle w:val="Lista"/>
      </w:pPr>
      <w:r>
        <w:t>however, if you deem that correction or normalisation within the edition is essential, then you may encode it</w:t>
      </w:r>
    </w:p>
    <w:p>
      <w:pPr>
        <w:pStyle w:val="Lista2"/>
      </w:pPr>
      <w:r>
        <w:t xml:space="preserve">in this case, </w:t>
      </w:r>
      <w:r>
        <w:rPr>
          <w:rStyle w:val="Codeattribute"/>
        </w:rPr>
        <w:t>@real</w:t>
      </w:r>
      <w:r>
        <w:t xml:space="preserve"> must be added to the </w:t>
      </w:r>
      <w:r>
        <w:rPr>
          <w:rStyle w:val="Code"/>
        </w:rPr>
        <w:t>&lt;l&gt;</w:t>
      </w:r>
      <w:r>
        <w:t xml:space="preserve"> element affected </w:t>
      </w:r>
      <w:r>
        <w:rPr>
          <w:noProof/>
        </w:rPr>
        <w:t>(</w:t>
      </w:r>
      <w:r>
        <w:t>§</w:t>
      </w:r>
      <w:r>
        <w:fldChar w:fldCharType="begin"/>
      </w:r>
      <w:r>
        <w:instrText xml:space="preserve"> REF _Ref43980303 \r \h  \* MERGEFORMAT </w:instrText>
      </w:r>
      <w:r>
        <w:fldChar w:fldCharType="separate"/>
      </w:r>
      <w:r>
        <w:t>3.3.4.1</w:t>
      </w:r>
      <w:r>
        <w:fldChar w:fldCharType="end"/>
      </w:r>
      <w:r>
        <w:t>), with a value corresponding to the prosody of the rectified text</w:t>
      </w:r>
    </w:p>
    <w:p>
      <w:pPr>
        <w:pStyle w:val="Lista2"/>
      </w:pPr>
      <w:r>
        <w:t xml:space="preserve">for example, normalising the above excerpt: </w:t>
      </w:r>
      <w:r>
        <w:rPr>
          <w:rStyle w:val="Code"/>
        </w:rPr>
        <w:t xml:space="preserve">&lt;l </w:t>
      </w:r>
      <w:r>
        <w:rPr>
          <w:rStyle w:val="Codeattribute"/>
        </w:rPr>
        <w:t>n</w:t>
      </w:r>
      <w:r>
        <w:rPr>
          <w:rStyle w:val="Code"/>
        </w:rPr>
        <w:t>=</w:t>
      </w:r>
      <w:r>
        <w:rPr>
          <w:rStyle w:val="Codevalue"/>
        </w:rPr>
        <w:t>"a"</w:t>
      </w:r>
      <w:r>
        <w:rPr>
          <w:rStyle w:val="Code"/>
        </w:rPr>
        <w:t xml:space="preserve"> </w:t>
      </w:r>
      <w:r>
        <w:rPr>
          <w:rStyle w:val="Codeattribute"/>
        </w:rPr>
        <w:t>real</w:t>
      </w:r>
      <w:r>
        <w:rPr>
          <w:rStyle w:val="Code"/>
        </w:rPr>
        <w:t>=</w:t>
      </w:r>
      <w:r>
        <w:rPr>
          <w:rStyle w:val="Codevalue"/>
        </w:rPr>
        <w:t>"++-+---++++-++"</w:t>
      </w:r>
      <w:r>
        <w:rPr>
          <w:rStyle w:val="Code"/>
        </w:rPr>
        <w:t>&gt;</w:t>
      </w:r>
      <w:r>
        <w:rPr>
          <w:rStyle w:val="Codetext"/>
        </w:rPr>
        <w:t>saḥ sarvva-satva-satat</w:t>
      </w:r>
      <w:r>
        <w:rPr>
          <w:rStyle w:val="Code"/>
        </w:rPr>
        <w:t>&lt;choice&gt;&lt;orig&gt;</w:t>
      </w:r>
      <w:r>
        <w:rPr>
          <w:rStyle w:val="Codetext"/>
        </w:rPr>
        <w:t>ārtthibhi</w:t>
      </w:r>
      <w:r>
        <w:rPr>
          <w:rStyle w:val="Code"/>
        </w:rPr>
        <w:t>&lt;/orig&gt;&lt;reg&gt;</w:t>
      </w:r>
      <w:r>
        <w:rPr>
          <w:rStyle w:val="Codetext"/>
        </w:rPr>
        <w:t>ārtthibhyo</w:t>
      </w:r>
      <w:r>
        <w:rPr>
          <w:rStyle w:val="Code"/>
        </w:rPr>
        <w:t>&lt;/reg&gt;&lt;/choice&gt;</w:t>
      </w:r>
      <w:r>
        <w:rPr>
          <w:rStyle w:val="Codetext"/>
        </w:rPr>
        <w:t xml:space="preserve"> nitya-dātā</w:t>
      </w:r>
      <w:r>
        <w:rPr>
          <w:rStyle w:val="Code"/>
        </w:rPr>
        <w:t>&lt;/l&gt;</w:t>
      </w:r>
    </w:p>
    <w:p>
      <w:pPr>
        <w:pStyle w:val="Cmsor3"/>
      </w:pPr>
      <w:bookmarkStart w:id="631" w:name="_Ref43988493"/>
      <w:bookmarkStart w:id="632" w:name="_Toc242976663"/>
      <w:r>
        <w:t>Nesting correction and normalisation</w:t>
      </w:r>
      <w:bookmarkEnd w:id="632"/>
      <w:r>
        <w:t xml:space="preserve"> </w:t>
      </w:r>
      <w:bookmarkEnd w:id="631"/>
    </w:p>
    <w:p>
      <w:r>
        <w:t xml:space="preserve">Should you find it necessary to do so, it is technically possible acceptable to use error encoding </w:t>
      </w:r>
      <w:r>
        <w:rPr>
          <w:noProof/>
        </w:rPr>
        <w:t>(</w:t>
      </w:r>
      <w:r>
        <w:t xml:space="preserve">including flagging, correction, suppression and suppletion) within the markup for non-standard usage </w:t>
      </w:r>
      <w:r>
        <w:rPr>
          <w:noProof/>
        </w:rPr>
        <w:t>(</w:t>
      </w:r>
      <w:r>
        <w:t>including flagging and normalisation). This corresponds to the editorial opinion that a non-standard reading (corresponding to the composer’s intent) was written erroneously by the scribe. In such a case, the recommendation is to include an entire word as relevant context in the markup for non-standard usage, to separate it more clearly for the specific locus of the error. Because of the complexity involved, it is recommended that you use this method (especially its most complex variant, correction within normalisation) sparingly and instead try encoding the two interventions on separate chunks of text or, when this is not possible, resort to annotation.</w:t>
      </w:r>
    </w:p>
    <w:p>
      <w:pPr>
        <w:pStyle w:val="Lista"/>
        <w:rPr>
          <w:rStyle w:val="Code"/>
          <w:rFonts w:ascii="Gentium" w:hAnsi="Gentium" w:cs="Tiro Devanagari Sanskrit"/>
          <w:noProof w:val="0"/>
          <w:color w:val="auto"/>
          <w:shd w:val="clear" w:color="auto" w:fill="auto"/>
        </w:rPr>
      </w:pPr>
      <w:r>
        <w:t xml:space="preserve">for example, the word </w:t>
      </w:r>
      <w:r>
        <w:rPr>
          <w:rStyle w:val="Foreign"/>
        </w:rPr>
        <w:t>mahārajñaḥ</w:t>
      </w:r>
      <w:r>
        <w:t xml:space="preserve"> is non-standard (the standard genitive being </w:t>
      </w:r>
      <w:r>
        <w:rPr>
          <w:rStyle w:val="Foreign"/>
        </w:rPr>
        <w:t>mahārājasya</w:t>
      </w:r>
      <w:r>
        <w:t xml:space="preserve">) and also contains a likely scribal mistake (as the correct non-standard form would be </w:t>
      </w:r>
      <w:r>
        <w:rPr>
          <w:rStyle w:val="Foreign"/>
        </w:rPr>
        <w:t>mahārājñaḥ</w:t>
      </w:r>
      <w:r>
        <w:t>)</w:t>
      </w:r>
    </w:p>
    <w:p>
      <w:pPr>
        <w:pStyle w:val="Lista2"/>
      </w:pPr>
      <w:r>
        <w:t xml:space="preserve">flagged for both anomalies: </w:t>
      </w:r>
      <w:r>
        <w:rPr>
          <w:rStyle w:val="Code"/>
        </w:rPr>
        <w:t>&lt;orig&gt;</w:t>
      </w:r>
      <w:r>
        <w:rPr>
          <w:rStyle w:val="Codetext"/>
        </w:rPr>
        <w:t>mahār</w:t>
      </w:r>
      <w:r>
        <w:rPr>
          <w:rStyle w:val="Code"/>
        </w:rPr>
        <w:t>&lt;sic&gt;</w:t>
      </w:r>
      <w:r>
        <w:rPr>
          <w:rStyle w:val="Codetext"/>
        </w:rPr>
        <w:t>a</w:t>
      </w:r>
      <w:r>
        <w:rPr>
          <w:rStyle w:val="Code"/>
        </w:rPr>
        <w:t>&lt;/sic&gt;</w:t>
      </w:r>
      <w:r>
        <w:rPr>
          <w:rStyle w:val="Codetext"/>
        </w:rPr>
        <w:t>jñaḥ</w:t>
      </w:r>
      <w:r>
        <w:rPr>
          <w:rStyle w:val="Code"/>
        </w:rPr>
        <w:t>&lt;/orig&gt;</w:t>
      </w:r>
    </w:p>
    <w:p>
      <w:pPr>
        <w:pStyle w:val="Lista2"/>
        <w:rPr>
          <w:rStyle w:val="Code"/>
          <w:rFonts w:ascii="Gentium Plus" w:hAnsi="Gentium Plus" w:cs="Arial Unicode MS"/>
          <w:noProof w:val="0"/>
          <w:color w:val="auto"/>
          <w:shd w:val="clear" w:color="auto" w:fill="auto"/>
        </w:rPr>
      </w:pPr>
      <w:r>
        <w:t xml:space="preserve">corrected and flagged for non-standard usage: </w:t>
      </w:r>
      <w:r>
        <w:rPr>
          <w:rStyle w:val="Code"/>
        </w:rPr>
        <w:t>&lt;orig&gt;</w:t>
      </w:r>
      <w:r>
        <w:rPr>
          <w:rStyle w:val="Codetext"/>
        </w:rPr>
        <w:t>mahār</w:t>
      </w:r>
      <w:r>
        <w:rPr>
          <w:rStyle w:val="Code"/>
        </w:rPr>
        <w:t>&lt;choice&gt;&lt;sic&gt;</w:t>
      </w:r>
      <w:r>
        <w:rPr>
          <w:rStyle w:val="Codetext"/>
        </w:rPr>
        <w:t>a</w:t>
      </w:r>
      <w:r>
        <w:rPr>
          <w:rStyle w:val="Code"/>
        </w:rPr>
        <w:t>&lt;/sic&gt;&lt;corr&gt;</w:t>
      </w:r>
      <w:r>
        <w:rPr>
          <w:rStyle w:val="Codetext"/>
        </w:rPr>
        <w:t>ā</w:t>
      </w:r>
      <w:r>
        <w:rPr>
          <w:rStyle w:val="Code"/>
        </w:rPr>
        <w:t>&lt;/corr&gt;&lt;/choice&gt;</w:t>
      </w:r>
      <w:r>
        <w:rPr>
          <w:rStyle w:val="Codetext"/>
        </w:rPr>
        <w:t>jñaḥ</w:t>
      </w:r>
      <w:r>
        <w:rPr>
          <w:rStyle w:val="Code"/>
        </w:rPr>
        <w:t>&lt;/orig&gt;</w:t>
      </w:r>
    </w:p>
    <w:p>
      <w:pPr>
        <w:pStyle w:val="Lista3"/>
      </w:pPr>
      <w:r>
        <w:t>as in the above example, but the scribal mistake is corrected rather than only flagged</w:t>
      </w:r>
    </w:p>
    <w:p>
      <w:pPr>
        <w:pStyle w:val="Lista2"/>
        <w:rPr>
          <w:rStyle w:val="Code"/>
          <w:rFonts w:ascii="Gentium Plus" w:hAnsi="Gentium Plus" w:cs="Arial Unicode MS"/>
          <w:noProof w:val="0"/>
          <w:color w:val="auto"/>
          <w:shd w:val="clear" w:color="auto" w:fill="auto"/>
        </w:rPr>
      </w:pPr>
      <w:r>
        <w:t xml:space="preserve">corrected and normalised: </w:t>
      </w:r>
      <w:r>
        <w:rPr>
          <w:rStyle w:val="Code"/>
        </w:rPr>
        <w:t>&lt;choice&gt;&lt;orig&gt;</w:t>
      </w:r>
      <w:r>
        <w:rPr>
          <w:rStyle w:val="Codetext"/>
        </w:rPr>
        <w:t>mahār</w:t>
      </w:r>
      <w:r>
        <w:rPr>
          <w:rStyle w:val="Code"/>
        </w:rPr>
        <w:t xml:space="preserve"> &lt;choice&gt;&lt;sic&gt;</w:t>
      </w:r>
      <w:r>
        <w:rPr>
          <w:rStyle w:val="Codetext"/>
        </w:rPr>
        <w:t>a</w:t>
      </w:r>
      <w:r>
        <w:rPr>
          <w:rStyle w:val="Code"/>
        </w:rPr>
        <w:t>&lt;/sic&gt;&lt;corr&gt;</w:t>
      </w:r>
      <w:r>
        <w:rPr>
          <w:rStyle w:val="Codetext"/>
        </w:rPr>
        <w:t>ā</w:t>
      </w:r>
      <w:r>
        <w:rPr>
          <w:rStyle w:val="Code"/>
        </w:rPr>
        <w:t>&lt;/corr&gt;&lt;/choice&gt;</w:t>
      </w:r>
      <w:r>
        <w:rPr>
          <w:rStyle w:val="Codetext"/>
        </w:rPr>
        <w:t>jñaḥ</w:t>
      </w:r>
      <w:r>
        <w:rPr>
          <w:rStyle w:val="Code"/>
        </w:rPr>
        <w:t>&lt;/orig&gt;&lt;reg&gt;</w:t>
      </w:r>
      <w:r>
        <w:rPr>
          <w:rStyle w:val="Codetext"/>
        </w:rPr>
        <w:t>mahārājasya</w:t>
      </w:r>
      <w:r>
        <w:rPr>
          <w:rStyle w:val="Code"/>
        </w:rPr>
        <w:t>&lt;/reg&gt;&lt;/choice&gt;</w:t>
      </w:r>
    </w:p>
    <w:p>
      <w:pPr>
        <w:pStyle w:val="Lista2"/>
        <w:rPr>
          <w:rStyle w:val="Code"/>
          <w:rFonts w:ascii="Gentium Plus" w:hAnsi="Gentium Plus" w:cs="Arial Unicode MS"/>
          <w:noProof w:val="0"/>
          <w:color w:val="auto"/>
          <w:shd w:val="clear" w:color="auto" w:fill="auto"/>
        </w:rPr>
      </w:pPr>
      <w:r>
        <w:t xml:space="preserve">corrected and normalised as separate interventions without nesting: </w:t>
      </w:r>
      <w:r>
        <w:rPr>
          <w:rStyle w:val="Codetext"/>
        </w:rPr>
        <w:t>mahār</w:t>
      </w:r>
      <w:r>
        <w:rPr>
          <w:rStyle w:val="Code"/>
        </w:rPr>
        <w:t>&lt;choice&gt;&lt;sic&gt;</w:t>
      </w:r>
      <w:r>
        <w:rPr>
          <w:rStyle w:val="Codetext"/>
        </w:rPr>
        <w:t>a</w:t>
      </w:r>
      <w:r>
        <w:rPr>
          <w:rStyle w:val="Code"/>
        </w:rPr>
        <w:t>&lt;/sic&gt;&lt;corr&gt;</w:t>
      </w:r>
      <w:r>
        <w:rPr>
          <w:rStyle w:val="Codetext"/>
        </w:rPr>
        <w:t>ā</w:t>
      </w:r>
      <w:r>
        <w:rPr>
          <w:rStyle w:val="Code"/>
        </w:rPr>
        <w:t>&lt;/corr&gt;&lt;/choice&gt;</w:t>
      </w:r>
      <w:r>
        <w:rPr>
          <w:rStyle w:val="Codetext"/>
        </w:rPr>
        <w:t>j</w:t>
      </w:r>
      <w:r>
        <w:rPr>
          <w:rStyle w:val="Code"/>
        </w:rPr>
        <w:t>&lt;choice&gt;&lt;orig&gt;</w:t>
      </w:r>
      <w:r>
        <w:rPr>
          <w:rStyle w:val="Codetext"/>
        </w:rPr>
        <w:t>ñaḥ</w:t>
      </w:r>
      <w:r>
        <w:rPr>
          <w:rStyle w:val="Code"/>
        </w:rPr>
        <w:t>&lt;/orig&gt;&lt;reg&gt;</w:t>
      </w:r>
      <w:r>
        <w:rPr>
          <w:rStyle w:val="Codetext"/>
        </w:rPr>
        <w:t>asya</w:t>
      </w:r>
      <w:r>
        <w:rPr>
          <w:rStyle w:val="Code"/>
        </w:rPr>
        <w:t>&lt;/reg&gt;&lt;/choice&gt;</w:t>
      </w:r>
    </w:p>
    <w:p>
      <w:pPr>
        <w:pStyle w:val="Lista"/>
      </w:pPr>
      <w:r>
        <w:t>nesting editorial intervention in any other combination must be avoided; thus</w:t>
      </w:r>
    </w:p>
    <w:p>
      <w:pPr>
        <w:pStyle w:val="Lista2"/>
      </w:pPr>
      <w:r>
        <w:t>do not nest a normalisation within a correction</w:t>
      </w:r>
    </w:p>
    <w:p>
      <w:pPr>
        <w:pStyle w:val="Lista2"/>
      </w:pPr>
      <w:r>
        <w:t>do not nest a correction within another correction</w:t>
      </w:r>
    </w:p>
    <w:p>
      <w:pPr>
        <w:pStyle w:val="Lista2"/>
      </w:pPr>
      <w:r>
        <w:t>do not nest a normalisation within another normalisation</w:t>
      </w:r>
    </w:p>
    <w:p>
      <w:pPr>
        <w:pStyle w:val="Lista"/>
      </w:pPr>
      <w:r>
        <w:t xml:space="preserve">in situations where you feel that a received non-standard form is the result of two successive stages of non-standard alteration </w:t>
      </w:r>
      <w:r>
        <w:rPr>
          <w:noProof/>
        </w:rPr>
        <w:t>(</w:t>
      </w:r>
      <w:r>
        <w:t>e.g. non-standard morphology written with non-standard orthography), we recommend one of the following strategies</w:t>
      </w:r>
    </w:p>
    <w:p>
      <w:pPr>
        <w:pStyle w:val="Lista2"/>
      </w:pPr>
      <w:r>
        <w:t xml:space="preserve">encode only the received reading </w:t>
      </w:r>
      <w:r>
        <w:rPr>
          <w:noProof/>
        </w:rPr>
        <w:t>(</w:t>
      </w:r>
      <w:r>
        <w:t xml:space="preserve">as </w:t>
      </w:r>
      <w:r>
        <w:rPr>
          <w:rStyle w:val="Code"/>
        </w:rPr>
        <w:t>&lt;orig&gt;</w:t>
      </w:r>
      <w:r>
        <w:t xml:space="preserve">) and the ultimate normalisation </w:t>
      </w:r>
      <w:r>
        <w:rPr>
          <w:noProof/>
        </w:rPr>
        <w:t>(</w:t>
      </w:r>
      <w:r>
        <w:t xml:space="preserve">as </w:t>
      </w:r>
      <w:r>
        <w:rPr>
          <w:rStyle w:val="Code"/>
        </w:rPr>
        <w:t>&lt;reg&gt;</w:t>
      </w:r>
      <w:r>
        <w:t xml:space="preserve">), and record your ideas about an intermediate stage in an apparatus note </w:t>
      </w:r>
      <w:r>
        <w:rPr>
          <w:noProof/>
        </w:rPr>
        <w:t>(</w:t>
      </w:r>
      <w:r>
        <w:t>§</w:t>
      </w:r>
      <w:r>
        <w:fldChar w:fldCharType="begin"/>
      </w:r>
      <w:r>
        <w:instrText xml:space="preserve"> REF _Ref43988104 \w \h  \* MERGEFORMAT </w:instrText>
      </w:r>
      <w:r>
        <w:fldChar w:fldCharType="separate"/>
      </w:r>
      <w:r>
        <w:t>10.7</w:t>
      </w:r>
      <w:r>
        <w:fldChar w:fldCharType="end"/>
      </w:r>
      <w:r>
        <w:t>)</w:t>
      </w:r>
    </w:p>
    <w:p>
      <w:pPr>
        <w:pStyle w:val="Lista2"/>
      </w:pPr>
      <w:r>
        <w:t>or encode the intermediate stage as the correction of a scribal mistake in the received text and, as permitted above, encode a normalisation with that correction nested inside it, e.g.</w:t>
      </w:r>
    </w:p>
    <w:p>
      <w:pPr>
        <w:pStyle w:val="Lista3"/>
      </w:pPr>
      <w:r>
        <w:t xml:space="preserve">for example, the word </w:t>
      </w:r>
      <w:r>
        <w:rPr>
          <w:rStyle w:val="Foreign"/>
        </w:rPr>
        <w:t>pāñcavarṣaIkā</w:t>
      </w:r>
      <w:r>
        <w:t xml:space="preserve"> is assumed to be a non-standard spelling of </w:t>
      </w:r>
      <w:r>
        <w:rPr>
          <w:rStyle w:val="Foreign"/>
        </w:rPr>
        <w:t>*pāñcavarṣayikā</w:t>
      </w:r>
      <w:r>
        <w:t xml:space="preserve">, which itself is a non-standard derivation whose expected form would be </w:t>
      </w:r>
      <w:r>
        <w:rPr>
          <w:rStyle w:val="Foreign"/>
        </w:rPr>
        <w:t>pāñcavarṣikā</w:t>
      </w:r>
    </w:p>
    <w:p>
      <w:pPr>
        <w:pStyle w:val="Lista3"/>
      </w:pPr>
      <w:r>
        <w:lastRenderedPageBreak/>
        <w:t xml:space="preserve">encoded with the received reading and the fully rectified reading: </w:t>
      </w:r>
      <w:r>
        <w:rPr>
          <w:rStyle w:val="Codetext"/>
        </w:rPr>
        <w:t>pāñcavarṣ</w:t>
      </w:r>
      <w:r>
        <w:rPr>
          <w:rStyle w:val="Code"/>
        </w:rPr>
        <w:t>&lt;choice&gt;&lt;orig&gt;</w:t>
      </w:r>
      <w:r>
        <w:rPr>
          <w:rStyle w:val="Codetext"/>
        </w:rPr>
        <w:t>aI</w:t>
      </w:r>
      <w:r>
        <w:rPr>
          <w:rStyle w:val="Code"/>
        </w:rPr>
        <w:t>&lt;/orig&gt;&lt;reg&gt;</w:t>
      </w:r>
      <w:r>
        <w:rPr>
          <w:rStyle w:val="Codetext"/>
        </w:rPr>
        <w:t>i</w:t>
      </w:r>
      <w:r>
        <w:rPr>
          <w:rStyle w:val="Code"/>
        </w:rPr>
        <w:t>&lt;/reg&gt;&lt;/choice&gt;</w:t>
      </w:r>
      <w:r>
        <w:rPr>
          <w:rStyle w:val="Codetext"/>
        </w:rPr>
        <w:t>kā</w:t>
      </w:r>
    </w:p>
    <w:p>
      <w:pPr>
        <w:pStyle w:val="Lista3"/>
      </w:pPr>
      <w:r>
        <w:t xml:space="preserve">encoded as correction nested in normalisation: </w:t>
      </w:r>
      <w:r>
        <w:rPr>
          <w:rStyle w:val="Codetext"/>
        </w:rPr>
        <w:t>pāñcavarṣ</w:t>
      </w:r>
      <w:r>
        <w:rPr>
          <w:rStyle w:val="Code"/>
        </w:rPr>
        <w:t>&lt;choice&gt;&lt;orig&gt;</w:t>
      </w:r>
      <w:r>
        <w:rPr>
          <w:rStyle w:val="Codetext"/>
        </w:rPr>
        <w:t>a</w:t>
      </w:r>
      <w:r>
        <w:rPr>
          <w:rStyle w:val="Code"/>
        </w:rPr>
        <w:t>&lt;choice&gt;&lt;sic&gt;</w:t>
      </w:r>
      <w:r>
        <w:rPr>
          <w:rStyle w:val="Codetext"/>
        </w:rPr>
        <w:t>I</w:t>
      </w:r>
      <w:r>
        <w:rPr>
          <w:rStyle w:val="Code"/>
        </w:rPr>
        <w:t>&lt;/sic&gt;&lt;corr&gt;</w:t>
      </w:r>
      <w:r>
        <w:rPr>
          <w:rStyle w:val="Codetext"/>
        </w:rPr>
        <w:t>yi</w:t>
      </w:r>
      <w:r>
        <w:rPr>
          <w:rStyle w:val="Code"/>
        </w:rPr>
        <w:t>&lt;/corr&gt;&lt;/choice&gt;&lt;/orig&gt;&lt;reg&gt;</w:t>
      </w:r>
      <w:r>
        <w:rPr>
          <w:rStyle w:val="Codetext"/>
        </w:rPr>
        <w:t>i</w:t>
      </w:r>
      <w:r>
        <w:rPr>
          <w:rStyle w:val="Code"/>
        </w:rPr>
        <w:t>&lt;/reg&gt;&lt;/choice&gt;</w:t>
      </w:r>
      <w:r>
        <w:rPr>
          <w:rStyle w:val="Codetext"/>
        </w:rPr>
        <w:t>kā</w:t>
      </w:r>
    </w:p>
    <w:p>
      <w:pPr>
        <w:pStyle w:val="Cmsor2"/>
      </w:pPr>
      <w:bookmarkStart w:id="633" w:name="_Ref229056523"/>
      <w:bookmarkStart w:id="634" w:name="_Ref181352167"/>
      <w:bookmarkEnd w:id="616"/>
      <w:r>
        <w:t>Editorial curation</w:t>
      </w:r>
      <w:bookmarkEnd w:id="633"/>
    </w:p>
    <w:p>
      <w:bookmarkStart w:id="635" w:name="_9w2cv2tff5ws" w:colFirst="0" w:colLast="0"/>
      <w:bookmarkStart w:id="636" w:name="_xk5v4l7lzr6g" w:colFirst="0" w:colLast="0"/>
      <w:bookmarkStart w:id="637" w:name="_s3fp2wg6e0tr" w:colFirst="0" w:colLast="0"/>
      <w:bookmarkStart w:id="638" w:name="_4q8co2w6em7s" w:colFirst="0" w:colLast="0"/>
      <w:bookmarkStart w:id="639" w:name="_gfq2483l08s8" w:colFirst="0" w:colLast="0"/>
      <w:bookmarkStart w:id="640" w:name="_17phg3rwszds" w:colFirst="0" w:colLast="0"/>
      <w:bookmarkStart w:id="641" w:name="_ed4evxx65471" w:colFirst="0" w:colLast="0"/>
      <w:bookmarkStart w:id="642" w:name="_ucm4r081jfln" w:colFirst="0" w:colLast="0"/>
      <w:bookmarkStart w:id="643" w:name="_65k0k8n31en0" w:colFirst="0" w:colLast="0"/>
      <w:bookmarkStart w:id="644" w:name="_Ref43987541"/>
      <w:bookmarkEnd w:id="635"/>
      <w:bookmarkEnd w:id="636"/>
      <w:bookmarkEnd w:id="637"/>
      <w:bookmarkEnd w:id="638"/>
      <w:bookmarkEnd w:id="639"/>
      <w:bookmarkEnd w:id="640"/>
      <w:bookmarkEnd w:id="641"/>
      <w:bookmarkEnd w:id="642"/>
      <w:bookmarkEnd w:id="643"/>
      <w:r>
        <w:rPr>
          <w:lang w:eastAsia="en-US" w:bidi="ar-SA"/>
        </w:rPr>
        <w:t xml:space="preserve">As discussed in TG §3.3, our editions can include some basic text-based markup that we call </w:t>
      </w:r>
      <w:r>
        <w:rPr>
          <w:i/>
          <w:iCs/>
          <w:lang w:eastAsia="en-US" w:bidi="ar-SA"/>
        </w:rPr>
        <w:t>shorthand</w:t>
      </w:r>
      <w:r>
        <w:t>, which we employ in order to reduce clutter in our encoding. Essential shorthand (TG §3.3.1) is notation that could in principle be replaced by XML encoding, but we choose never to do so. When shorthand is present in a DHARMA digital edition, it will always be implicitly understood as editorial, even though it is not explicitly encoded as such.</w:t>
      </w:r>
    </w:p>
    <w:p>
      <w:pPr>
        <w:pStyle w:val="Normlbehzs"/>
      </w:pPr>
      <w:r>
        <w:t>Essential shorthand includes the disambiguation colon (TG §3.3.1.1), the placeholders for orphaned graphic elements (§</w:t>
      </w:r>
      <w:r>
        <w:fldChar w:fldCharType="begin"/>
      </w:r>
      <w:r>
        <w:instrText xml:space="preserve"> REF _Ref43987165 \r \h </w:instrText>
      </w:r>
      <w:r>
        <w:fldChar w:fldCharType="separate"/>
      </w:r>
      <w:r>
        <w:t>5.1.4</w:t>
      </w:r>
      <w:r>
        <w:fldChar w:fldCharType="end"/>
      </w:r>
      <w:r>
        <w:t xml:space="preserve"> and TG§3.3.1.2), the spaces and hyphens for editorial segmentation (TG §7.3) and the hyphens used for sandhi analysis (TG §7.2).</w:t>
      </w:r>
    </w:p>
    <w:p>
      <w:pPr>
        <w:pStyle w:val="Normlbehzs"/>
      </w:pPr>
      <w:r>
        <w:t>Optional shorthand is notation for which an equivalent or functionally similar encoding alternative exists in DHARMA practice, but which is nonetheless permitted (with different degrees of endorsement) in our XML editions when their simplicity is preferred to the potentially complex encoding alternative. Optional shorthand includes the character joiner sign = (§</w:t>
      </w:r>
      <w:r>
        <w:fldChar w:fldCharType="begin"/>
      </w:r>
      <w:r>
        <w:instrText xml:space="preserve"> REF _Ref43987221 \r \h </w:instrText>
      </w:r>
      <w:r>
        <w:fldChar w:fldCharType="separate"/>
      </w:r>
      <w:r>
        <w:t>5.1.1</w:t>
      </w:r>
      <w:r>
        <w:fldChar w:fldCharType="end"/>
      </w:r>
      <w:r>
        <w:t xml:space="preserve"> and TG§3.3.2.1) and the wildcards V and C for generic vowels and consonants (§</w:t>
      </w:r>
      <w:r>
        <w:fldChar w:fldCharType="begin"/>
      </w:r>
      <w:r>
        <w:instrText xml:space="preserve"> REF _Ref228202081 \r \h </w:instrText>
      </w:r>
      <w:r>
        <w:fldChar w:fldCharType="separate"/>
      </w:r>
      <w:r>
        <w:t>5.1.2</w:t>
      </w:r>
      <w:r>
        <w:fldChar w:fldCharType="end"/>
      </w:r>
      <w:r>
        <w:t xml:space="preserve"> and TG §3.3.2.2) as well as some forms of notation which are essentially a kind of editorial normalisation. The following subsections discuss editorial punctuation (which is not shorthand and must always be accompanied by encoding), along with these latter optional shorthand solutions and their encoding alternatives.</w:t>
      </w:r>
    </w:p>
    <w:p>
      <w:pPr>
        <w:pStyle w:val="Cmsor3"/>
      </w:pPr>
      <w:bookmarkStart w:id="645" w:name="_Ref43984944"/>
      <w:bookmarkStart w:id="646" w:name="_Toc242976664"/>
      <w:r>
        <w:t>Editorial spac</w:t>
      </w:r>
      <w:bookmarkEnd w:id="645"/>
      <w:r>
        <w:t>ing</w:t>
      </w:r>
      <w:bookmarkEnd w:id="646"/>
    </w:p>
    <w:p>
      <w:r>
        <w:t xml:space="preserve">See TG §7.3.4 for general guidance about where and how editorial spaces </w:t>
      </w:r>
      <w:r>
        <w:rPr>
          <w:noProof/>
        </w:rPr>
        <w:t>(</w:t>
      </w:r>
      <w:r>
        <w:t>for word separation) should be employed, and §</w:t>
      </w:r>
      <w:r>
        <w:fldChar w:fldCharType="begin"/>
      </w:r>
      <w:r>
        <w:instrText xml:space="preserve"> REF _Ref43989206 \w \h  \* MERGEFORMAT </w:instrText>
      </w:r>
      <w:r>
        <w:fldChar w:fldCharType="separate"/>
      </w:r>
      <w:r>
        <w:t>16.1</w:t>
      </w:r>
      <w:r>
        <w:fldChar w:fldCharType="end"/>
      </w:r>
      <w:r>
        <w:t xml:space="preserve"> about how spaces in your XML document will be processed. That summary of white space in the processing of XML documents will not necessarily apply to the processing of our encoded files, chiefly because not all processing algorithms behave identically in complex situations while treating white space and the attribute </w:t>
      </w:r>
      <w:r>
        <w:rPr>
          <w:rStyle w:val="Codeattribute"/>
        </w:rPr>
        <w:t>@xml:space</w:t>
      </w:r>
      <w:r>
        <w:rPr>
          <w:rStyle w:val="Codetext"/>
        </w:rPr>
        <w:t>=</w:t>
      </w:r>
      <w:r>
        <w:rPr>
          <w:rStyle w:val="Codevalue"/>
        </w:rPr>
        <w:t>"preserve"</w:t>
      </w:r>
      <w:r>
        <w:t xml:space="preserve"> on the </w:t>
      </w:r>
      <w:r>
        <w:rPr>
          <w:rStyle w:val="Code"/>
        </w:rPr>
        <w:t>&lt;text&gt;</w:t>
      </w:r>
      <w:r>
        <w:t xml:space="preserve"> element of our documents. Therefore, do not bother memorising the subtleties of whitespace handling theory; instead, adhere to the following rules of thumb.</w:t>
      </w:r>
    </w:p>
    <w:p>
      <w:pPr>
        <w:pStyle w:val="Lista"/>
      </w:pPr>
      <w:r>
        <w:t>avoid adding spaces to your text except where an editorial space is required</w:t>
      </w:r>
    </w:p>
    <w:p>
      <w:pPr>
        <w:pStyle w:val="Lista"/>
      </w:pPr>
      <w:r>
        <w:t>make sure to add all required editorial spaces even if an XML element is also present at the same point</w:t>
      </w:r>
    </w:p>
    <w:p>
      <w:pPr>
        <w:pStyle w:val="Lista2"/>
      </w:pPr>
      <w:r>
        <w:t>as far as possible, avoid editorial spaces at the beginning and end of the content of a container element, especially in the situations addressed in §</w:t>
      </w:r>
      <w:r>
        <w:fldChar w:fldCharType="begin"/>
      </w:r>
      <w:r>
        <w:instrText xml:space="preserve"> REF _Ref232068629 \r \h </w:instrText>
      </w:r>
      <w:r>
        <w:fldChar w:fldCharType="separate"/>
      </w:r>
      <w:r>
        <w:t>7.8.1.1</w:t>
      </w:r>
      <w:r>
        <w:fldChar w:fldCharType="end"/>
      </w:r>
      <w:r>
        <w:t xml:space="preserve"> below</w:t>
      </w:r>
    </w:p>
    <w:p>
      <w:pPr>
        <w:pStyle w:val="Lista"/>
      </w:pPr>
      <w:r>
        <w:t>with block-level containers, feel free to enter their contents in a new line after the start tag and/or to put the end tag in a new line if that makes your work easier for you</w:t>
      </w:r>
    </w:p>
    <w:p>
      <w:pPr>
        <w:pStyle w:val="Cmsor4"/>
      </w:pPr>
      <w:bookmarkStart w:id="647" w:name="_Ref232068629"/>
      <w:r>
        <w:t>Spacing phrase-level elements</w:t>
      </w:r>
      <w:bookmarkEnd w:id="647"/>
    </w:p>
    <w:p>
      <w:r>
        <w:t>Phrase-level elements enclosing text (e.g. those representing legibility issues, editorial intervention and restoration) are text containers, therefore</w:t>
      </w:r>
    </w:p>
    <w:p>
      <w:pPr>
        <w:pStyle w:val="Lista"/>
      </w:pPr>
      <w:r>
        <w:t>spaces outside such elements should be used wherever necessary, i.e. wherever the text within a phrase-level container belongs to a word separate from its neighbour outside the container, e.g.</w:t>
      </w:r>
    </w:p>
    <w:p>
      <w:pPr>
        <w:pStyle w:val="Lista2"/>
      </w:pPr>
      <w:r>
        <w:rPr>
          <w:rStyle w:val="Codetext"/>
        </w:rPr>
        <w:t xml:space="preserve">evam </w:t>
      </w:r>
      <w:r>
        <w:rPr>
          <w:rStyle w:val="Code"/>
        </w:rPr>
        <w:t>&lt;unclear&gt;</w:t>
      </w:r>
      <w:r>
        <w:rPr>
          <w:rStyle w:val="Codetext"/>
        </w:rPr>
        <w:t>etaT</w:t>
      </w:r>
      <w:r>
        <w:rPr>
          <w:rStyle w:val="Code"/>
        </w:rPr>
        <w:t>&lt;/unclear&gt;</w:t>
      </w:r>
      <w:r>
        <w:t xml:space="preserve"> must have a space before the container</w:t>
      </w:r>
    </w:p>
    <w:p>
      <w:pPr>
        <w:pStyle w:val="Lista2"/>
      </w:pPr>
      <w:r>
        <w:rPr>
          <w:rStyle w:val="Codetext"/>
        </w:rPr>
        <w:t>evam e</w:t>
      </w:r>
      <w:r>
        <w:rPr>
          <w:rStyle w:val="Code"/>
        </w:rPr>
        <w:t>&lt;unclear&gt;</w:t>
      </w:r>
      <w:r>
        <w:rPr>
          <w:rStyle w:val="Codetext"/>
        </w:rPr>
        <w:t>taT</w:t>
      </w:r>
      <w:r>
        <w:rPr>
          <w:rStyle w:val="Code"/>
        </w:rPr>
        <w:t>&lt;/unclear&gt;</w:t>
      </w:r>
      <w:r>
        <w:t xml:space="preserve"> must not have a space before the container</w:t>
      </w:r>
    </w:p>
    <w:p>
      <w:pPr>
        <w:pStyle w:val="Lista"/>
      </w:pPr>
      <w:r>
        <w:t>white space at the inner edges of such containers may be trimmed from their content in processing</w:t>
      </w:r>
    </w:p>
    <w:p>
      <w:pPr>
        <w:pStyle w:val="Lista2"/>
      </w:pPr>
      <w:r>
        <w:t>therefore any necessary spaces must be placed outside these containers, e.g.</w:t>
      </w:r>
    </w:p>
    <w:p>
      <w:pPr>
        <w:pStyle w:val="Lista3"/>
      </w:pPr>
      <w:r>
        <w:rPr>
          <w:rStyle w:val="Codetext"/>
        </w:rPr>
        <w:t>evam</w:t>
      </w:r>
      <w:r>
        <w:rPr>
          <w:rStyle w:val="Code"/>
        </w:rPr>
        <w:t xml:space="preserve">&lt;unclear&gt; </w:t>
      </w:r>
      <w:r>
        <w:rPr>
          <w:rStyle w:val="Codetext"/>
        </w:rPr>
        <w:t>etaT</w:t>
      </w:r>
      <w:r>
        <w:rPr>
          <w:rStyle w:val="Code"/>
        </w:rPr>
        <w:t>&lt;/unclear&gt;</w:t>
      </w:r>
      <w:r>
        <w:t xml:space="preserve"> is incorrectly spaced</w:t>
      </w:r>
    </w:p>
    <w:p>
      <w:pPr>
        <w:pStyle w:val="Lista3"/>
      </w:pPr>
      <w:r>
        <w:lastRenderedPageBreak/>
        <w:t xml:space="preserve">while </w:t>
      </w:r>
      <w:r>
        <w:rPr>
          <w:rStyle w:val="Codetext"/>
        </w:rPr>
        <w:t xml:space="preserve">evam </w:t>
      </w:r>
      <w:r>
        <w:rPr>
          <w:rStyle w:val="Code"/>
        </w:rPr>
        <w:t xml:space="preserve">&lt;unclear&gt; </w:t>
      </w:r>
      <w:r>
        <w:rPr>
          <w:rStyle w:val="Codetext"/>
        </w:rPr>
        <w:t>etaT</w:t>
      </w:r>
      <w:r>
        <w:rPr>
          <w:rStyle w:val="Code"/>
        </w:rPr>
        <w:t>&lt;/unclear&gt;</w:t>
      </w:r>
      <w:r>
        <w:t xml:space="preserve"> is technically correct, though it contains a superfluous space within the </w:t>
      </w:r>
      <w:r>
        <w:rPr>
          <w:rStyle w:val="Code"/>
        </w:rPr>
        <w:t>&lt;unclear&gt;</w:t>
      </w:r>
      <w:r>
        <w:t xml:space="preserve"> tag</w:t>
      </w:r>
    </w:p>
    <w:p>
      <w:pPr>
        <w:pStyle w:val="Lista"/>
      </w:pPr>
      <w:r>
        <w:t xml:space="preserve">in elements that encode two </w:t>
      </w:r>
      <w:r>
        <w:rPr>
          <w:noProof/>
        </w:rPr>
        <w:t>(</w:t>
      </w:r>
      <w:r>
        <w:t>or more) alternative readings for a stretch of text, it may be necessary to add a space at the beginning or end of only one of these alternatives</w:t>
      </w:r>
    </w:p>
    <w:p>
      <w:pPr>
        <w:pStyle w:val="Lista2"/>
      </w:pPr>
      <w:r>
        <w:t>to avoid anomalies in processing, in such cases you should increase the scope of the elements so that the space is not at the edge of the content, e.g.</w:t>
      </w:r>
    </w:p>
    <w:p>
      <w:pPr>
        <w:pStyle w:val="Lista3"/>
      </w:pPr>
      <w:r>
        <w:t xml:space="preserve">in an ambivalent reading that may be read as </w:t>
      </w:r>
      <w:r>
        <w:rPr>
          <w:rStyle w:val="Foreign"/>
        </w:rPr>
        <w:t>tathāpi</w:t>
      </w:r>
      <w:r>
        <w:t xml:space="preserve"> (</w:t>
      </w:r>
      <w:proofErr w:type="spellStart"/>
      <w:r>
        <w:rPr>
          <w:rStyle w:val="Foreign"/>
        </w:rPr>
        <w:t>tathā</w:t>
      </w:r>
      <w:proofErr w:type="spellEnd"/>
      <w:r>
        <w:rPr>
          <w:rStyle w:val="Foreign"/>
        </w:rPr>
        <w:t>*api</w:t>
      </w:r>
      <w:r>
        <w:t xml:space="preserve"> in inseparable sandhi) or </w:t>
      </w:r>
      <w:r>
        <w:rPr>
          <w:rStyle w:val="Foreign"/>
        </w:rPr>
        <w:t>tathā hi</w:t>
      </w:r>
      <w:r>
        <w:t xml:space="preserve"> (two separable words)</w:t>
      </w:r>
    </w:p>
    <w:p>
      <w:pPr>
        <w:pStyle w:val="Lista4"/>
      </w:pPr>
      <w:r>
        <w:rPr>
          <w:rStyle w:val="Codetext"/>
        </w:rPr>
        <w:t>tathā</w:t>
      </w:r>
      <w:r>
        <w:rPr>
          <w:rStyle w:val="Code"/>
        </w:rPr>
        <w:t>&lt;choice&gt;&lt;unclear&gt;</w:t>
      </w:r>
      <w:r>
        <w:rPr>
          <w:rStyle w:val="Codetext"/>
        </w:rPr>
        <w:t>p</w:t>
      </w:r>
      <w:r>
        <w:rPr>
          <w:rStyle w:val="Code"/>
        </w:rPr>
        <w:t xml:space="preserve">&lt;/unclear&gt;&lt;unclear&gt; </w:t>
      </w:r>
      <w:r>
        <w:rPr>
          <w:rStyle w:val="Codetext"/>
        </w:rPr>
        <w:t>h</w:t>
      </w:r>
      <w:r>
        <w:rPr>
          <w:rStyle w:val="Code"/>
        </w:rPr>
        <w:t>&lt;/unclear&gt;&lt;/choice&gt;</w:t>
      </w:r>
      <w:r>
        <w:rPr>
          <w:rStyle w:val="Codetext"/>
        </w:rPr>
        <w:t>i</w:t>
      </w:r>
      <w:r>
        <w:t xml:space="preserve"> is incorrectly spaced </w:t>
      </w:r>
      <w:r>
        <w:rPr>
          <w:noProof/>
        </w:rPr>
        <w:t>(</w:t>
      </w:r>
      <w:r>
        <w:t xml:space="preserve">since the space before </w:t>
      </w:r>
      <w:r>
        <w:rPr>
          <w:rStyle w:val="Foreign"/>
        </w:rPr>
        <w:t>h</w:t>
      </w:r>
      <w:r>
        <w:t xml:space="preserve"> may be trimmed)</w:t>
      </w:r>
    </w:p>
    <w:p>
      <w:pPr>
        <w:pStyle w:val="Lista4"/>
      </w:pPr>
      <w:r>
        <w:t xml:space="preserve">to eliminate the problem, use </w:t>
      </w:r>
    </w:p>
    <w:p>
      <w:pPr>
        <w:pStyle w:val="Lista5"/>
      </w:pPr>
      <w:r>
        <w:t xml:space="preserve">either </w:t>
      </w:r>
      <w:r>
        <w:rPr>
          <w:rStyle w:val="Code"/>
        </w:rPr>
        <w:t>&lt;choice&gt;&lt;unclear&gt;</w:t>
      </w:r>
      <w:r>
        <w:rPr>
          <w:rStyle w:val="Codetext"/>
        </w:rPr>
        <w:t>tathāpi</w:t>
      </w:r>
      <w:r>
        <w:rPr>
          <w:rStyle w:val="Code"/>
        </w:rPr>
        <w:t>&lt;/unclear&gt;&lt;unclear&gt;</w:t>
      </w:r>
      <w:r>
        <w:rPr>
          <w:rStyle w:val="Codetext"/>
        </w:rPr>
        <w:t>tathā hi</w:t>
      </w:r>
      <w:r>
        <w:rPr>
          <w:rStyle w:val="Code"/>
        </w:rPr>
        <w:t>&lt;/unclear&gt;&lt;/choice&gt;</w:t>
      </w:r>
      <w:r>
        <w:t xml:space="preserve"> </w:t>
      </w:r>
    </w:p>
    <w:p>
      <w:pPr>
        <w:pStyle w:val="Lista5"/>
      </w:pPr>
      <w:r>
        <w:t xml:space="preserve">or </w:t>
      </w:r>
      <w:r>
        <w:rPr>
          <w:rStyle w:val="Codetext"/>
        </w:rPr>
        <w:t>tath</w:t>
      </w:r>
      <w:r>
        <w:rPr>
          <w:rStyle w:val="Code"/>
        </w:rPr>
        <w:t>&lt;choice&gt;&lt;unclear&gt;</w:t>
      </w:r>
      <w:r>
        <w:rPr>
          <w:rStyle w:val="Codetext"/>
        </w:rPr>
        <w:t>āp</w:t>
      </w:r>
      <w:r>
        <w:rPr>
          <w:rStyle w:val="Code"/>
        </w:rPr>
        <w:t>&lt;/unclear&gt;&lt;unclear&gt;</w:t>
      </w:r>
      <w:r>
        <w:rPr>
          <w:rStyle w:val="Codetext"/>
        </w:rPr>
        <w:t>ā h</w:t>
      </w:r>
      <w:r>
        <w:rPr>
          <w:rStyle w:val="Code"/>
        </w:rPr>
        <w:t>&lt;/unclear&gt;&lt;/choice&gt;</w:t>
      </w:r>
      <w:r>
        <w:rPr>
          <w:rStyle w:val="Codetext"/>
        </w:rPr>
        <w:t>i</w:t>
      </w:r>
    </w:p>
    <w:p>
      <w:pPr>
        <w:pStyle w:val="Lista3"/>
      </w:pPr>
      <w:r>
        <w:t xml:space="preserve">in an editorial correction of </w:t>
      </w:r>
      <w:r>
        <w:rPr>
          <w:rStyle w:val="Foreign"/>
        </w:rPr>
        <w:t>gata-kāle</w:t>
      </w:r>
      <w:r>
        <w:t xml:space="preserve"> to </w:t>
      </w:r>
      <w:r>
        <w:rPr>
          <w:rStyle w:val="Foreign"/>
        </w:rPr>
        <w:t>gate kāle</w:t>
      </w:r>
    </w:p>
    <w:p>
      <w:pPr>
        <w:pStyle w:val="Lista4"/>
      </w:pPr>
      <w:r>
        <w:rPr>
          <w:rStyle w:val="Codetext"/>
        </w:rPr>
        <w:t>gat</w:t>
      </w:r>
      <w:r>
        <w:rPr>
          <w:rStyle w:val="Code"/>
        </w:rPr>
        <w:t>&lt;choice&gt;&lt;sic&gt;</w:t>
      </w:r>
      <w:r>
        <w:rPr>
          <w:rStyle w:val="Codetext"/>
        </w:rPr>
        <w:t>a-</w:t>
      </w:r>
      <w:r>
        <w:rPr>
          <w:rStyle w:val="Code"/>
        </w:rPr>
        <w:t>&lt;/sic&gt;&lt;corr&gt;</w:t>
      </w:r>
      <w:r>
        <w:rPr>
          <w:rStyle w:val="Codetext"/>
        </w:rPr>
        <w:t xml:space="preserve">e </w:t>
      </w:r>
      <w:r>
        <w:rPr>
          <w:rStyle w:val="Code"/>
        </w:rPr>
        <w:t>&lt;/corr&gt;&lt;/choice&gt;</w:t>
      </w:r>
      <w:r>
        <w:rPr>
          <w:rStyle w:val="Codetext"/>
        </w:rPr>
        <w:t>kāle</w:t>
      </w:r>
      <w:r>
        <w:t xml:space="preserve"> is incorrectly spaced </w:t>
      </w:r>
      <w:r>
        <w:rPr>
          <w:noProof/>
        </w:rPr>
        <w:t>(</w:t>
      </w:r>
      <w:r>
        <w:t xml:space="preserve">since the space after </w:t>
      </w:r>
      <w:r>
        <w:rPr>
          <w:rStyle w:val="Foreign"/>
        </w:rPr>
        <w:t>e</w:t>
      </w:r>
      <w:r>
        <w:t xml:space="preserve"> may be trimmed)</w:t>
      </w:r>
    </w:p>
    <w:p>
      <w:pPr>
        <w:pStyle w:val="Lista4"/>
      </w:pPr>
      <w:r>
        <w:t xml:space="preserve">to eliminate the problem, use </w:t>
      </w:r>
    </w:p>
    <w:p>
      <w:pPr>
        <w:pStyle w:val="Lista5"/>
      </w:pPr>
      <w:r>
        <w:t xml:space="preserve">either </w:t>
      </w:r>
      <w:r>
        <w:rPr>
          <w:rStyle w:val="Code"/>
        </w:rPr>
        <w:t>&lt;choice&gt;&lt;sic&gt;</w:t>
      </w:r>
      <w:r>
        <w:rPr>
          <w:rStyle w:val="Codetext"/>
        </w:rPr>
        <w:t>gata-kāle</w:t>
      </w:r>
      <w:r>
        <w:rPr>
          <w:rStyle w:val="Code"/>
        </w:rPr>
        <w:t>&lt;/sic&gt;&lt;corr&gt;</w:t>
      </w:r>
      <w:r>
        <w:rPr>
          <w:rStyle w:val="Codetext"/>
        </w:rPr>
        <w:t>gate kāle</w:t>
      </w:r>
      <w:r>
        <w:rPr>
          <w:rStyle w:val="Code"/>
        </w:rPr>
        <w:t>&lt;/corr&gt;&lt;/choice&gt;</w:t>
      </w:r>
      <w:r>
        <w:t xml:space="preserve"> </w:t>
      </w:r>
    </w:p>
    <w:p>
      <w:pPr>
        <w:pStyle w:val="Lista5"/>
      </w:pPr>
      <w:r>
        <w:t xml:space="preserve">or </w:t>
      </w:r>
      <w:r>
        <w:rPr>
          <w:rStyle w:val="Codetext"/>
        </w:rPr>
        <w:t>gat</w:t>
      </w:r>
      <w:r>
        <w:rPr>
          <w:rStyle w:val="Code"/>
        </w:rPr>
        <w:t>&lt;choice&gt;&lt;sic&gt;</w:t>
      </w:r>
      <w:r>
        <w:rPr>
          <w:rStyle w:val="Codetext"/>
        </w:rPr>
        <w:t>a-k</w:t>
      </w:r>
      <w:r>
        <w:rPr>
          <w:rStyle w:val="Code"/>
        </w:rPr>
        <w:t>&lt;/sic&gt;&lt;corr&gt;</w:t>
      </w:r>
      <w:r>
        <w:rPr>
          <w:rStyle w:val="Codetext"/>
        </w:rPr>
        <w:t>e k</w:t>
      </w:r>
      <w:r>
        <w:rPr>
          <w:rStyle w:val="Code"/>
        </w:rPr>
        <w:t>&lt;/corr&gt;&lt;/choice&gt;</w:t>
      </w:r>
      <w:r>
        <w:rPr>
          <w:rStyle w:val="Codetext"/>
        </w:rPr>
        <w:t>āle</w:t>
      </w:r>
    </w:p>
    <w:p>
      <w:pPr>
        <w:pStyle w:val="Cmsor3"/>
      </w:pPr>
      <w:bookmarkStart w:id="648" w:name="_xg74xrj1ejbr" w:colFirst="0" w:colLast="0"/>
      <w:bookmarkStart w:id="649" w:name="_Ref232156818"/>
      <w:bookmarkStart w:id="650" w:name="_Toc242976665"/>
      <w:bookmarkEnd w:id="648"/>
      <w:r>
        <w:t>Editorial hyphenation</w:t>
      </w:r>
      <w:bookmarkEnd w:id="649"/>
      <w:bookmarkEnd w:id="650"/>
    </w:p>
    <w:p>
      <w:r>
        <w:t xml:space="preserve">See TG §7.3.5 for general guidance about where and how editorial hyphens </w:t>
      </w:r>
      <w:r>
        <w:rPr>
          <w:noProof/>
        </w:rPr>
        <w:t>(</w:t>
      </w:r>
      <w:r>
        <w:t xml:space="preserve">for compound segmentation and some cases of sandhi analysis) should be employed. </w:t>
      </w:r>
    </w:p>
    <w:p>
      <w:pPr>
        <w:pStyle w:val="Lista"/>
      </w:pPr>
      <w:r>
        <w:t>hyphens must never be added at the ends of epigraphic lines</w:t>
      </w:r>
    </w:p>
    <w:p>
      <w:pPr>
        <w:pStyle w:val="Lista2"/>
      </w:pPr>
      <w:r>
        <w:t xml:space="preserve">if a line beginning interrupts a word, the element encoding the new line must take the attribute </w:t>
      </w:r>
      <w:r>
        <w:rPr>
          <w:rStyle w:val="Codeattribute"/>
        </w:rPr>
        <w:t>@break</w:t>
      </w:r>
      <w:r>
        <w:rPr>
          <w:rStyle w:val="Code"/>
        </w:rPr>
        <w:t>=</w:t>
      </w:r>
      <w:r>
        <w:rPr>
          <w:rStyle w:val="Codevalue"/>
        </w:rPr>
        <w:t>"no"</w:t>
      </w:r>
    </w:p>
    <w:p>
      <w:pPr>
        <w:pStyle w:val="Lista2"/>
      </w:pPr>
      <w:r>
        <w:t xml:space="preserve">the same applies to </w:t>
      </w:r>
      <w:r>
        <w:rPr>
          <w:rStyle w:val="Code"/>
        </w:rPr>
        <w:t>&lt;pb/&gt;</w:t>
      </w:r>
      <w:r>
        <w:t xml:space="preserve"> and </w:t>
      </w:r>
      <w:r>
        <w:rPr>
          <w:rStyle w:val="Code"/>
        </w:rPr>
        <w:t>&lt;milestone/&gt;</w:t>
      </w:r>
      <w:r>
        <w:t xml:space="preserve"> elements</w:t>
      </w:r>
    </w:p>
    <w:p>
      <w:pPr>
        <w:pStyle w:val="Lista2"/>
      </w:pPr>
      <w:r>
        <w:t>this encoding replaces the word-breaking hyphen used at the ends of printed lines</w:t>
      </w:r>
    </w:p>
    <w:p>
      <w:pPr>
        <w:pStyle w:val="Lista"/>
      </w:pPr>
      <w:r>
        <w:t xml:space="preserve">when an editorial hyphen </w:t>
      </w:r>
      <w:r>
        <w:rPr>
          <w:noProof/>
        </w:rPr>
        <w:t>(</w:t>
      </w:r>
      <w:r>
        <w:t xml:space="preserve">marking an in-compound word boundary) coincides with one of the above elements or with an encoded </w:t>
      </w:r>
      <w:r>
        <w:rPr>
          <w:rStyle w:val="Code"/>
        </w:rPr>
        <w:t>&lt;space/&gt;</w:t>
      </w:r>
      <w:r>
        <w:t>, the hyphen shall be placed at the beginning of the text after the intervening element</w:t>
      </w:r>
      <w:r>
        <w:rPr>
          <w:noProof/>
        </w:rPr>
        <w:t>(</w:t>
      </w:r>
      <w:r>
        <w:t>s)</w:t>
      </w:r>
    </w:p>
    <w:p>
      <w:pPr>
        <w:pStyle w:val="Lista2"/>
      </w:pPr>
      <w:r>
        <w:t xml:space="preserve">e.g. </w:t>
      </w:r>
      <w:r>
        <w:rPr>
          <w:rStyle w:val="Codetext"/>
        </w:rPr>
        <w:t>nr̥pati</w:t>
      </w:r>
      <w:r>
        <w:rPr>
          <w:rStyle w:val="Code"/>
        </w:rPr>
        <w:t xml:space="preserve">&lt;lb </w:t>
      </w:r>
      <w:r>
        <w:rPr>
          <w:rStyle w:val="Codeattribute"/>
        </w:rPr>
        <w:t>n=</w:t>
      </w:r>
      <w:r>
        <w:rPr>
          <w:rStyle w:val="Codevalue"/>
        </w:rPr>
        <w:t>"12"</w:t>
      </w:r>
      <w:r>
        <w:rPr>
          <w:rStyle w:val="Code"/>
        </w:rPr>
        <w:t xml:space="preserve"> </w:t>
      </w:r>
      <w:r>
        <w:rPr>
          <w:rStyle w:val="Codeattribute"/>
        </w:rPr>
        <w:t>break=</w:t>
      </w:r>
      <w:r>
        <w:rPr>
          <w:rStyle w:val="Codevalue"/>
        </w:rPr>
        <w:t>"no"</w:t>
      </w:r>
      <w:r>
        <w:rPr>
          <w:rStyle w:val="Code"/>
        </w:rPr>
        <w:t>/&gt;</w:t>
      </w:r>
      <w:r>
        <w:rPr>
          <w:rStyle w:val="Codetext"/>
        </w:rPr>
        <w:t>-makuṭa</w:t>
      </w:r>
    </w:p>
    <w:p>
      <w:pPr>
        <w:pStyle w:val="Lista"/>
      </w:pPr>
      <w:r>
        <w:t>unlike space, hyphens may be used without technical worries at the beginning or end of text-containing elements</w:t>
      </w:r>
    </w:p>
    <w:p>
      <w:pPr>
        <w:pStyle w:val="Lista"/>
      </w:pPr>
      <w:r>
        <w:t>as far as feasible, avoid including editorial hyphens within markup describing the received text, e.g.</w:t>
      </w:r>
    </w:p>
    <w:p>
      <w:pPr>
        <w:pStyle w:val="Lista3"/>
      </w:pPr>
      <w:r>
        <w:rPr>
          <w:rStyle w:val="Codetext"/>
        </w:rPr>
        <w:t>sarva-</w:t>
      </w:r>
      <w:r>
        <w:rPr>
          <w:rStyle w:val="Code"/>
        </w:rPr>
        <w:t>&lt;unclear&gt;</w:t>
      </w:r>
      <w:r>
        <w:rPr>
          <w:rStyle w:val="Codetext"/>
        </w:rPr>
        <w:t>lokā</w:t>
      </w:r>
      <w:r>
        <w:rPr>
          <w:rStyle w:val="Code"/>
        </w:rPr>
        <w:t>&lt;/unclear&gt;</w:t>
      </w:r>
      <w:r>
        <w:rPr>
          <w:rStyle w:val="Codetext"/>
        </w:rPr>
        <w:t>nām</w:t>
      </w:r>
      <w:r>
        <w:t xml:space="preserve"> is preferable to </w:t>
      </w:r>
      <w:r>
        <w:rPr>
          <w:rStyle w:val="Codetext"/>
        </w:rPr>
        <w:t>sarva</w:t>
      </w:r>
      <w:r>
        <w:rPr>
          <w:rStyle w:val="Code"/>
        </w:rPr>
        <w:t>&lt;unclear&gt;</w:t>
      </w:r>
      <w:r>
        <w:rPr>
          <w:rStyle w:val="Codetext"/>
        </w:rPr>
        <w:t>-lokā</w:t>
      </w:r>
      <w:r>
        <w:rPr>
          <w:rStyle w:val="Code"/>
        </w:rPr>
        <w:t>&lt;/unclear&gt;</w:t>
      </w:r>
      <w:r>
        <w:rPr>
          <w:rStyle w:val="Codetext"/>
        </w:rPr>
        <w:t>nām</w:t>
      </w:r>
      <w:r>
        <w:t>, since the hyphen is not actually present in the text and thus not unclear</w:t>
      </w:r>
    </w:p>
    <w:p>
      <w:pPr>
        <w:pStyle w:val="Lista3"/>
      </w:pPr>
      <w:r>
        <w:rPr>
          <w:rStyle w:val="Codetext"/>
        </w:rPr>
        <w:t>viṣaya-</w:t>
      </w:r>
      <w:r>
        <w:rPr>
          <w:rStyle w:val="Code"/>
        </w:rPr>
        <w:t>&lt;abbr&gt;</w:t>
      </w:r>
      <w:r>
        <w:rPr>
          <w:rStyle w:val="Codetext"/>
        </w:rPr>
        <w:t>saṁ</w:t>
      </w:r>
      <w:r>
        <w:rPr>
          <w:rStyle w:val="Code"/>
        </w:rPr>
        <w:t>&lt;/abbr&gt;</w:t>
      </w:r>
      <w:r>
        <w:t xml:space="preserve"> (where </w:t>
      </w:r>
      <w:r>
        <w:rPr>
          <w:rStyle w:val="Foreign"/>
        </w:rPr>
        <w:t>saṁ</w:t>
      </w:r>
      <w:r>
        <w:t xml:space="preserve"> is understood to stand for </w:t>
      </w:r>
      <w:r>
        <w:rPr>
          <w:rStyle w:val="Foreign"/>
        </w:rPr>
        <w:t>saṁbaddha</w:t>
      </w:r>
      <w:r>
        <w:t xml:space="preserve">) is preferable to </w:t>
      </w:r>
      <w:r>
        <w:rPr>
          <w:rStyle w:val="Codetext"/>
        </w:rPr>
        <w:t>viṣaya</w:t>
      </w:r>
      <w:r>
        <w:rPr>
          <w:rStyle w:val="Code"/>
        </w:rPr>
        <w:t>&lt;abbr&gt;</w:t>
      </w:r>
      <w:r>
        <w:rPr>
          <w:rStyle w:val="Codetext"/>
        </w:rPr>
        <w:t>-saṁ</w:t>
      </w:r>
      <w:r>
        <w:rPr>
          <w:rStyle w:val="Code"/>
        </w:rPr>
        <w:t>&lt;/abbr&gt;</w:t>
      </w:r>
      <w:r>
        <w:t xml:space="preserve">, since the hyphen, not being actually present, is not part of the abbreviation </w:t>
      </w:r>
    </w:p>
    <w:p>
      <w:pPr>
        <w:pStyle w:val="Lista2"/>
      </w:pPr>
      <w:r>
        <w:t>however, there is no need to split phrase-level elements around an editorial hyphen even if, strictly speaking, the editorial hyphen is not qualified by the element, e.g.</w:t>
      </w:r>
    </w:p>
    <w:p>
      <w:pPr>
        <w:pStyle w:val="Lista3"/>
      </w:pPr>
      <w:r>
        <w:rPr>
          <w:rStyle w:val="Codetext"/>
        </w:rPr>
        <w:t>sar</w:t>
      </w:r>
      <w:r>
        <w:rPr>
          <w:rStyle w:val="Code"/>
        </w:rPr>
        <w:t>&lt;unclear&gt;</w:t>
      </w:r>
      <w:r>
        <w:rPr>
          <w:rStyle w:val="Codetext"/>
        </w:rPr>
        <w:t>va-lokā</w:t>
      </w:r>
      <w:r>
        <w:rPr>
          <w:rStyle w:val="Code"/>
        </w:rPr>
        <w:t>&lt;/unclear&gt;</w:t>
      </w:r>
      <w:r>
        <w:rPr>
          <w:rStyle w:val="Codetext"/>
        </w:rPr>
        <w:t>nām</w:t>
      </w:r>
      <w:r>
        <w:t xml:space="preserve"> is the preferred encoding, though the hyphen, not being present in the text, is not unclear, so a more accurate but less practicable encoding would be </w:t>
      </w:r>
      <w:r>
        <w:rPr>
          <w:rStyle w:val="Codetext"/>
        </w:rPr>
        <w:t>sar</w:t>
      </w:r>
      <w:r>
        <w:rPr>
          <w:rStyle w:val="Code"/>
        </w:rPr>
        <w:t>&lt;unclear&gt;</w:t>
      </w:r>
      <w:r>
        <w:rPr>
          <w:rStyle w:val="Codetext"/>
        </w:rPr>
        <w:t>va</w:t>
      </w:r>
      <w:r>
        <w:rPr>
          <w:rStyle w:val="Code"/>
        </w:rPr>
        <w:t>&lt;/unclear&gt;-&lt;unclear&gt;</w:t>
      </w:r>
      <w:r>
        <w:rPr>
          <w:rStyle w:val="Codetext"/>
        </w:rPr>
        <w:t>lokā</w:t>
      </w:r>
      <w:r>
        <w:rPr>
          <w:rStyle w:val="Code"/>
        </w:rPr>
        <w:t>&lt;/unclear&gt;</w:t>
      </w:r>
      <w:r>
        <w:rPr>
          <w:rStyle w:val="Codetext"/>
        </w:rPr>
        <w:t>nām</w:t>
      </w:r>
    </w:p>
    <w:p>
      <w:pPr>
        <w:pStyle w:val="Cmsor3"/>
      </w:pPr>
      <w:bookmarkStart w:id="651" w:name="_Ref229060537"/>
      <w:bookmarkStart w:id="652" w:name="_Ref229062653"/>
      <w:bookmarkStart w:id="653" w:name="_Toc242976666"/>
      <w:r>
        <w:t>Supplied punctuation</w:t>
      </w:r>
      <w:bookmarkEnd w:id="651"/>
      <w:bookmarkEnd w:id="653"/>
    </w:p>
    <w:p>
      <w:r>
        <w:t>Original punctuation marks present in the text must always be transliterated and encoded as per §</w:t>
      </w:r>
      <w:r>
        <w:fldChar w:fldCharType="begin"/>
      </w:r>
      <w:r>
        <w:instrText xml:space="preserve"> REF _Ref226033363 \r \h </w:instrText>
      </w:r>
      <w:r>
        <w:fldChar w:fldCharType="separate"/>
      </w:r>
      <w:r>
        <w:t>5.3</w:t>
      </w:r>
      <w:r>
        <w:fldChar w:fldCharType="end"/>
      </w:r>
      <w:r>
        <w:t xml:space="preserve">. Editorial punctuation marks must never be added silently to an XML edition, but editorial punctuation can, and </w:t>
      </w:r>
      <w:r>
        <w:lastRenderedPageBreak/>
        <w:t>by our recommendation should, be used to render the semantic structure of a text clearer, so long as it is clearly marked up as editorial.</w:t>
      </w:r>
    </w:p>
    <w:p>
      <w:pPr>
        <w:pStyle w:val="Cmsor4"/>
      </w:pPr>
      <w:r>
        <w:t>Encoding editorial  punctuation</w:t>
      </w:r>
    </w:p>
    <w:p>
      <w:pPr>
        <w:pStyle w:val="Lista"/>
      </w:pPr>
      <w:r>
        <w:t>editorial punctuation is recommended in the following circumstances:</w:t>
      </w:r>
    </w:p>
    <w:p>
      <w:pPr>
        <w:pStyle w:val="Lista2"/>
      </w:pPr>
      <w:r>
        <w:t xml:space="preserve">for semantic segmentation of long paragraphs into sentences or other semantic units, when no original punctuation is present, as in </w:t>
      </w:r>
      <w:r>
        <w:fldChar w:fldCharType="begin"/>
      </w:r>
      <w:r>
        <w:instrText xml:space="preserve"> REF _Ref229059150 \h </w:instrText>
      </w:r>
      <w:r>
        <w:fldChar w:fldCharType="separate"/>
      </w:r>
      <w:r>
        <w:t xml:space="preserve">Exhibit </w:t>
      </w:r>
      <w:r>
        <w:rPr>
          <w:noProof/>
        </w:rPr>
        <w:t>7.8</w:t>
      </w:r>
      <w:r>
        <w:t>.</w:t>
      </w:r>
      <w:r>
        <w:rPr>
          <w:noProof/>
        </w:rPr>
        <w:t>A</w:t>
      </w:r>
      <w:r>
        <w:fldChar w:fldCharType="end"/>
      </w:r>
    </w:p>
    <w:p>
      <w:pPr>
        <w:pStyle w:val="Lista2"/>
      </w:pPr>
      <w:r>
        <w:t xml:space="preserve">in lists </w:t>
      </w:r>
      <w:r>
        <w:rPr>
          <w:noProof/>
        </w:rPr>
        <w:t>(</w:t>
      </w:r>
      <w:r>
        <w:t xml:space="preserve">e.g. lists of donees), to mark the end of each list item when list encoding is not used, as in </w:t>
      </w:r>
      <w:r>
        <w:fldChar w:fldCharType="begin"/>
      </w:r>
      <w:r>
        <w:instrText xml:space="preserve"> REF _Ref229059156 \h </w:instrText>
      </w:r>
      <w:r>
        <w:fldChar w:fldCharType="separate"/>
      </w:r>
      <w:r>
        <w:t xml:space="preserve">Exhibit </w:t>
      </w:r>
      <w:r>
        <w:rPr>
          <w:noProof/>
        </w:rPr>
        <w:t>7.8</w:t>
      </w:r>
      <w:r>
        <w:t>.</w:t>
      </w:r>
      <w:r>
        <w:rPr>
          <w:noProof/>
        </w:rPr>
        <w:t>B</w:t>
      </w:r>
      <w:r>
        <w:fldChar w:fldCharType="end"/>
      </w:r>
    </w:p>
    <w:p>
      <w:pPr>
        <w:pStyle w:val="Lista2"/>
      </w:pPr>
      <w:r>
        <w:t xml:space="preserve">especially if in either of the above cases the original does use punctuation marks, but does so inconsistently </w:t>
      </w:r>
      <w:r>
        <w:rPr>
          <w:noProof/>
        </w:rPr>
        <w:t>(</w:t>
      </w:r>
      <w:r>
        <w:t>i.e. only after some sentences or list items), because in this case the most logical assumption is that the lack of punctuation marks after certain items is a scribal omission</w:t>
      </w:r>
    </w:p>
    <w:p>
      <w:pPr>
        <w:pStyle w:val="Lista"/>
      </w:pPr>
      <w:r>
        <w:t>editorial punctuation need not and must not be added at the end of any encoded block-level container (§</w:t>
      </w:r>
      <w:r>
        <w:fldChar w:fldCharType="begin"/>
      </w:r>
      <w:r>
        <w:instrText xml:space="preserve"> REF _Ref225500627 \w \h </w:instrText>
      </w:r>
      <w:r>
        <w:fldChar w:fldCharType="separate"/>
      </w:r>
      <w:r>
        <w:t>3.2</w:t>
      </w:r>
      <w:r>
        <w:fldChar w:fldCharType="end"/>
      </w:r>
      <w:r>
        <w:t>), because the encoding already takes care of segmentation in these cases</w:t>
      </w:r>
    </w:p>
    <w:p>
      <w:pPr>
        <w:pStyle w:val="Lista2"/>
      </w:pPr>
      <w:r>
        <w:t>including</w:t>
      </w:r>
    </w:p>
    <w:p>
      <w:pPr>
        <w:pStyle w:val="Lista3"/>
      </w:pPr>
      <w:r>
        <w:t>paragraphs and anonymous blocks containing prose (§</w:t>
      </w:r>
      <w:r>
        <w:fldChar w:fldCharType="begin"/>
      </w:r>
      <w:r>
        <w:instrText xml:space="preserve"> REF _Ref229058843 \w \h </w:instrText>
      </w:r>
      <w:r>
        <w:fldChar w:fldCharType="separate"/>
      </w:r>
      <w:r>
        <w:t>3.2.1</w:t>
      </w:r>
      <w:r>
        <w:fldChar w:fldCharType="end"/>
      </w:r>
      <w:r>
        <w:t>)</w:t>
      </w:r>
    </w:p>
    <w:p>
      <w:pPr>
        <w:pStyle w:val="Lista3"/>
      </w:pPr>
      <w:r>
        <w:t>stanzas and verse lines (§</w:t>
      </w:r>
      <w:r>
        <w:fldChar w:fldCharType="begin"/>
      </w:r>
      <w:r>
        <w:instrText xml:space="preserve"> REF _Ref224740501 \w \h </w:instrText>
      </w:r>
      <w:r>
        <w:fldChar w:fldCharType="separate"/>
      </w:r>
      <w:r>
        <w:t>3.2.2</w:t>
      </w:r>
      <w:r>
        <w:fldChar w:fldCharType="end"/>
      </w:r>
      <w:r>
        <w:t>)</w:t>
      </w:r>
    </w:p>
    <w:p>
      <w:pPr>
        <w:pStyle w:val="Lista3"/>
      </w:pPr>
      <w:r>
        <w:t>lists and list items (§</w:t>
      </w:r>
      <w:r>
        <w:fldChar w:fldCharType="begin"/>
      </w:r>
      <w:r>
        <w:instrText xml:space="preserve"> REF _Ref168563127 \w \h </w:instrText>
      </w:r>
      <w:r>
        <w:fldChar w:fldCharType="separate"/>
      </w:r>
      <w:r>
        <w:t>3.2.1.3</w:t>
      </w:r>
      <w:r>
        <w:fldChar w:fldCharType="end"/>
      </w:r>
      <w:r>
        <w:t>)</w:t>
      </w:r>
    </w:p>
    <w:p>
      <w:pPr>
        <w:pStyle w:val="Lista"/>
      </w:pPr>
      <w:r>
        <w:t>to encode supplied punctuation,</w:t>
      </w:r>
    </w:p>
    <w:p>
      <w:pPr>
        <w:pStyle w:val="Lista2"/>
      </w:pPr>
      <w:r>
        <w:t xml:space="preserve">use the default transliteration placeholder . </w:t>
      </w:r>
      <w:r>
        <w:rPr>
          <w:noProof/>
        </w:rPr>
        <w:t>(</w:t>
      </w:r>
      <w:r>
        <w:t>period, full stop) as per §</w:t>
      </w:r>
      <w:r>
        <w:fldChar w:fldCharType="begin"/>
      </w:r>
      <w:r>
        <w:instrText xml:space="preserve"> REF _Ref226036268 \w \h </w:instrText>
      </w:r>
      <w:r>
        <w:fldChar w:fldCharType="separate"/>
      </w:r>
      <w:r>
        <w:t>5.3.3.1</w:t>
      </w:r>
      <w:r>
        <w:fldChar w:fldCharType="end"/>
      </w:r>
      <w:r>
        <w:t xml:space="preserve"> and TG §5.3</w:t>
      </w:r>
    </w:p>
    <w:p>
      <w:pPr>
        <w:pStyle w:val="Lista2"/>
      </w:pPr>
      <w:r>
        <w:t xml:space="preserve">do not add a </w:t>
      </w:r>
      <w:r>
        <w:rPr>
          <w:rStyle w:val="Code"/>
        </w:rPr>
        <w:t>&lt;g&gt;</w:t>
      </w:r>
      <w:r>
        <w:t xml:space="preserve"> tag around this placeholder as you would for original punctuation </w:t>
      </w:r>
      <w:r>
        <w:rPr>
          <w:noProof/>
        </w:rPr>
        <w:t>(</w:t>
      </w:r>
      <w:r>
        <w:t>§</w:t>
      </w:r>
      <w:r>
        <w:fldChar w:fldCharType="begin"/>
      </w:r>
      <w:r>
        <w:instrText xml:space="preserve"> REF _Ref225955927 \w \h </w:instrText>
      </w:r>
      <w:r>
        <w:fldChar w:fldCharType="separate"/>
      </w:r>
      <w:r>
        <w:t>5.3.4</w:t>
      </w:r>
      <w:r>
        <w:fldChar w:fldCharType="end"/>
      </w:r>
      <w:r>
        <w:t>)</w:t>
      </w:r>
    </w:p>
    <w:p>
      <w:pPr>
        <w:pStyle w:val="Lista3"/>
      </w:pPr>
      <w:r>
        <w:t>this is to express the fact that this punctuation character is an abstract one, without any assertion of its physical appearance</w:t>
      </w:r>
    </w:p>
    <w:p>
      <w:pPr>
        <w:pStyle w:val="Lista2"/>
        <w:rPr>
          <w:rFonts w:ascii="Gentium Plus" w:hAnsi="Gentium Plus" w:cs="Arial Unicode MS"/>
        </w:rPr>
      </w:pPr>
      <w:r>
        <w:t xml:space="preserve">wrap the placeholder in </w:t>
      </w:r>
      <w:r>
        <w:rPr>
          <w:rStyle w:val="Code"/>
        </w:rPr>
        <w:t xml:space="preserve">&lt;supplied </w:t>
      </w:r>
      <w:r>
        <w:rPr>
          <w:rStyle w:val="Codeattribute"/>
        </w:rPr>
        <w:t>reason</w:t>
      </w:r>
      <w:r>
        <w:rPr>
          <w:rStyle w:val="Code"/>
        </w:rPr>
        <w:t>=</w:t>
      </w:r>
      <w:r>
        <w:rPr>
          <w:rStyle w:val="Codevalue"/>
        </w:rPr>
        <w:t>"subaudible"</w:t>
      </w:r>
      <w:r>
        <w:rPr>
          <w:rStyle w:val="Code"/>
        </w:rPr>
        <w:t>&gt;</w:t>
      </w:r>
      <w:r>
        <w:t xml:space="preserve"> to mark it up as editorial</w:t>
      </w:r>
    </w:p>
    <w:p>
      <w:pPr>
        <w:pStyle w:val="Lista3"/>
        <w:rPr>
          <w:rStyle w:val="Code"/>
          <w:rFonts w:ascii="Gentium Plus" w:hAnsi="Gentium Plus" w:cs="Arial Unicode MS"/>
          <w:noProof w:val="0"/>
          <w:color w:val="auto"/>
          <w:shd w:val="clear" w:color="auto" w:fill="auto"/>
        </w:rPr>
      </w:pPr>
      <w:r>
        <w:t>the rationale behind the choice of this attribute value is that punctuation is implied by the semantic context, so in a way, a punctuation mark is “subaudible” to the native or informed reader, whereas alternative encoding as editorial intervention would imply that the scribe made an error or used non-standard language, which is not the case</w:t>
      </w:r>
    </w:p>
    <w:p>
      <w:pPr>
        <w:pStyle w:val="Lista"/>
      </w:pPr>
      <w:r>
        <w:t>when you supply punctuation within or adjacent to text that you have supplied because it had been omitted (§</w:t>
      </w:r>
      <w:r>
        <w:fldChar w:fldCharType="begin"/>
      </w:r>
      <w:r>
        <w:instrText xml:space="preserve"> REF _Ref229056324 \r \h </w:instrText>
      </w:r>
      <w:r>
        <w:fldChar w:fldCharType="separate"/>
      </w:r>
      <w:r>
        <w:t>7.5.3</w:t>
      </w:r>
      <w:r>
        <w:fldChar w:fldCharType="end"/>
      </w:r>
      <w:r>
        <w:t>) or lost (§</w:t>
      </w:r>
      <w:r>
        <w:fldChar w:fldCharType="begin"/>
      </w:r>
      <w:r>
        <w:instrText xml:space="preserve"> REF _Ref228459751 \r \h </w:instrText>
      </w:r>
      <w:r>
        <w:fldChar w:fldCharType="separate"/>
      </w:r>
      <w:r>
        <w:t>6.4</w:t>
      </w:r>
      <w:r>
        <w:fldChar w:fldCharType="end"/>
      </w:r>
      <w:r>
        <w:t xml:space="preserve">) in the original, a separate </w:t>
      </w:r>
      <w:r>
        <w:rPr>
          <w:rStyle w:val="Code"/>
        </w:rPr>
        <w:t>&lt;supplied&gt;</w:t>
      </w:r>
      <w:r>
        <w:t xml:space="preserve"> element must be created to wrap the editorial punctuation</w:t>
      </w:r>
    </w:p>
    <w:p>
      <w:pPr>
        <w:pStyle w:val="Lista2"/>
      </w:pPr>
      <w:r>
        <w:t xml:space="preserve">e.g. </w:t>
      </w:r>
      <w:r>
        <w:rPr>
          <w:rStyle w:val="Codetext"/>
        </w:rPr>
        <w:t>ājñāpaya</w:t>
      </w:r>
      <w:r>
        <w:rPr>
          <w:rStyle w:val="Code"/>
        </w:rPr>
        <w:t xml:space="preserve">&lt;supplied </w:t>
      </w:r>
      <w:r>
        <w:rPr>
          <w:rStyle w:val="Codeattribute"/>
        </w:rPr>
        <w:t>reason</w:t>
      </w:r>
      <w:r>
        <w:rPr>
          <w:rStyle w:val="Codetext"/>
        </w:rPr>
        <w:t>=</w:t>
      </w:r>
      <w:r>
        <w:rPr>
          <w:rStyle w:val="Codevalue"/>
        </w:rPr>
        <w:t>"omitted"</w:t>
      </w:r>
      <w:r>
        <w:rPr>
          <w:rStyle w:val="Code"/>
        </w:rPr>
        <w:t>&gt;</w:t>
      </w:r>
      <w:r>
        <w:rPr>
          <w:rStyle w:val="Codetext"/>
        </w:rPr>
        <w:t>ti</w:t>
      </w:r>
      <w:r>
        <w:rPr>
          <w:rStyle w:val="Code"/>
        </w:rPr>
        <w:t xml:space="preserve">&lt;/supplied&gt;&lt;supplied </w:t>
      </w:r>
      <w:r>
        <w:rPr>
          <w:rStyle w:val="Codeattribute"/>
        </w:rPr>
        <w:t>reason</w:t>
      </w:r>
      <w:r>
        <w:rPr>
          <w:rStyle w:val="Codetext"/>
        </w:rPr>
        <w:t>=</w:t>
      </w:r>
      <w:r>
        <w:rPr>
          <w:rStyle w:val="Codevalue"/>
        </w:rPr>
        <w:t>"subaudible"</w:t>
      </w:r>
      <w:r>
        <w:rPr>
          <w:rStyle w:val="Code"/>
        </w:rPr>
        <w:t>&gt;</w:t>
      </w:r>
      <w:r>
        <w:rPr>
          <w:rStyle w:val="Codetext"/>
        </w:rPr>
        <w:t>.</w:t>
      </w:r>
      <w:r>
        <w:rPr>
          <w:rStyle w:val="Code"/>
        </w:rPr>
        <w:t>&lt;/supplied&gt;</w:t>
      </w:r>
    </w:p>
    <w:p>
      <w:pPr>
        <w:pStyle w:val="Lista"/>
      </w:pPr>
      <w:r>
        <w:t>editorial punctuation in DHARMA editions will be of this single kind, without differentiation on any basis</w:t>
      </w:r>
    </w:p>
    <w:p>
      <w:pPr>
        <w:pStyle w:val="Lista2"/>
      </w:pPr>
      <w:r>
        <w:t>although many earlier editors supply two levels of punctuation (</w:t>
      </w:r>
      <w:proofErr w:type="spellStart"/>
      <w:r>
        <w:t>daṇḍa</w:t>
      </w:r>
      <w:proofErr w:type="spellEnd"/>
      <w:r>
        <w:t xml:space="preserve"> and double </w:t>
      </w:r>
      <w:proofErr w:type="spellStart"/>
      <w:r>
        <w:t>daṇḍa</w:t>
      </w:r>
      <w:proofErr w:type="spellEnd"/>
      <w:r>
        <w:t>), the higher punctuation level is only useful at the end of stanzas and paragraphs, where we demarcate block-level containers instead of supplying punctuations</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654" w:name="_Ref229059150"/>
            <w:r>
              <w:t xml:space="preserve">Exhibit </w:t>
            </w:r>
            <w:fldSimple w:instr=" STYLEREF 2 \s ">
              <w:r>
                <w:rPr>
                  <w:noProof/>
                </w:rPr>
                <w:t>7.8</w:t>
              </w:r>
            </w:fldSimple>
            <w:r>
              <w:t>.</w:t>
            </w:r>
            <w:fldSimple w:instr=" SEQ Exhibit \* ALPHABETIC \s 2 ">
              <w:r>
                <w:rPr>
                  <w:noProof/>
                </w:rPr>
                <w:t>A</w:t>
              </w:r>
            </w:fldSimple>
            <w:bookmarkEnd w:id="654"/>
            <w:r>
              <w:t>: supplied punctuation at the end of a sentence</w:t>
            </w:r>
          </w:p>
        </w:tc>
      </w:tr>
      <w:tr>
        <w:tc>
          <w:tcPr>
            <w:tcW w:w="5000" w:type="pct"/>
          </w:tcPr>
          <w:p>
            <w:pPr>
              <w:pStyle w:val="CodeParagraph"/>
            </w:pPr>
            <w:r>
              <w:rPr>
                <w:rStyle w:val="Code"/>
              </w:rPr>
              <w:t>&lt;p&gt;</w:t>
            </w:r>
            <w:r>
              <w:rPr>
                <w:rStyle w:val="Codetext"/>
              </w:rPr>
              <w:t xml:space="preserve"> ... anumantavyo varddhanīyaś ca</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w:t>
            </w:r>
            <w:r>
              <w:rPr>
                <w:rStyle w:val="Code"/>
              </w:rPr>
              <w:t>&lt;/supplied&gt;</w:t>
            </w:r>
            <w:r>
              <w:rPr>
                <w:rStyle w:val="Codetext"/>
              </w:rPr>
              <w:t xml:space="preserve"> yo vājñānād ... </w:t>
            </w:r>
            <w:r>
              <w:rPr>
                <w:rStyle w:val="Code"/>
              </w:rPr>
              <w:t>&lt;/p&gt;</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655" w:name="_Ref229059156"/>
            <w:r>
              <w:t xml:space="preserve">Exhibit </w:t>
            </w:r>
            <w:fldSimple w:instr=" STYLEREF 2 \s ">
              <w:r>
                <w:rPr>
                  <w:noProof/>
                </w:rPr>
                <w:t>7.8</w:t>
              </w:r>
            </w:fldSimple>
            <w:r>
              <w:t>.</w:t>
            </w:r>
            <w:fldSimple w:instr=" SEQ Exhibit \* ALPHABETIC \s 2 ">
              <w:r>
                <w:rPr>
                  <w:noProof/>
                </w:rPr>
                <w:t>B</w:t>
              </w:r>
            </w:fldSimple>
            <w:bookmarkEnd w:id="655"/>
            <w:r>
              <w:t>: supplied punctuation in a list with sporadic original punctuation</w:t>
            </w:r>
          </w:p>
        </w:tc>
      </w:tr>
      <w:tr>
        <w:tc>
          <w:tcPr>
            <w:tcW w:w="5000" w:type="pct"/>
          </w:tcPr>
          <w:p>
            <w:pPr>
              <w:pStyle w:val="CodeParagraph"/>
              <w:keepNext/>
            </w:pPr>
            <w:r>
              <w:rPr>
                <w:rStyle w:val="Code"/>
              </w:rPr>
              <w:t>&lt;p&gt;</w:t>
            </w:r>
            <w:r>
              <w:rPr>
                <w:rStyle w:val="Codetext"/>
              </w:rPr>
              <w:t xml:space="preserve"> ... Āruvaśarmmaṇa Ekkaṁśaḥ</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w:t>
            </w:r>
            <w:r>
              <w:rPr>
                <w:rStyle w:val="Code"/>
              </w:rPr>
              <w:t>&lt;/supplied&gt;</w:t>
            </w:r>
            <w:r>
              <w:rPr>
                <w:rStyle w:val="Codetext"/>
              </w:rPr>
              <w:t xml:space="preserve"> puna vedaśarmmaṇa Ekkaṁśaḥ</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w:t>
            </w:r>
            <w:r>
              <w:rPr>
                <w:rStyle w:val="Code"/>
              </w:rPr>
              <w:t>&lt;/supplied&gt;</w:t>
            </w:r>
            <w:r>
              <w:rPr>
                <w:rStyle w:val="Codetext"/>
              </w:rPr>
              <w:t xml:space="preserve"> ... jakkiśarmmaṇa Ekkaṁśaḥ</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w:t>
            </w:r>
            <w:r>
              <w:rPr>
                <w:rStyle w:val="Code"/>
              </w:rPr>
              <w:t>&lt;/supplied&gt;</w:t>
            </w:r>
            <w:r>
              <w:rPr>
                <w:rStyle w:val="Codetext"/>
              </w:rPr>
              <w:t xml:space="preserve"> ... vebaśarmmaṇa Ekkaṁśaḥ</w:t>
            </w:r>
            <w:r>
              <w:rPr>
                <w:rStyle w:val="Code"/>
              </w:rPr>
              <w:t xml:space="preserve">&lt;g </w:t>
            </w:r>
            <w:r>
              <w:rPr>
                <w:rStyle w:val="Codeattribute"/>
              </w:rPr>
              <w:t>type</w:t>
            </w:r>
            <w:r>
              <w:rPr>
                <w:rStyle w:val="Code"/>
              </w:rPr>
              <w:t>=</w:t>
            </w:r>
            <w:r>
              <w:rPr>
                <w:rStyle w:val="Codevalue"/>
              </w:rPr>
              <w:t xml:space="preserve">"punctuation" </w:t>
            </w:r>
            <w:r>
              <w:rPr>
                <w:rStyle w:val="Codeattribute"/>
              </w:rPr>
              <w:t>ref</w:t>
            </w:r>
            <w:r>
              <w:rPr>
                <w:rStyle w:val="Code"/>
              </w:rPr>
              <w:t>=</w:t>
            </w:r>
            <w:r>
              <w:rPr>
                <w:rStyle w:val="Codevalue"/>
              </w:rPr>
              <w:t>"sym:bar"</w:t>
            </w:r>
            <w:r>
              <w:rPr>
                <w:rStyle w:val="Code"/>
              </w:rPr>
              <w:t>&gt;</w:t>
            </w:r>
            <w:r>
              <w:rPr>
                <w:rStyle w:val="Codetext"/>
              </w:rPr>
              <w:t>.</w:t>
            </w:r>
            <w:r>
              <w:rPr>
                <w:rStyle w:val="Code"/>
              </w:rPr>
              <w:t>&lt;/g&gt;</w:t>
            </w:r>
            <w:r>
              <w:rPr>
                <w:rStyle w:val="Codetext"/>
              </w:rPr>
              <w:t xml:space="preserve"> ... sarvvaśarmmaṇa ... </w:t>
            </w:r>
            <w:r>
              <w:rPr>
                <w:rStyle w:val="Code"/>
              </w:rPr>
              <w:t>&lt;/p&gt;</w:t>
            </w:r>
          </w:p>
        </w:tc>
      </w:tr>
      <w:tr>
        <w:tc>
          <w:tcPr>
            <w:tcW w:w="5000" w:type="pct"/>
          </w:tcPr>
          <w:p>
            <w:pPr>
              <w:pStyle w:val="TableNote"/>
              <w:rPr>
                <w:rStyle w:val="Code"/>
              </w:rPr>
            </w:pPr>
            <w:r>
              <w:t xml:space="preserve">the original punctuation mark in the excerpt is tagged with </w:t>
            </w:r>
            <w:r>
              <w:rPr>
                <w:rStyle w:val="Code"/>
              </w:rPr>
              <w:t>&lt;g&gt;</w:t>
            </w:r>
          </w:p>
        </w:tc>
      </w:tr>
    </w:tbl>
    <w:p>
      <w:pPr>
        <w:pStyle w:val="Cmsor4"/>
      </w:pPr>
      <w:r>
        <w:lastRenderedPageBreak/>
        <w:t>Supplying omitted punctuation</w:t>
      </w:r>
    </w:p>
    <w:p>
      <w:r>
        <w:t>If you are fully confident that the absence of a punctuation mark at a certain point is the result of actual scribal omission (rather than of the fact that the creator of the document did not feel the need for a punctuation mark there), then you may at your discretion choose to restitute it like any other omission instead of encoding it as subaudible.</w:t>
      </w:r>
    </w:p>
    <w:p>
      <w:pPr>
        <w:pStyle w:val="Lista"/>
      </w:pPr>
      <w:r>
        <w:t xml:space="preserve">use the same placeholder and  </w:t>
      </w:r>
      <w:r>
        <w:rPr>
          <w:rStyle w:val="Code"/>
        </w:rPr>
        <w:t>&lt;g&gt;</w:t>
      </w:r>
      <w:r>
        <w:t xml:space="preserve"> encoding </w:t>
      </w:r>
      <w:r>
        <w:rPr>
          <w:noProof/>
        </w:rPr>
        <w:t>(</w:t>
      </w:r>
      <w:r>
        <w:t>§</w:t>
      </w:r>
      <w:r>
        <w:fldChar w:fldCharType="begin"/>
      </w:r>
      <w:r>
        <w:instrText xml:space="preserve"> REF _Ref225955927 \w \h </w:instrText>
      </w:r>
      <w:r>
        <w:fldChar w:fldCharType="separate"/>
      </w:r>
      <w:r>
        <w:t>5.3.4</w:t>
      </w:r>
      <w:r>
        <w:fldChar w:fldCharType="end"/>
      </w:r>
      <w:r>
        <w:t>) as for other comparable punctuation marks in the same document</w:t>
      </w:r>
    </w:p>
    <w:p>
      <w:pPr>
        <w:pStyle w:val="Lista"/>
      </w:pPr>
      <w:r>
        <w:t xml:space="preserve">wrap the </w:t>
      </w:r>
      <w:r>
        <w:rPr>
          <w:rStyle w:val="Code"/>
        </w:rPr>
        <w:t>&lt;g&gt;</w:t>
      </w:r>
      <w:r>
        <w:t xml:space="preserve"> element in </w:t>
      </w:r>
      <w:r>
        <w:rPr>
          <w:rStyle w:val="Code"/>
        </w:rPr>
        <w:t xml:space="preserve">&lt;supplied </w:t>
      </w:r>
      <w:r>
        <w:rPr>
          <w:rStyle w:val="Codeattribute"/>
        </w:rPr>
        <w:t>reason</w:t>
      </w:r>
      <w:r>
        <w:rPr>
          <w:rStyle w:val="Code"/>
        </w:rPr>
        <w:t>=</w:t>
      </w:r>
      <w:r>
        <w:rPr>
          <w:rStyle w:val="Codevalue"/>
        </w:rPr>
        <w:t>"omitted"</w:t>
      </w:r>
      <w:r>
        <w:rPr>
          <w:rStyle w:val="Code"/>
        </w:rPr>
        <w:t>&gt;</w:t>
      </w:r>
      <w:r>
        <w:t xml:space="preserve"> as per §</w:t>
      </w:r>
      <w:r>
        <w:fldChar w:fldCharType="begin"/>
      </w:r>
      <w:r>
        <w:instrText xml:space="preserve"> REF _Ref229056324 \r \h </w:instrText>
      </w:r>
      <w:r>
        <w:fldChar w:fldCharType="separate"/>
      </w:r>
      <w:r>
        <w:t>7.5.3</w:t>
      </w:r>
      <w:r>
        <w:fldChar w:fldCharType="end"/>
      </w:r>
    </w:p>
    <w:p>
      <w:pPr>
        <w:pStyle w:val="Lista2"/>
      </w:pPr>
      <w:r>
        <w:t xml:space="preserve">in this case, there is no need for a separate </w:t>
      </w:r>
      <w:r>
        <w:rPr>
          <w:rStyle w:val="Code"/>
        </w:rPr>
        <w:t>&lt;supplied&gt;</w:t>
      </w:r>
      <w:r>
        <w:t xml:space="preserve"> tag when the restored punctuation is within or adjacent to other restored text</w:t>
      </w:r>
    </w:p>
    <w:p>
      <w:pPr>
        <w:pStyle w:val="Cmsor3"/>
      </w:pPr>
      <w:bookmarkStart w:id="656" w:name="_Toc242976667"/>
      <w:r>
        <w:t xml:space="preserve">Supplied </w:t>
      </w:r>
      <w:r>
        <w:rPr>
          <w:rStyle w:val="Foreign"/>
        </w:rPr>
        <w:t>avagraha</w:t>
      </w:r>
      <w:bookmarkEnd w:id="652"/>
      <w:bookmarkEnd w:id="656"/>
    </w:p>
    <w:p>
      <w:r>
        <w:t xml:space="preserve">As per TG §4.3.1.1, editors may supply </w:t>
      </w:r>
      <w:r>
        <w:rPr>
          <w:rStyle w:val="Foreign"/>
        </w:rPr>
        <w:t>avagraha</w:t>
      </w:r>
      <w:r>
        <w:t xml:space="preserve"> without explicitly marking it up as editorial, because the texts in our scope hardly ever contain an original </w:t>
      </w:r>
      <w:r>
        <w:rPr>
          <w:rStyle w:val="Foreign"/>
        </w:rPr>
        <w:t>avagraha</w:t>
      </w:r>
      <w:r>
        <w:t xml:space="preserve">. Nonetheless, adding encoding to editorial </w:t>
      </w:r>
      <w:proofErr w:type="spellStart"/>
      <w:r>
        <w:rPr>
          <w:rStyle w:val="Foreign"/>
        </w:rPr>
        <w:t>avagraha</w:t>
      </w:r>
      <w:r>
        <w:t>s</w:t>
      </w:r>
      <w:proofErr w:type="spellEnd"/>
      <w:r>
        <w:t xml:space="preserve"> is strongly recommended in all XML editions and mandatory in editions which contain original </w:t>
      </w:r>
      <w:r>
        <w:rPr>
          <w:rStyle w:val="Foreign"/>
        </w:rPr>
        <w:t>avagraha</w:t>
      </w:r>
      <w:r>
        <w:t>.</w:t>
      </w:r>
    </w:p>
    <w:p>
      <w:pPr>
        <w:pStyle w:val="Lista"/>
      </w:pPr>
      <w:r>
        <w:t xml:space="preserve">to mark up </w:t>
      </w:r>
      <w:r>
        <w:rPr>
          <w:rStyle w:val="Foreign"/>
        </w:rPr>
        <w:t>avagraha</w:t>
      </w:r>
      <w:r>
        <w:t xml:space="preserve"> as editorial, wrap the </w:t>
      </w:r>
      <w:r>
        <w:rPr>
          <w:rStyle w:val="Foreign"/>
        </w:rPr>
        <w:t>avagraha</w:t>
      </w:r>
      <w:r>
        <w:t xml:space="preserve"> (transliterated as ’ [right single quote]) in </w:t>
      </w:r>
      <w:r>
        <w:rPr>
          <w:rStyle w:val="Code"/>
        </w:rPr>
        <w:t xml:space="preserve">&lt;supplied </w:t>
      </w:r>
      <w:r>
        <w:rPr>
          <w:rStyle w:val="Codeattribute"/>
        </w:rPr>
        <w:t>reason</w:t>
      </w:r>
      <w:r>
        <w:rPr>
          <w:rStyle w:val="Code"/>
        </w:rPr>
        <w:t>=</w:t>
      </w:r>
      <w:r>
        <w:rPr>
          <w:rStyle w:val="Codevalue"/>
        </w:rPr>
        <w:t>"subaudible"</w:t>
      </w:r>
      <w:r>
        <w:rPr>
          <w:rStyle w:val="Code"/>
        </w:rPr>
        <w:t>&gt;</w:t>
      </w:r>
    </w:p>
    <w:p>
      <w:pPr>
        <w:pStyle w:val="Lista2"/>
      </w:pPr>
      <w:r>
        <w:t>this is the same encoding as that used for editorial punctuation (§</w:t>
      </w:r>
      <w:r>
        <w:fldChar w:fldCharType="begin"/>
      </w:r>
      <w:r>
        <w:instrText xml:space="preserve"> REF _Ref229060537 \r \h </w:instrText>
      </w:r>
      <w:r>
        <w:fldChar w:fldCharType="separate"/>
      </w:r>
      <w:r>
        <w:t>7.8.3</w:t>
      </w:r>
      <w:r>
        <w:fldChar w:fldCharType="end"/>
      </w:r>
      <w:r>
        <w:t>), employed for the present purpose with the same rationale</w:t>
      </w:r>
    </w:p>
    <w:p>
      <w:pPr>
        <w:pStyle w:val="Lista"/>
      </w:pPr>
      <w:r>
        <w:t xml:space="preserve">when you supply </w:t>
      </w:r>
      <w:r>
        <w:rPr>
          <w:rStyle w:val="Foreign"/>
        </w:rPr>
        <w:t>avagraha</w:t>
      </w:r>
      <w:r>
        <w:t xml:space="preserve"> within or adjacent to text that you have supplied because it had been omitted (§</w:t>
      </w:r>
      <w:r>
        <w:fldChar w:fldCharType="begin"/>
      </w:r>
      <w:r>
        <w:instrText xml:space="preserve"> REF _Ref229056324 \r \h </w:instrText>
      </w:r>
      <w:r>
        <w:fldChar w:fldCharType="separate"/>
      </w:r>
      <w:r>
        <w:t>7.5.3</w:t>
      </w:r>
      <w:r>
        <w:fldChar w:fldCharType="end"/>
      </w:r>
      <w:r>
        <w:t>) or lost (§</w:t>
      </w:r>
      <w:r>
        <w:fldChar w:fldCharType="begin"/>
      </w:r>
      <w:r>
        <w:instrText xml:space="preserve"> REF _Ref228459751 \r \h </w:instrText>
      </w:r>
      <w:r>
        <w:fldChar w:fldCharType="separate"/>
      </w:r>
      <w:r>
        <w:t>6.4</w:t>
      </w:r>
      <w:r>
        <w:fldChar w:fldCharType="end"/>
      </w:r>
      <w:r>
        <w:t xml:space="preserve">) in the original, a separate </w:t>
      </w:r>
      <w:r>
        <w:rPr>
          <w:rStyle w:val="Code"/>
        </w:rPr>
        <w:t>&lt;supplied&gt;</w:t>
      </w:r>
      <w:r>
        <w:t xml:space="preserve"> element must be created to wrap the editorial </w:t>
      </w:r>
      <w:r>
        <w:rPr>
          <w:rStyle w:val="Foreign"/>
        </w:rPr>
        <w:t>avagraha</w:t>
      </w:r>
    </w:p>
    <w:p>
      <w:pPr>
        <w:pStyle w:val="Lista2"/>
        <w:rPr>
          <w:rStyle w:val="Codetext"/>
          <w:rFonts w:ascii="Gentium" w:hAnsi="Gentium" w:cs="Tiro Devanagari Sanskrit"/>
          <w:noProof w:val="0"/>
          <w:color w:val="auto"/>
          <w:shd w:val="clear" w:color="auto" w:fill="auto"/>
        </w:rPr>
      </w:pPr>
      <w:r>
        <w:t xml:space="preserve">e.g. </w:t>
      </w:r>
      <w:r>
        <w:rPr>
          <w:rStyle w:val="Code"/>
        </w:rPr>
        <w:t xml:space="preserve">&lt;supplied </w:t>
      </w:r>
      <w:r>
        <w:rPr>
          <w:rStyle w:val="Codeattribute"/>
        </w:rPr>
        <w:t>reason</w:t>
      </w:r>
      <w:r>
        <w:rPr>
          <w:rStyle w:val="Codetext"/>
        </w:rPr>
        <w:t>=</w:t>
      </w:r>
      <w:r>
        <w:rPr>
          <w:rStyle w:val="Codevalue"/>
        </w:rPr>
        <w:t>"lost"</w:t>
      </w:r>
      <w:r>
        <w:rPr>
          <w:rStyle w:val="Code"/>
        </w:rPr>
        <w:t>&gt;</w:t>
      </w:r>
      <w:r>
        <w:rPr>
          <w:rStyle w:val="Codetext"/>
        </w:rPr>
        <w:t xml:space="preserve">yo </w:t>
      </w:r>
      <w:r>
        <w:rPr>
          <w:rStyle w:val="Code"/>
        </w:rPr>
        <w:t xml:space="preserve">&lt;/supplied&gt;&lt;supplied </w:t>
      </w:r>
      <w:r>
        <w:rPr>
          <w:rStyle w:val="Codeattribute"/>
        </w:rPr>
        <w:t>reason</w:t>
      </w:r>
      <w:r>
        <w:rPr>
          <w:rStyle w:val="Codetext"/>
        </w:rPr>
        <w:t>=</w:t>
      </w:r>
      <w:r>
        <w:rPr>
          <w:rStyle w:val="Codevalue"/>
        </w:rPr>
        <w:t>"subaudible"</w:t>
      </w:r>
      <w:r>
        <w:rPr>
          <w:rStyle w:val="Code"/>
        </w:rPr>
        <w:t>&gt;</w:t>
      </w:r>
      <w:r>
        <w:rPr>
          <w:rStyle w:val="Codetext"/>
        </w:rPr>
        <w:t>’</w:t>
      </w:r>
      <w:r>
        <w:rPr>
          <w:rStyle w:val="Code"/>
        </w:rPr>
        <w:t xml:space="preserve">&lt;/supplied&gt;&lt;supplied </w:t>
      </w:r>
      <w:r>
        <w:rPr>
          <w:rStyle w:val="Codeattribute"/>
        </w:rPr>
        <w:t>reason</w:t>
      </w:r>
      <w:r>
        <w:rPr>
          <w:rStyle w:val="Codetext"/>
        </w:rPr>
        <w:t>=</w:t>
      </w:r>
      <w:r>
        <w:rPr>
          <w:rStyle w:val="Codevalue"/>
        </w:rPr>
        <w:t>"lost"</w:t>
      </w:r>
      <w:r>
        <w:rPr>
          <w:rStyle w:val="Code"/>
        </w:rPr>
        <w:t>&gt;</w:t>
      </w:r>
      <w:r>
        <w:rPr>
          <w:rStyle w:val="Codetext"/>
        </w:rPr>
        <w:t>paharttā sa</w:t>
      </w:r>
      <w:r>
        <w:rPr>
          <w:rStyle w:val="Code"/>
        </w:rPr>
        <w:t>&lt;/supplied&gt;</w:t>
      </w:r>
      <w:r>
        <w:rPr>
          <w:rStyle w:val="Codetext"/>
        </w:rPr>
        <w:t xml:space="preserve"> pañca-mahāpātaka-saṁyukto bhavati</w:t>
      </w:r>
    </w:p>
    <w:p>
      <w:pPr>
        <w:pStyle w:val="Lista"/>
      </w:pPr>
      <w:r>
        <w:t xml:space="preserve">in corpora where original </w:t>
      </w:r>
      <w:r>
        <w:rPr>
          <w:rStyle w:val="Foreign"/>
        </w:rPr>
        <w:t>avagraha</w:t>
      </w:r>
      <w:r>
        <w:rPr>
          <w:rStyle w:val="Foreign"/>
          <w:i w:val="0"/>
          <w:iCs w:val="0"/>
        </w:rPr>
        <w:t>s</w:t>
      </w:r>
      <w:r>
        <w:t xml:space="preserve"> are unusual, it is recommended that you wrap any original </w:t>
      </w:r>
      <w:r>
        <w:rPr>
          <w:rStyle w:val="Foreign"/>
        </w:rPr>
        <w:t>avagraha</w:t>
      </w:r>
      <w:r>
        <w:t xml:space="preserve"> in </w:t>
      </w:r>
      <w:r>
        <w:rPr>
          <w:rStyle w:val="Code"/>
        </w:rPr>
        <w:t>&lt;orig&gt;</w:t>
      </w:r>
      <w:r>
        <w:t xml:space="preserve"> to make it very clear that they are not editorial additions</w:t>
      </w:r>
    </w:p>
    <w:p>
      <w:pPr>
        <w:pStyle w:val="Cmsor3"/>
      </w:pPr>
      <w:bookmarkStart w:id="657" w:name="_Toc242976668"/>
      <w:r>
        <w:t>Distinction of short and long e/o in Dravidian languages</w:t>
      </w:r>
      <w:bookmarkEnd w:id="657"/>
    </w:p>
    <w:p>
      <w:r>
        <w:t xml:space="preserve">Dravidian-language inscriptions in our purview usually do not make a graphic distinction between the short and long versions of </w:t>
      </w:r>
      <w:r>
        <w:rPr>
          <w:rStyle w:val="Foreign"/>
        </w:rPr>
        <w:t>e</w:t>
      </w:r>
      <w:r>
        <w:t xml:space="preserve"> and </w:t>
      </w:r>
      <w:r>
        <w:rPr>
          <w:rStyle w:val="Foreign"/>
        </w:rPr>
        <w:t>o</w:t>
      </w:r>
      <w:r>
        <w:t xml:space="preserve">, even though this is a phonemic distinction in the languages </w:t>
      </w:r>
      <w:proofErr w:type="spellStart"/>
      <w:r>
        <w:t>concened</w:t>
      </w:r>
      <w:proofErr w:type="spellEnd"/>
      <w:r>
        <w:t xml:space="preserve">. As per TG §7.1.1, the transliteration </w:t>
      </w:r>
      <w:r>
        <w:rPr>
          <w:rStyle w:val="Foreign"/>
        </w:rPr>
        <w:t>e</w:t>
      </w:r>
      <w:r>
        <w:t xml:space="preserve"> and </w:t>
      </w:r>
      <w:r>
        <w:rPr>
          <w:rStyle w:val="Foreign"/>
        </w:rPr>
        <w:t>o</w:t>
      </w:r>
      <w:r>
        <w:t xml:space="preserve"> stands for the generic grapheme where a graphic distinction is not present, and for the short grapheme where a graphic distinction is present. Conversely, the transliteration </w:t>
      </w:r>
      <w:r>
        <w:rPr>
          <w:rStyle w:val="Foreign"/>
        </w:rPr>
        <w:t>ē</w:t>
      </w:r>
      <w:r>
        <w:t xml:space="preserve"> and </w:t>
      </w:r>
      <w:r>
        <w:rPr>
          <w:rStyle w:val="Foreign"/>
        </w:rPr>
        <w:t>ō</w:t>
      </w:r>
      <w:r>
        <w:t xml:space="preserve"> stand for the long grapheme where a graphic distinction is present, while if a graphic distinction is not present in the original, then the editor may use these as shorthand for the generic grapheme representing the long phoneme. This shorthand is permitted in XML editions, but it may also be replaced by encoding at your discretion, in order to wholly eliminate ambiguity. The cost of allowing this shorthand is that the distinction must be made explicit in documents which do make a graphic distinction between these pairs.</w:t>
      </w:r>
    </w:p>
    <w:p>
      <w:pPr>
        <w:pStyle w:val="Lista"/>
      </w:pPr>
      <w:r>
        <w:t xml:space="preserve">when editing a document which </w:t>
      </w:r>
      <w:r>
        <w:rPr>
          <w:b/>
          <w:bCs/>
        </w:rPr>
        <w:t>does not make a graphic distinction</w:t>
      </w:r>
      <w:r>
        <w:t xml:space="preserve"> between short and long </w:t>
      </w:r>
      <w:r>
        <w:rPr>
          <w:rStyle w:val="Foreign"/>
        </w:rPr>
        <w:t>e</w:t>
      </w:r>
      <w:r>
        <w:t xml:space="preserve"> and </w:t>
      </w:r>
      <w:r>
        <w:rPr>
          <w:rStyle w:val="Foreign"/>
        </w:rPr>
        <w:t>o</w:t>
      </w:r>
      <w:r>
        <w:t>,</w:t>
      </w:r>
    </w:p>
    <w:p>
      <w:pPr>
        <w:pStyle w:val="Lista2"/>
      </w:pPr>
      <w:r>
        <w:t xml:space="preserve">the generic grapheme representing the short phoneme shall be transliterated normally as </w:t>
      </w:r>
      <w:r>
        <w:rPr>
          <w:rStyle w:val="Foreign"/>
        </w:rPr>
        <w:t>e</w:t>
      </w:r>
      <w:r>
        <w:t xml:space="preserve"> or </w:t>
      </w:r>
      <w:r>
        <w:rPr>
          <w:rStyle w:val="Foreign"/>
        </w:rPr>
        <w:t>o</w:t>
      </w:r>
    </w:p>
    <w:p>
      <w:pPr>
        <w:pStyle w:val="Lista2"/>
      </w:pPr>
      <w:r>
        <w:t>the generic grapheme representing the long phoneme shall be</w:t>
      </w:r>
    </w:p>
    <w:p>
      <w:pPr>
        <w:pStyle w:val="Lista3"/>
      </w:pPr>
      <w:r>
        <w:t xml:space="preserve">either transliterated with shorthand as </w:t>
      </w:r>
      <w:r>
        <w:rPr>
          <w:rStyle w:val="Foreign"/>
        </w:rPr>
        <w:t>ē</w:t>
      </w:r>
      <w:r>
        <w:t xml:space="preserve"> or </w:t>
      </w:r>
      <w:r>
        <w:rPr>
          <w:rStyle w:val="Foreign"/>
        </w:rPr>
        <w:t>ō</w:t>
      </w:r>
    </w:p>
    <w:p>
      <w:pPr>
        <w:pStyle w:val="Lista3"/>
      </w:pPr>
      <w:r>
        <w:t>or encoded as an editorial normalisation</w:t>
      </w:r>
    </w:p>
    <w:p>
      <w:pPr>
        <w:pStyle w:val="Lista4"/>
        <w:rPr>
          <w:rStyle w:val="Code"/>
          <w:rFonts w:ascii="Gentium" w:hAnsi="Gentium" w:cs="Tiro Devanagari Sanskrit"/>
          <w:noProof w:val="0"/>
          <w:color w:val="auto"/>
          <w:shd w:val="clear" w:color="auto" w:fill="auto"/>
        </w:rPr>
      </w:pPr>
      <w:r>
        <w:t xml:space="preserve">e.g. </w:t>
      </w:r>
      <w:r>
        <w:rPr>
          <w:rStyle w:val="Code"/>
        </w:rPr>
        <w:t>&lt;choice&gt;&lt;orig&gt;</w:t>
      </w:r>
      <w:r>
        <w:rPr>
          <w:rStyle w:val="Codetext"/>
        </w:rPr>
        <w:t>e</w:t>
      </w:r>
      <w:r>
        <w:rPr>
          <w:rStyle w:val="Code"/>
        </w:rPr>
        <w:t>&lt;/orig&gt;&lt;reg&gt;</w:t>
      </w:r>
      <w:r>
        <w:rPr>
          <w:rStyle w:val="Codetext"/>
        </w:rPr>
        <w:t>ē</w:t>
      </w:r>
      <w:r>
        <w:rPr>
          <w:rStyle w:val="Code"/>
        </w:rPr>
        <w:t>&lt;/reg&gt;&lt;/choice&gt;</w:t>
      </w:r>
    </w:p>
    <w:p>
      <w:pPr>
        <w:pStyle w:val="Lista"/>
      </w:pPr>
      <w:r>
        <w:t xml:space="preserve">when editing a document which, unusually for the DHARMA corpus, </w:t>
      </w:r>
      <w:r>
        <w:rPr>
          <w:b/>
          <w:bCs/>
        </w:rPr>
        <w:t>makes a graphic distinction</w:t>
      </w:r>
      <w:r>
        <w:t xml:space="preserve"> between short and long </w:t>
      </w:r>
      <w:r>
        <w:rPr>
          <w:rStyle w:val="Foreign"/>
        </w:rPr>
        <w:t>e</w:t>
      </w:r>
      <w:r>
        <w:t xml:space="preserve"> and </w:t>
      </w:r>
      <w:r>
        <w:rPr>
          <w:rStyle w:val="Foreign"/>
        </w:rPr>
        <w:t>o</w:t>
      </w:r>
      <w:r>
        <w:t>,</w:t>
      </w:r>
    </w:p>
    <w:p>
      <w:pPr>
        <w:pStyle w:val="Lista2"/>
      </w:pPr>
      <w:r>
        <w:t>this fact must always be recorded in your palaeographic description</w:t>
      </w:r>
    </w:p>
    <w:p>
      <w:pPr>
        <w:pStyle w:val="Lista2"/>
        <w:rPr>
          <w:rStyle w:val="Foreign"/>
          <w:i w:val="0"/>
          <w:iCs w:val="0"/>
          <w:noProof w:val="0"/>
        </w:rPr>
      </w:pPr>
      <w:r>
        <w:t xml:space="preserve">the short grapheme used properly for the short phoneme shall be transliterated normally as </w:t>
      </w:r>
      <w:r>
        <w:rPr>
          <w:rStyle w:val="Foreign"/>
        </w:rPr>
        <w:t>e</w:t>
      </w:r>
      <w:r>
        <w:t xml:space="preserve"> or </w:t>
      </w:r>
      <w:r>
        <w:rPr>
          <w:rStyle w:val="Foreign"/>
        </w:rPr>
        <w:t>o</w:t>
      </w:r>
      <w:r>
        <w:t xml:space="preserve"> and may be complemented with </w:t>
      </w:r>
      <w:r>
        <w:rPr>
          <w:rStyle w:val="Code"/>
        </w:rPr>
        <w:t>&lt;orig&gt;</w:t>
      </w:r>
      <w:r>
        <w:t xml:space="preserve"> encoding for extra clarity</w:t>
      </w:r>
    </w:p>
    <w:p>
      <w:pPr>
        <w:pStyle w:val="Lista2"/>
      </w:pPr>
      <w:r>
        <w:lastRenderedPageBreak/>
        <w:t xml:space="preserve">the long grapheme used properly for the long phoneme shall be transliterated as </w:t>
      </w:r>
      <w:r>
        <w:rPr>
          <w:rStyle w:val="Foreign"/>
        </w:rPr>
        <w:t>ē</w:t>
      </w:r>
      <w:r>
        <w:t xml:space="preserve"> or </w:t>
      </w:r>
      <w:r>
        <w:rPr>
          <w:rStyle w:val="Foreign"/>
        </w:rPr>
        <w:t>ō</w:t>
      </w:r>
      <w:r>
        <w:t xml:space="preserve"> and must be complemented with </w:t>
      </w:r>
      <w:r>
        <w:rPr>
          <w:rStyle w:val="Code"/>
        </w:rPr>
        <w:t>&lt;orig&gt;</w:t>
      </w:r>
      <w:r>
        <w:t xml:space="preserve"> encoding to disambiguate it from the shorthand</w:t>
      </w:r>
    </w:p>
    <w:p>
      <w:pPr>
        <w:pStyle w:val="Lista2"/>
      </w:pPr>
      <w:r>
        <w:t xml:space="preserve">if the short grapheme is used (anomalously) for the long phoneme, this may be </w:t>
      </w:r>
    </w:p>
    <w:p>
      <w:pPr>
        <w:pStyle w:val="Lista3"/>
      </w:pPr>
      <w:r>
        <w:t xml:space="preserve">either transliterated with shorthand as </w:t>
      </w:r>
      <w:r>
        <w:rPr>
          <w:rStyle w:val="Foreign"/>
        </w:rPr>
        <w:t>ē</w:t>
      </w:r>
      <w:r>
        <w:t xml:space="preserve"> or </w:t>
      </w:r>
      <w:r>
        <w:rPr>
          <w:rStyle w:val="Foreign"/>
        </w:rPr>
        <w:t>ō</w:t>
      </w:r>
    </w:p>
    <w:p>
      <w:pPr>
        <w:pStyle w:val="Lista3"/>
      </w:pPr>
      <w:r>
        <w:t>or encoded as an editorial normalisation</w:t>
      </w:r>
    </w:p>
    <w:p>
      <w:pPr>
        <w:pStyle w:val="Lista2"/>
        <w:rPr>
          <w:rStyle w:val="Code"/>
          <w:rFonts w:ascii="Gentium" w:hAnsi="Gentium" w:cs="Tiro Devanagari Sanskrit"/>
          <w:noProof w:val="0"/>
          <w:color w:val="auto"/>
          <w:shd w:val="clear" w:color="auto" w:fill="auto"/>
        </w:rPr>
      </w:pPr>
      <w:r>
        <w:rPr>
          <w:rStyle w:val="Code"/>
          <w:rFonts w:ascii="Gentium" w:hAnsi="Gentium" w:cs="Tiro Devanagari Sanskrit"/>
          <w:noProof w:val="0"/>
          <w:color w:val="auto"/>
          <w:shd w:val="clear" w:color="auto" w:fill="auto"/>
        </w:rPr>
        <w:t>if the long grapheme is used (anomalously) for the short phoneme, this shall be encoded as an editorial normalisation</w:t>
      </w:r>
    </w:p>
    <w:p>
      <w:pPr>
        <w:pStyle w:val="Cmsor3"/>
      </w:pPr>
      <w:bookmarkStart w:id="658" w:name="_Toc242976669"/>
      <w:r>
        <w:t>Shortened vowels in Sanskrit loanwords</w:t>
      </w:r>
      <w:bookmarkEnd w:id="658"/>
    </w:p>
    <w:p>
      <w:r>
        <w:rPr>
          <w:lang w:eastAsia="en-US" w:bidi="ar-SA"/>
        </w:rPr>
        <w:t xml:space="preserve">Documents in Indonesian languages often shorten the long vowels of Sanskrit loanwords. As per </w:t>
      </w:r>
      <w:r>
        <w:t xml:space="preserve">TG §7.1.2, in documents which do make a graphic distinction between short and long vowels, the transliteration </w:t>
      </w:r>
      <w:r>
        <w:rPr>
          <w:rStyle w:val="Foreign"/>
        </w:rPr>
        <w:t>ă</w:t>
      </w:r>
      <w:r>
        <w:t xml:space="preserve">, </w:t>
      </w:r>
      <w:r>
        <w:rPr>
          <w:rStyle w:val="Foreign"/>
        </w:rPr>
        <w:t>ĭ</w:t>
      </w:r>
      <w:r>
        <w:t xml:space="preserve"> and </w:t>
      </w:r>
      <w:r>
        <w:rPr>
          <w:rStyle w:val="Foreign"/>
        </w:rPr>
        <w:t>ŭ</w:t>
      </w:r>
      <w:r>
        <w:t xml:space="preserve"> may be used where the long vowel is expected but the short vowel was written. This shorthand is permitted in XML editions, but it may also be replaced by encoding at your discretion, in order to wholly eliminate ambiguity.</w:t>
      </w:r>
    </w:p>
    <w:p>
      <w:pPr>
        <w:pStyle w:val="Lista"/>
      </w:pPr>
      <w:r>
        <w:t xml:space="preserve">when editing a document in a vernacular language where the vowels </w:t>
      </w:r>
      <w:r>
        <w:rPr>
          <w:rStyle w:val="Foreign"/>
        </w:rPr>
        <w:t>ā</w:t>
      </w:r>
      <w:r>
        <w:t xml:space="preserve">, </w:t>
      </w:r>
      <w:r>
        <w:rPr>
          <w:rStyle w:val="Foreign"/>
        </w:rPr>
        <w:t>ī</w:t>
      </w:r>
      <w:r>
        <w:t xml:space="preserve"> or </w:t>
      </w:r>
      <w:r>
        <w:rPr>
          <w:rStyle w:val="Foreign"/>
        </w:rPr>
        <w:t>ū</w:t>
      </w:r>
      <w:r>
        <w:t xml:space="preserve"> are shortened in Sanskrit loanwords,</w:t>
      </w:r>
    </w:p>
    <w:p>
      <w:pPr>
        <w:pStyle w:val="Lista2"/>
      </w:pPr>
      <w:r>
        <w:t xml:space="preserve">either transliterate these vowels with the shorthand </w:t>
      </w:r>
      <w:r>
        <w:rPr>
          <w:rStyle w:val="Foreign"/>
        </w:rPr>
        <w:t>ă</w:t>
      </w:r>
      <w:r>
        <w:t xml:space="preserve">, </w:t>
      </w:r>
      <w:r>
        <w:rPr>
          <w:rStyle w:val="Foreign"/>
        </w:rPr>
        <w:t>ĭ</w:t>
      </w:r>
      <w:r>
        <w:t xml:space="preserve"> or </w:t>
      </w:r>
      <w:r>
        <w:rPr>
          <w:rStyle w:val="Foreign"/>
        </w:rPr>
        <w:t>ŭ</w:t>
      </w:r>
      <w:r>
        <w:t xml:space="preserve"> </w:t>
      </w:r>
    </w:p>
    <w:p>
      <w:pPr>
        <w:pStyle w:val="Lista2"/>
      </w:pPr>
      <w:r>
        <w:t>or encode them as an editorial normalisation</w:t>
      </w:r>
    </w:p>
    <w:p>
      <w:pPr>
        <w:pStyle w:val="Lista3"/>
      </w:pPr>
      <w:r>
        <w:t xml:space="preserve">e.g. </w:t>
      </w:r>
      <w:r>
        <w:rPr>
          <w:rStyle w:val="Code"/>
        </w:rPr>
        <w:t>&lt;choice&gt;&lt;orig&gt;</w:t>
      </w:r>
      <w:r>
        <w:rPr>
          <w:rStyle w:val="Codetext"/>
        </w:rPr>
        <w:t>a</w:t>
      </w:r>
      <w:r>
        <w:rPr>
          <w:rStyle w:val="Code"/>
        </w:rPr>
        <w:t>&lt;/orig&gt;&lt;reg&gt;</w:t>
      </w:r>
      <w:r>
        <w:rPr>
          <w:rStyle w:val="Codetext"/>
        </w:rPr>
        <w:t>ā</w:t>
      </w:r>
      <w:r>
        <w:rPr>
          <w:rStyle w:val="Code"/>
        </w:rPr>
        <w:t>&lt;/reg&gt;&lt;/choice&gt;</w:t>
      </w:r>
    </w:p>
    <w:p>
      <w:pPr>
        <w:pStyle w:val="Cmsor2"/>
      </w:pPr>
      <w:bookmarkStart w:id="659" w:name="_Ref232171213"/>
      <w:bookmarkEnd w:id="617"/>
      <w:bookmarkEnd w:id="634"/>
      <w:bookmarkEnd w:id="644"/>
      <w:r>
        <w:t>Highlighting for review</w:t>
      </w:r>
    </w:p>
    <w:p>
      <w:r>
        <w:t>The encoding method presented in §</w:t>
      </w:r>
      <w:r>
        <w:fldChar w:fldCharType="begin"/>
      </w:r>
      <w:r>
        <w:instrText xml:space="preserve"> REF _Ref122447347 \r \h </w:instrText>
      </w:r>
      <w:r>
        <w:fldChar w:fldCharType="separate"/>
      </w:r>
      <w:r>
        <w:t>14.2.4</w:t>
      </w:r>
      <w:r>
        <w:fldChar w:fldCharType="end"/>
      </w:r>
      <w:r>
        <w:t xml:space="preserve"> for highlighting a segment of text which you wish to consider further or discuss with a colleague may be used in the edition division as well as in other parts of the XML document.</w:t>
      </w:r>
    </w:p>
    <w:p>
      <w:pPr>
        <w:pStyle w:val="Cmsor1"/>
      </w:pPr>
      <w:r>
        <w:lastRenderedPageBreak/>
        <w:t>Language, script and visual characteristics</w:t>
      </w:r>
      <w:bookmarkEnd w:id="659"/>
    </w:p>
    <w:p>
      <w:pPr>
        <w:pStyle w:val="Cmsor2"/>
      </w:pPr>
      <w:bookmarkStart w:id="660" w:name="_hrv588cx6rm9" w:colFirst="0" w:colLast="0"/>
      <w:bookmarkStart w:id="661" w:name="_givjq86nqgzx" w:colFirst="0" w:colLast="0"/>
      <w:bookmarkStart w:id="662" w:name="_Ref232070683"/>
      <w:bookmarkEnd w:id="660"/>
      <w:bookmarkEnd w:id="661"/>
      <w:r>
        <w:t>Source language</w:t>
      </w:r>
      <w:bookmarkEnd w:id="662"/>
    </w:p>
    <w:p>
      <w:r>
        <w:t xml:space="preserve">This section is concerned with encoding language within the edition. As language encoding is applicable to several parts of the XML document, the general instructions for using the attribute </w:t>
      </w:r>
      <w:r>
        <w:rPr>
          <w:rStyle w:val="Codeattribute"/>
        </w:rPr>
        <w:t>@xml:lang</w:t>
      </w:r>
      <w:r>
        <w:t xml:space="preserve"> are given in §</w:t>
      </w:r>
      <w:r>
        <w:fldChar w:fldCharType="begin"/>
      </w:r>
      <w:r>
        <w:instrText xml:space="preserve"> REF _Ref233727317 \r \h </w:instrText>
      </w:r>
      <w:r>
        <w:fldChar w:fldCharType="separate"/>
      </w:r>
      <w:r>
        <w:t>14.4.1</w:t>
      </w:r>
      <w:r>
        <w:fldChar w:fldCharType="end"/>
      </w:r>
      <w:r>
        <w:t>.</w:t>
      </w:r>
    </w:p>
    <w:p>
      <w:pPr>
        <w:pStyle w:val="Cmsor3"/>
      </w:pPr>
      <w:bookmarkStart w:id="663" w:name="_Ref231978649"/>
      <w:bookmarkStart w:id="664" w:name="_Toc242976670"/>
      <w:r>
        <w:t>The language of the edition</w:t>
      </w:r>
      <w:bookmarkEnd w:id="663"/>
      <w:bookmarkEnd w:id="664"/>
    </w:p>
    <w:p>
      <w:pPr>
        <w:pStyle w:val="Lista"/>
      </w:pPr>
      <w:r>
        <w:t xml:space="preserve">the language of the original document must be explicitly encoded using the attribute </w:t>
      </w:r>
      <w:r>
        <w:rPr>
          <w:rStyle w:val="Codeattribute"/>
        </w:rPr>
        <w:t>@xml:lang</w:t>
      </w:r>
      <w:r>
        <w:t xml:space="preserve"> containing an ISO language tag and a script subtag indicating that the text is in Romanised transliteration, as described in §</w:t>
      </w:r>
      <w:r>
        <w:fldChar w:fldCharType="begin"/>
      </w:r>
      <w:r>
        <w:instrText xml:space="preserve"> REF _Ref233792736 \r \h </w:instrText>
      </w:r>
      <w:r>
        <w:fldChar w:fldCharType="separate"/>
      </w:r>
      <w:r>
        <w:t>14.4.1.1</w:t>
      </w:r>
      <w:r>
        <w:fldChar w:fldCharType="end"/>
      </w:r>
      <w:r>
        <w:t xml:space="preserve"> </w:t>
      </w:r>
    </w:p>
    <w:p>
      <w:pPr>
        <w:pStyle w:val="Lista2"/>
      </w:pPr>
      <w:r>
        <w:t xml:space="preserve">e.g. </w:t>
      </w:r>
      <w:r>
        <w:rPr>
          <w:rStyle w:val="Code"/>
        </w:rPr>
        <w:t xml:space="preserve">&lt;div </w:t>
      </w:r>
      <w:r>
        <w:rPr>
          <w:rStyle w:val="Codeattribute"/>
        </w:rPr>
        <w:t>type</w:t>
      </w:r>
      <w:r>
        <w:rPr>
          <w:rStyle w:val="Code"/>
        </w:rPr>
        <w:t>=</w:t>
      </w:r>
      <w:r>
        <w:rPr>
          <w:rStyle w:val="Codevalue"/>
        </w:rPr>
        <w:t>"edition"</w:t>
      </w:r>
      <w:r>
        <w:rPr>
          <w:rStyle w:val="Code"/>
        </w:rPr>
        <w:t xml:space="preserve"> </w:t>
      </w:r>
      <w:r>
        <w:rPr>
          <w:rStyle w:val="Codeattribute"/>
        </w:rPr>
        <w:t>xml:lang</w:t>
      </w:r>
      <w:r>
        <w:rPr>
          <w:rStyle w:val="Code"/>
        </w:rPr>
        <w:t>=</w:t>
      </w:r>
      <w:r>
        <w:rPr>
          <w:rStyle w:val="Codevalue"/>
        </w:rPr>
        <w:t>"san-Latn"</w:t>
      </w:r>
      <w:r>
        <w:rPr>
          <w:rStyle w:val="Code"/>
        </w:rPr>
        <w:t>&gt;</w:t>
      </w:r>
      <w:r>
        <w:t xml:space="preserve"> for an inscription in Sanskrit</w:t>
      </w:r>
    </w:p>
    <w:p>
      <w:pPr>
        <w:pStyle w:val="Lista3"/>
      </w:pPr>
      <w:r>
        <w:t>note that this example illustrates only the language encoding, which must be complemented by script encoding as per §</w:t>
      </w:r>
      <w:r>
        <w:fldChar w:fldCharType="begin"/>
      </w:r>
      <w:r>
        <w:instrText xml:space="preserve"> REF _Ref231978625 \r \h </w:instrText>
      </w:r>
      <w:r>
        <w:fldChar w:fldCharType="separate"/>
      </w:r>
      <w:r>
        <w:t>8.2.2</w:t>
      </w:r>
      <w:r>
        <w:fldChar w:fldCharType="end"/>
      </w:r>
    </w:p>
    <w:p>
      <w:pPr>
        <w:pStyle w:val="Lista"/>
      </w:pPr>
      <w:r>
        <w:rPr>
          <w:rStyle w:val="Codeattribute"/>
        </w:rPr>
        <w:t>@xml:lang</w:t>
      </w:r>
      <w:r>
        <w:t xml:space="preserve"> must always be present on the edition division unless it contains textparts with the language of each textpart encoded separately as per §</w:t>
      </w:r>
      <w:r>
        <w:fldChar w:fldCharType="begin"/>
      </w:r>
      <w:r>
        <w:instrText xml:space="preserve"> REF _Ref43986547 \r \h </w:instrText>
      </w:r>
      <w:r>
        <w:fldChar w:fldCharType="separate"/>
      </w:r>
      <w:r>
        <w:t>8.1.2.1</w:t>
      </w:r>
      <w:r>
        <w:fldChar w:fldCharType="end"/>
      </w:r>
    </w:p>
    <w:p>
      <w:pPr>
        <w:pStyle w:val="Lista2"/>
      </w:pPr>
      <w:r>
        <w:t>all XML elements within the edition division are understood to inherit the language of the edition division, so parts of the edition only need language encoding when they are in a different language</w:t>
      </w:r>
    </w:p>
    <w:p>
      <w:pPr>
        <w:pStyle w:val="Cmsor3"/>
      </w:pPr>
      <w:bookmarkStart w:id="665" w:name="_Ref232089615"/>
      <w:bookmarkStart w:id="666" w:name="_Toc242976671"/>
      <w:r>
        <w:t>Multilingual inscriptions</w:t>
      </w:r>
      <w:bookmarkEnd w:id="665"/>
      <w:bookmarkEnd w:id="666"/>
    </w:p>
    <w:p>
      <w:pPr>
        <w:rPr>
          <w:lang w:eastAsia="en-US" w:bidi="ar-SA"/>
        </w:rPr>
      </w:pPr>
      <w:r>
        <w:rPr>
          <w:lang w:eastAsia="en-US" w:bidi="ar-SA"/>
        </w:rPr>
        <w:t>In multilingual inscriptions where language changes are concomitant with script changes, the latter must be encoded as per §</w:t>
      </w:r>
      <w:r>
        <w:rPr>
          <w:lang w:eastAsia="en-US" w:bidi="ar-SA"/>
        </w:rPr>
        <w:fldChar w:fldCharType="begin"/>
      </w:r>
      <w:r>
        <w:rPr>
          <w:lang w:eastAsia="en-US" w:bidi="ar-SA"/>
        </w:rPr>
        <w:instrText xml:space="preserve"> REF _Ref231974552 \r \h </w:instrText>
      </w:r>
      <w:r>
        <w:rPr>
          <w:lang w:eastAsia="en-US" w:bidi="ar-SA"/>
        </w:rPr>
      </w:r>
      <w:r>
        <w:rPr>
          <w:lang w:eastAsia="en-US" w:bidi="ar-SA"/>
        </w:rPr>
        <w:fldChar w:fldCharType="separate"/>
      </w:r>
      <w:r>
        <w:rPr>
          <w:lang w:eastAsia="en-US" w:bidi="ar-SA"/>
        </w:rPr>
        <w:t>8.2.3</w:t>
      </w:r>
      <w:r>
        <w:rPr>
          <w:lang w:eastAsia="en-US" w:bidi="ar-SA"/>
        </w:rPr>
        <w:fldChar w:fldCharType="end"/>
      </w:r>
      <w:r>
        <w:rPr>
          <w:lang w:eastAsia="en-US" w:bidi="ar-SA"/>
        </w:rPr>
        <w:t xml:space="preserve"> in addition to encoding the former.</w:t>
      </w:r>
    </w:p>
    <w:p>
      <w:pPr>
        <w:pStyle w:val="Cmsor4"/>
      </w:pPr>
      <w:bookmarkStart w:id="667" w:name="_klgqi6fi4k5w" w:colFirst="0" w:colLast="0"/>
      <w:bookmarkStart w:id="668" w:name="_Ref43986547"/>
      <w:bookmarkEnd w:id="667"/>
      <w:r>
        <w:t>Sections in different languages</w:t>
      </w:r>
      <w:bookmarkEnd w:id="668"/>
    </w:p>
    <w:p>
      <w:r>
        <w:t xml:space="preserve">When two </w:t>
      </w:r>
      <w:r>
        <w:rPr>
          <w:noProof/>
        </w:rPr>
        <w:t>(</w:t>
      </w:r>
      <w:r>
        <w:t>or more) major sections of an inscription are in two (or more) different languages, consider the degree to which these sections are independent of each other.</w:t>
      </w:r>
    </w:p>
    <w:p>
      <w:pPr>
        <w:pStyle w:val="Lista"/>
      </w:pPr>
      <w:r>
        <w:t>if the inscription may be perceived as a single, coherent text with one or more language shifts,</w:t>
      </w:r>
    </w:p>
    <w:p>
      <w:pPr>
        <w:pStyle w:val="Lista2"/>
      </w:pPr>
      <w:r>
        <w:t>proceed as per §</w:t>
      </w:r>
      <w:r>
        <w:fldChar w:fldCharType="begin"/>
      </w:r>
      <w:r>
        <w:instrText xml:space="preserve"> REF _Ref231898113 \r \h </w:instrText>
      </w:r>
      <w:r>
        <w:fldChar w:fldCharType="separate"/>
      </w:r>
      <w:r>
        <w:t>8.1.2.2</w:t>
      </w:r>
      <w:r>
        <w:fldChar w:fldCharType="end"/>
      </w:r>
      <w:r>
        <w:t xml:space="preserve"> even if this requires tagging several adjacent text containers individually for language</w:t>
      </w:r>
    </w:p>
    <w:p>
      <w:pPr>
        <w:pStyle w:val="Lista"/>
      </w:pPr>
      <w:r>
        <w:t xml:space="preserve">if one section cannot be perceived as an integral continuation of the other, because they are visually clearly distinct </w:t>
      </w:r>
      <w:r>
        <w:rPr>
          <w:i/>
          <w:iCs/>
        </w:rPr>
        <w:t>and</w:t>
      </w:r>
      <w:r>
        <w:t xml:space="preserve"> semantically unconnected with no straightforward order in which they should be read </w:t>
      </w:r>
      <w:r>
        <w:rPr>
          <w:noProof/>
        </w:rPr>
        <w:t>(</w:t>
      </w:r>
      <w:r>
        <w:t>e.g. they convey the same message in two languages, or cover unrelated topics)</w:t>
      </w:r>
    </w:p>
    <w:p>
      <w:pPr>
        <w:pStyle w:val="Lista2"/>
      </w:pPr>
      <w:r>
        <w:t>first, consider if it would be more appropriate to edit the inscription as two separate texts</w:t>
      </w:r>
    </w:p>
    <w:p>
      <w:pPr>
        <w:pStyle w:val="Lista2"/>
      </w:pPr>
      <w:r>
        <w:t>if that is not feasible, then</w:t>
      </w:r>
    </w:p>
    <w:p>
      <w:pPr>
        <w:pStyle w:val="Lista3"/>
      </w:pPr>
      <w:r>
        <w:t xml:space="preserve">encode the language-based sections as textpart divisions </w:t>
      </w:r>
      <w:r>
        <w:rPr>
          <w:noProof/>
        </w:rPr>
        <w:t>(</w:t>
      </w:r>
      <w:r>
        <w:t>§</w:t>
      </w:r>
      <w:r>
        <w:fldChar w:fldCharType="begin"/>
      </w:r>
      <w:r>
        <w:instrText xml:space="preserve"> REF _Ref225778181 \r \h </w:instrText>
      </w:r>
      <w:r>
        <w:fldChar w:fldCharType="separate"/>
      </w:r>
      <w:r>
        <w:t>4.2</w:t>
      </w:r>
      <w:r>
        <w:fldChar w:fldCharType="end"/>
      </w:r>
      <w:r>
        <w:t>, §</w:t>
      </w:r>
      <w:r>
        <w:fldChar w:fldCharType="begin"/>
      </w:r>
      <w:r>
        <w:instrText xml:space="preserve"> REF _Ref231898382 \r \h </w:instrText>
      </w:r>
      <w:r>
        <w:fldChar w:fldCharType="separate"/>
      </w:r>
      <w:r>
        <w:t>4.7.3.4</w:t>
      </w:r>
      <w:r>
        <w:fldChar w:fldCharType="end"/>
      </w:r>
      <w:r>
        <w:t>)</w:t>
      </w:r>
    </w:p>
    <w:p>
      <w:pPr>
        <w:pStyle w:val="Lista3"/>
      </w:pPr>
      <w:r>
        <w:t xml:space="preserve">add </w:t>
      </w:r>
      <w:r>
        <w:rPr>
          <w:rStyle w:val="Codeattribute"/>
        </w:rPr>
        <w:t>@xml:lang</w:t>
      </w:r>
      <w:r>
        <w:t xml:space="preserve"> to each corresponding </w:t>
      </w:r>
      <w:r>
        <w:rPr>
          <w:rStyle w:val="Code"/>
        </w:rPr>
        <w:t xml:space="preserve">&lt;div </w:t>
      </w:r>
      <w:r>
        <w:rPr>
          <w:rStyle w:val="Codeattribute"/>
        </w:rPr>
        <w:t>type</w:t>
      </w:r>
      <w:r>
        <w:rPr>
          <w:rStyle w:val="Code"/>
        </w:rPr>
        <w:t>=</w:t>
      </w:r>
      <w:r>
        <w:rPr>
          <w:rStyle w:val="Codevalue"/>
        </w:rPr>
        <w:t>"textpart"</w:t>
      </w:r>
      <w:r>
        <w:rPr>
          <w:rStyle w:val="Code"/>
        </w:rPr>
        <w:t>&gt;</w:t>
      </w:r>
      <w:r>
        <w:t xml:space="preserve"> element</w:t>
      </w:r>
    </w:p>
    <w:p>
      <w:pPr>
        <w:pStyle w:val="Lista3"/>
      </w:pPr>
      <w:r>
        <w:t xml:space="preserve">in this case only, the edition division shall not carry the attribute </w:t>
      </w:r>
      <w:r>
        <w:rPr>
          <w:rStyle w:val="Codeattribute"/>
        </w:rPr>
        <w:t>@xml:lang</w:t>
      </w:r>
    </w:p>
    <w:p>
      <w:pPr>
        <w:pStyle w:val="Lista4"/>
      </w:pPr>
      <w:r>
        <w:t>whereas in an inscription consisting of textparts in the same language, the language must be encoded on the edition division, not separately on the textparts</w:t>
      </w:r>
    </w:p>
    <w:p>
      <w:pPr>
        <w:pStyle w:val="Lista3"/>
      </w:pPr>
      <w:r>
        <w:t>do not create textpart divisions just because an inscription is in two languages, only when the encoding of such divisions is warranted for other reasons discussed in §</w:t>
      </w:r>
      <w:r>
        <w:fldChar w:fldCharType="begin"/>
      </w:r>
      <w:r>
        <w:instrText xml:space="preserve"> REF _Ref224742342 \r \h </w:instrText>
      </w:r>
      <w:r>
        <w:fldChar w:fldCharType="separate"/>
      </w:r>
      <w:r>
        <w:t>4.2.1.4</w:t>
      </w:r>
      <w:r>
        <w:fldChar w:fldCharType="end"/>
      </w:r>
    </w:p>
    <w:p>
      <w:pPr>
        <w:pStyle w:val="Cmsor4"/>
      </w:pPr>
      <w:bookmarkStart w:id="669" w:name="_oeygdv1jszl8" w:colFirst="0" w:colLast="0"/>
      <w:bookmarkStart w:id="670" w:name="_Ref231898113"/>
      <w:bookmarkEnd w:id="669"/>
      <w:r>
        <w:t xml:space="preserve">Passages or stanzas in </w:t>
      </w:r>
      <w:bookmarkEnd w:id="670"/>
      <w:r>
        <w:t>a secondary language</w:t>
      </w:r>
    </w:p>
    <w:p>
      <w:pPr>
        <w:rPr>
          <w:lang w:eastAsia="en-US" w:bidi="ar-SA"/>
        </w:rPr>
      </w:pPr>
      <w:r>
        <w:rPr>
          <w:lang w:eastAsia="en-US" w:bidi="ar-SA"/>
        </w:rPr>
        <w:t>When an inscription contains one or more stanzas and/or prose passages in a different language, and the language changes repeatedly or the sections in different languages are not as conspicuously distinct as to require encoding as textpart divisions (§</w:t>
      </w:r>
      <w:r>
        <w:rPr>
          <w:lang w:eastAsia="en-US" w:bidi="ar-SA"/>
        </w:rPr>
        <w:fldChar w:fldCharType="begin"/>
      </w:r>
      <w:r>
        <w:rPr>
          <w:lang w:eastAsia="en-US" w:bidi="ar-SA"/>
        </w:rPr>
        <w:instrText xml:space="preserve"> REF _Ref43986547 \r \h </w:instrText>
      </w:r>
      <w:r>
        <w:rPr>
          <w:lang w:eastAsia="en-US" w:bidi="ar-SA"/>
        </w:rPr>
      </w:r>
      <w:r>
        <w:rPr>
          <w:lang w:eastAsia="en-US" w:bidi="ar-SA"/>
        </w:rPr>
        <w:fldChar w:fldCharType="separate"/>
      </w:r>
      <w:r>
        <w:rPr>
          <w:lang w:eastAsia="en-US" w:bidi="ar-SA"/>
        </w:rPr>
        <w:t>8.1.2.1</w:t>
      </w:r>
      <w:r>
        <w:rPr>
          <w:lang w:eastAsia="en-US" w:bidi="ar-SA"/>
        </w:rPr>
        <w:fldChar w:fldCharType="end"/>
      </w:r>
      <w:r>
        <w:rPr>
          <w:lang w:eastAsia="en-US" w:bidi="ar-SA"/>
        </w:rPr>
        <w:t>), proceed as follows.</w:t>
      </w:r>
    </w:p>
    <w:p>
      <w:pPr>
        <w:pStyle w:val="Lista"/>
      </w:pPr>
      <w:r>
        <w:t xml:space="preserve">select a default (primary) language to encode as the </w:t>
      </w:r>
      <w:r>
        <w:rPr>
          <w:rStyle w:val="Codeattribute"/>
        </w:rPr>
        <w:t>@xml:lang</w:t>
      </w:r>
      <w:r>
        <w:t xml:space="preserve"> of the edition division as per §</w:t>
      </w:r>
      <w:r>
        <w:fldChar w:fldCharType="begin"/>
      </w:r>
      <w:r>
        <w:instrText xml:space="preserve"> REF _Ref231978649 \r \h </w:instrText>
      </w:r>
      <w:r>
        <w:fldChar w:fldCharType="separate"/>
      </w:r>
      <w:r>
        <w:t>8.1.1</w:t>
      </w:r>
      <w:r>
        <w:fldChar w:fldCharType="end"/>
      </w:r>
    </w:p>
    <w:p>
      <w:pPr>
        <w:pStyle w:val="Lista2"/>
      </w:pPr>
      <w:r>
        <w:t>the primary language should normally be the one that is used in the majority of the document</w:t>
      </w:r>
    </w:p>
    <w:p>
      <w:pPr>
        <w:pStyle w:val="Lista2"/>
      </w:pPr>
      <w:r>
        <w:t>if two or more languages are represented in more or less equal proportions, make an arbitrary choice</w:t>
      </w:r>
    </w:p>
    <w:p>
      <w:pPr>
        <w:pStyle w:val="Lista"/>
      </w:pPr>
      <w:r>
        <w:lastRenderedPageBreak/>
        <w:t xml:space="preserve">apply </w:t>
      </w:r>
      <w:r>
        <w:rPr>
          <w:rStyle w:val="Codeattribute"/>
        </w:rPr>
        <w:t>@xml:lang</w:t>
      </w:r>
      <w:r>
        <w:t xml:space="preserve"> to each of the block-level elements </w:t>
      </w:r>
      <w:r>
        <w:rPr>
          <w:noProof/>
        </w:rPr>
        <w:t>(</w:t>
      </w:r>
      <w:r>
        <w:t xml:space="preserve">viz. </w:t>
      </w:r>
      <w:r>
        <w:rPr>
          <w:rStyle w:val="Code"/>
        </w:rPr>
        <w:t>&lt;p&gt;</w:t>
      </w:r>
      <w:r>
        <w:t xml:space="preserve">, </w:t>
      </w:r>
      <w:r>
        <w:rPr>
          <w:rStyle w:val="Code"/>
        </w:rPr>
        <w:t>&lt;lg&gt;</w:t>
      </w:r>
      <w:r>
        <w:t xml:space="preserve"> or </w:t>
      </w:r>
      <w:r>
        <w:rPr>
          <w:rStyle w:val="Code"/>
        </w:rPr>
        <w:t>&lt;ab&gt;</w:t>
      </w:r>
      <w:r>
        <w:t>) containing text in a language other than the primary one, as per §</w:t>
      </w:r>
      <w:r>
        <w:fldChar w:fldCharType="begin"/>
      </w:r>
      <w:r>
        <w:instrText xml:space="preserve"> REF _Ref233727317 \r \h </w:instrText>
      </w:r>
      <w:r>
        <w:fldChar w:fldCharType="separate"/>
      </w:r>
      <w:r>
        <w:t>14.4.1</w:t>
      </w:r>
      <w:r>
        <w:fldChar w:fldCharType="end"/>
      </w:r>
      <w:r>
        <w:t xml:space="preserve"> </w:t>
      </w:r>
    </w:p>
    <w:p>
      <w:pPr>
        <w:pStyle w:val="Lista2"/>
      </w:pPr>
      <w:r>
        <w:t>containers with text in the primary language need not be tagged explicitly, since they inherit their language from the edition division</w:t>
      </w:r>
    </w:p>
    <w:p>
      <w:pPr>
        <w:pStyle w:val="Cmsor4"/>
      </w:pPr>
      <w:bookmarkStart w:id="671" w:name="_Ref231904363"/>
      <w:r>
        <w:t>Words or phrases in a secondary language</w:t>
      </w:r>
      <w:bookmarkEnd w:id="671"/>
    </w:p>
    <w:p>
      <w:r>
        <w:t>If an inscription largely written in a primary language contains isolated words or phrases (or any chunks of text smaller than a block-level container) in a secondary language, proceed as follows.</w:t>
      </w:r>
    </w:p>
    <w:p>
      <w:pPr>
        <w:pStyle w:val="Lista"/>
      </w:pPr>
      <w:r>
        <w:t>encode the primary language on the edition division</w:t>
      </w:r>
    </w:p>
    <w:p>
      <w:pPr>
        <w:pStyle w:val="Lista"/>
      </w:pPr>
      <w:r>
        <w:t xml:space="preserve">wrap each chunk of text in the secondary language with the element </w:t>
      </w:r>
      <w:r>
        <w:rPr>
          <w:rStyle w:val="Code"/>
        </w:rPr>
        <w:t>&lt;foreign&gt;</w:t>
      </w:r>
      <w:r>
        <w:t xml:space="preserve"> </w:t>
      </w:r>
    </w:p>
    <w:p>
      <w:pPr>
        <w:pStyle w:val="Lista2"/>
      </w:pPr>
      <w:r>
        <w:t xml:space="preserve">apply </w:t>
      </w:r>
      <w:r>
        <w:rPr>
          <w:rStyle w:val="Codeattribute"/>
        </w:rPr>
        <w:t>@xml:lang</w:t>
      </w:r>
      <w:r>
        <w:t xml:space="preserve"> to that element</w:t>
      </w:r>
    </w:p>
    <w:p>
      <w:pPr>
        <w:pStyle w:val="Lista"/>
      </w:pPr>
      <w:r>
        <w:t>loanwords and foreign names should not, as a rule, be marked up as being in a different language</w:t>
      </w:r>
    </w:p>
    <w:p>
      <w:pPr>
        <w:pStyle w:val="Lista"/>
      </w:pPr>
      <w:r>
        <w:t>tagging as foreign is recommended for the following items</w:t>
      </w:r>
    </w:p>
    <w:p>
      <w:pPr>
        <w:pStyle w:val="Lista2"/>
      </w:pPr>
      <w:r>
        <w:t xml:space="preserve">complete phrases or sentences using vocabulary </w:t>
      </w:r>
      <w:r>
        <w:rPr>
          <w:rStyle w:val="Foreign"/>
        </w:rPr>
        <w:t>and</w:t>
      </w:r>
      <w:r>
        <w:t xml:space="preserve"> morphology/syntax foreign to the default language</w:t>
      </w:r>
    </w:p>
    <w:p>
      <w:pPr>
        <w:pStyle w:val="Lista2"/>
      </w:pPr>
      <w:r>
        <w:t xml:space="preserve">Sanskrit compounds which are not established as loanwords </w:t>
      </w:r>
      <w:r>
        <w:rPr>
          <w:noProof/>
        </w:rPr>
        <w:t>(</w:t>
      </w:r>
      <w:r>
        <w:t xml:space="preserve">i.e. do not appear in a standard dictionary of the local language such as the </w:t>
      </w:r>
      <w:r>
        <w:rPr>
          <w:rStyle w:val="Foreign"/>
        </w:rPr>
        <w:t>Old Javanese–English Dictionary</w:t>
      </w:r>
      <w:r>
        <w:t xml:space="preserve"> or the </w:t>
      </w:r>
      <w:r>
        <w:rPr>
          <w:rStyle w:val="Foreign"/>
        </w:rPr>
        <w:t>Madras Tamil Lexicon</w:t>
      </w:r>
      <w:r>
        <w:t>)</w:t>
      </w:r>
    </w:p>
    <w:p>
      <w:pPr>
        <w:pStyle w:val="Lista"/>
      </w:pPr>
      <w:r>
        <w:t>in less clear-cut cases, use your own discretion to decide whether or not to tag a segment as foreign</w:t>
      </w:r>
    </w:p>
    <w:p>
      <w:pPr>
        <w:pStyle w:val="Cmsor4"/>
      </w:pPr>
      <w:bookmarkStart w:id="672" w:name="_Ref231979218"/>
      <w:bookmarkStart w:id="673" w:name="_Ref232063409"/>
      <w:r>
        <w:t>Terms and glosses</w:t>
      </w:r>
      <w:bookmarkEnd w:id="672"/>
      <w:bookmarkEnd w:id="673"/>
    </w:p>
    <w:p>
      <w:r>
        <w:t>In the special case when a document written in a primary language contains words or phrases of a foreign language which are consistently paired with glosses (translations and/or explanations in the primary language), these may be optionally encoded as follows instead of simply using the method described in §</w:t>
      </w:r>
      <w:r>
        <w:fldChar w:fldCharType="begin"/>
      </w:r>
      <w:r>
        <w:instrText xml:space="preserve"> REF _Ref231904363 \r \h </w:instrText>
      </w:r>
      <w:r>
        <w:fldChar w:fldCharType="separate"/>
      </w:r>
      <w:r>
        <w:t>8.1.2.3</w:t>
      </w:r>
      <w:r>
        <w:fldChar w:fldCharType="end"/>
      </w:r>
      <w:r>
        <w:t xml:space="preserve"> above.</w:t>
      </w:r>
    </w:p>
    <w:p>
      <w:pPr>
        <w:pStyle w:val="Lista"/>
      </w:pPr>
      <w:r>
        <w:t xml:space="preserve">wrap each foreign segment in the element </w:t>
      </w:r>
      <w:r>
        <w:rPr>
          <w:rStyle w:val="Code"/>
        </w:rPr>
        <w:t>&lt;term&gt;</w:t>
      </w:r>
    </w:p>
    <w:p>
      <w:pPr>
        <w:pStyle w:val="Lista2"/>
      </w:pPr>
      <w:r>
        <w:t xml:space="preserve">adding </w:t>
      </w:r>
      <w:r>
        <w:rPr>
          <w:rStyle w:val="Codeattribute"/>
        </w:rPr>
        <w:t>@xml:lang</w:t>
      </w:r>
      <w:r>
        <w:t xml:space="preserve"> to this element to encode the language of the term</w:t>
      </w:r>
    </w:p>
    <w:p>
      <w:pPr>
        <w:pStyle w:val="Lista"/>
      </w:pPr>
      <w:r>
        <w:t xml:space="preserve">wrap each gloss in the element </w:t>
      </w:r>
      <w:r>
        <w:rPr>
          <w:rStyle w:val="Code"/>
        </w:rPr>
        <w:t>&lt;gloss&gt;</w:t>
      </w:r>
    </w:p>
    <w:p>
      <w:pPr>
        <w:pStyle w:val="Lista2"/>
      </w:pPr>
      <w:r>
        <w:t xml:space="preserve">do not use </w:t>
      </w:r>
      <w:r>
        <w:rPr>
          <w:rStyle w:val="Codeattribute"/>
        </w:rPr>
        <w:t>@xml:lang</w:t>
      </w:r>
      <w:r>
        <w:t xml:space="preserve"> on this element, since the gloss inherits the language encoded on the edition division</w:t>
      </w:r>
    </w:p>
    <w:p>
      <w:pPr>
        <w:pStyle w:val="Cmsor2"/>
      </w:pPr>
      <w:bookmarkStart w:id="674" w:name="_Ref231979678"/>
      <w:r>
        <w:t>Script</w:t>
      </w:r>
      <w:bookmarkEnd w:id="674"/>
    </w:p>
    <w:p>
      <w:r>
        <w:rPr>
          <w:lang w:eastAsia="en-US" w:bidi="ar-SA"/>
        </w:rPr>
        <w:t xml:space="preserve">This section is concerned with the script of the source document, i.e. its inventory of graphic signs (TG §2.1). Variations in writing style which do not involve a change of script are covered separately, including </w:t>
      </w:r>
      <w:r>
        <w:t>scribal hands (§</w:t>
      </w:r>
      <w:r>
        <w:fldChar w:fldCharType="begin"/>
      </w:r>
      <w:r>
        <w:instrText xml:space="preserve"> REF _Ref231978881 \r \h </w:instrText>
      </w:r>
      <w:r>
        <w:fldChar w:fldCharType="separate"/>
      </w:r>
      <w:r>
        <w:t>8.3</w:t>
      </w:r>
      <w:r>
        <w:fldChar w:fldCharType="end"/>
      </w:r>
      <w:r>
        <w:t>) and lettering style (§</w:t>
      </w:r>
      <w:r>
        <w:fldChar w:fldCharType="begin"/>
      </w:r>
      <w:r>
        <w:instrText xml:space="preserve"> REF _Ref231978934 \r \h </w:instrText>
      </w:r>
      <w:r>
        <w:fldChar w:fldCharType="separate"/>
      </w:r>
      <w:r>
        <w:t>8.4</w:t>
      </w:r>
      <w:r>
        <w:fldChar w:fldCharType="end"/>
      </w:r>
      <w:r>
        <w:t>).</w:t>
      </w:r>
    </w:p>
    <w:p>
      <w:pPr>
        <w:pStyle w:val="Cmsor3"/>
      </w:pPr>
      <w:bookmarkStart w:id="675" w:name="_Ref231978545"/>
      <w:bookmarkStart w:id="676" w:name="_Toc242976672"/>
      <w:r>
        <w:t xml:space="preserve">Encoding source script with </w:t>
      </w:r>
      <w:r>
        <w:rPr>
          <w:rStyle w:val="Codeattribute"/>
        </w:rPr>
        <w:t>@rendition</w:t>
      </w:r>
      <w:bookmarkEnd w:id="675"/>
      <w:bookmarkEnd w:id="676"/>
    </w:p>
    <w:p>
      <w:pPr>
        <w:pStyle w:val="Lista"/>
      </w:pPr>
      <w:r>
        <w:t xml:space="preserve">the attribute </w:t>
      </w:r>
      <w:r>
        <w:rPr>
          <w:rStyle w:val="Codeattribute"/>
        </w:rPr>
        <w:t>@rendition</w:t>
      </w:r>
      <w:r>
        <w:t xml:space="preserve"> on a text-containing element serves for encoding the appearance of the content of that element in the source document</w:t>
      </w:r>
    </w:p>
    <w:p>
      <w:pPr>
        <w:pStyle w:val="Lista2"/>
      </w:pPr>
      <w:r>
        <w:t>in DHARMA editions we use this attribute for encoding the script in which the source document or a part thereof was originally written</w:t>
      </w:r>
    </w:p>
    <w:p>
      <w:pPr>
        <w:pStyle w:val="Lista"/>
      </w:pPr>
      <w:r>
        <w:t xml:space="preserve">the value of this attribute, when used for this purpose, must always contain the prefix </w:t>
      </w:r>
      <w:r>
        <w:rPr>
          <w:rStyle w:val="Codevalue"/>
        </w:rPr>
        <w:t>class:</w:t>
      </w:r>
      <w:r>
        <w:t xml:space="preserve"> followed (without an intervening space) by the internal identifier of an item of our controlled vocabulary for script classification</w:t>
      </w:r>
      <w:r>
        <w:rPr>
          <w:rStyle w:val="Lbjegyzet-hivatkozs"/>
        </w:rPr>
        <w:footnoteReference w:id="35"/>
      </w:r>
    </w:p>
    <w:p>
      <w:pPr>
        <w:pStyle w:val="Lista2"/>
      </w:pPr>
      <w:r>
        <w:t>this vocabulary is hierarchical, allowing you to choose terms from very generic to very specific</w:t>
      </w:r>
    </w:p>
    <w:p>
      <w:pPr>
        <w:pStyle w:val="Lista3"/>
      </w:pPr>
      <w:r>
        <w:t>choose the most specific label that you can apply with full confidence to the script class of your source</w:t>
      </w:r>
    </w:p>
    <w:p>
      <w:pPr>
        <w:pStyle w:val="Lista3"/>
      </w:pPr>
      <w:r>
        <w:t xml:space="preserve">when in doubt, choose a more generic (higher-level) label </w:t>
      </w:r>
    </w:p>
    <w:p>
      <w:pPr>
        <w:pStyle w:val="Lista"/>
      </w:pPr>
      <w:r>
        <w:lastRenderedPageBreak/>
        <w:t>for all scripts in the class “Brāhmī and derivatives” (but not for other scripts), add another item within the same attribute value, after the class prefix and identifier, with a space between them</w:t>
      </w:r>
    </w:p>
    <w:p>
      <w:pPr>
        <w:pStyle w:val="Lista2"/>
      </w:pPr>
      <w:r>
        <w:t xml:space="preserve">the second item consists of the prefix </w:t>
      </w:r>
      <w:r>
        <w:rPr>
          <w:rStyle w:val="Codevalue"/>
        </w:rPr>
        <w:t>maturity:</w:t>
      </w:r>
      <w:r>
        <w:t xml:space="preserve"> followed (without an intervening space) by the internal identifier of an item of our controlled vocabulary for script maturity</w:t>
      </w:r>
      <w:r>
        <w:rPr>
          <w:rStyle w:val="Lbjegyzet-hivatkozs"/>
        </w:rPr>
        <w:footnoteReference w:id="36"/>
      </w:r>
    </w:p>
    <w:p>
      <w:pPr>
        <w:pStyle w:val="Lista3"/>
      </w:pPr>
      <w:r>
        <w:t>this is a one-tiered vocabulary of basic developmental stages, because anything more complicated would greatly increase uncertainty and inconsistency in the encoding</w:t>
      </w:r>
    </w:p>
    <w:p>
      <w:pPr>
        <w:pStyle w:val="Lista"/>
      </w:pPr>
      <w:r>
        <w:t xml:space="preserve">for example, if the script in question is mediaeval Grantha, you must record the codes for “Grantha” and “regional Brāhmī-derived script”, like this: </w:t>
      </w:r>
      <w:r>
        <w:rPr>
          <w:rStyle w:val="Codeattribute"/>
        </w:rPr>
        <w:t>@rendition</w:t>
      </w:r>
      <w:r>
        <w:rPr>
          <w:rStyle w:val="Codetext"/>
        </w:rPr>
        <w:t>=</w:t>
      </w:r>
      <w:r>
        <w:rPr>
          <w:rStyle w:val="Codevalue"/>
        </w:rPr>
        <w:t>"class:36768 maturity:83213"</w:t>
      </w:r>
    </w:p>
    <w:p>
      <w:pPr>
        <w:pStyle w:val="Lista"/>
      </w:pPr>
      <w:r>
        <w:t xml:space="preserve">for multiscript inscriptions in a Brāhmī-derived script, all instances of the attribute </w:t>
      </w:r>
      <w:r>
        <w:rPr>
          <w:rStyle w:val="Codeattribute"/>
        </w:rPr>
        <w:t>@rendition</w:t>
      </w:r>
      <w:r>
        <w:t xml:space="preserve"> must specify both the </w:t>
      </w:r>
      <w:r>
        <w:rPr>
          <w:rStyle w:val="Codevalue"/>
        </w:rPr>
        <w:t>class:</w:t>
      </w:r>
      <w:r>
        <w:t xml:space="preserve"> and the </w:t>
      </w:r>
      <w:r>
        <w:rPr>
          <w:rStyle w:val="Codevalue"/>
        </w:rPr>
        <w:t>maturity:</w:t>
      </w:r>
      <w:r>
        <w:t xml:space="preserve"> even if only one of these changes (i.e. these part-values are not inherited separately)</w:t>
      </w:r>
    </w:p>
    <w:p>
      <w:pPr>
        <w:pStyle w:val="Cmsor3"/>
      </w:pPr>
      <w:bookmarkStart w:id="677" w:name="_jbf4mvmrfbn2" w:colFirst="0" w:colLast="0"/>
      <w:bookmarkStart w:id="678" w:name="_Ref231978625"/>
      <w:bookmarkStart w:id="679" w:name="_Ref43989139"/>
      <w:bookmarkStart w:id="680" w:name="_Ref43990481"/>
      <w:bookmarkStart w:id="681" w:name="_Ref225428243"/>
      <w:bookmarkStart w:id="682" w:name="_Ref43989327"/>
      <w:bookmarkStart w:id="683" w:name="_Toc242976673"/>
      <w:bookmarkEnd w:id="677"/>
      <w:r>
        <w:t>The script of the edition</w:t>
      </w:r>
      <w:bookmarkEnd w:id="678"/>
      <w:bookmarkEnd w:id="683"/>
    </w:p>
    <w:p>
      <w:pPr>
        <w:pStyle w:val="Lista"/>
      </w:pPr>
      <w:r>
        <w:t>the Hand Description in the TEI header (§</w:t>
      </w:r>
      <w:r>
        <w:fldChar w:fldCharType="begin"/>
      </w:r>
      <w:r>
        <w:instrText xml:space="preserve"> REF _Ref43987455 \r \h </w:instrText>
      </w:r>
      <w:r>
        <w:fldChar w:fldCharType="separate"/>
      </w:r>
      <w:r>
        <w:t>15.2.1</w:t>
      </w:r>
      <w:r>
        <w:fldChar w:fldCharType="end"/>
      </w:r>
      <w:r>
        <w:t>) is the place for your human-readable description of the source script and your palaeographic observations</w:t>
      </w:r>
    </w:p>
    <w:p>
      <w:pPr>
        <w:pStyle w:val="Lista"/>
      </w:pPr>
      <w:r>
        <w:t xml:space="preserve">in addition, the type of script in which your inscription is written must be encoded explicitly by adding </w:t>
      </w:r>
      <w:r>
        <w:rPr>
          <w:rStyle w:val="Codeattribute"/>
        </w:rPr>
        <w:t>@rendition</w:t>
      </w:r>
      <w:r>
        <w:t xml:space="preserve"> (as per §</w:t>
      </w:r>
      <w:r>
        <w:fldChar w:fldCharType="begin"/>
      </w:r>
      <w:r>
        <w:instrText xml:space="preserve"> REF _Ref231978545 \r \h </w:instrText>
      </w:r>
      <w:r>
        <w:fldChar w:fldCharType="separate"/>
      </w:r>
      <w:r>
        <w:t>8.2.1</w:t>
      </w:r>
      <w:r>
        <w:fldChar w:fldCharType="end"/>
      </w:r>
      <w:r>
        <w:t>) to the edition division</w:t>
      </w:r>
    </w:p>
    <w:p>
      <w:pPr>
        <w:pStyle w:val="Lista2"/>
        <w:rPr>
          <w:rStyle w:val="Code"/>
          <w:rFonts w:ascii="Gentium" w:hAnsi="Gentium" w:cs="Tiro Devanagari Sanskrit"/>
          <w:noProof w:val="0"/>
          <w:color w:val="auto"/>
          <w:shd w:val="clear" w:color="auto" w:fill="auto"/>
        </w:rPr>
      </w:pPr>
      <w:r>
        <w:t xml:space="preserve">e.g. </w:t>
      </w:r>
      <w:r>
        <w:rPr>
          <w:rStyle w:val="Code"/>
        </w:rPr>
        <w:t xml:space="preserve">&lt;div </w:t>
      </w:r>
      <w:r>
        <w:rPr>
          <w:rStyle w:val="Codeattribute"/>
        </w:rPr>
        <w:t>type</w:t>
      </w:r>
      <w:r>
        <w:rPr>
          <w:rStyle w:val="Codetext"/>
        </w:rPr>
        <w:t>=</w:t>
      </w:r>
      <w:r>
        <w:rPr>
          <w:rStyle w:val="Codevalue"/>
        </w:rPr>
        <w:t>"edition"</w:t>
      </w:r>
      <w:r>
        <w:rPr>
          <w:rStyle w:val="Code"/>
        </w:rPr>
        <w:t xml:space="preserve"> </w:t>
      </w:r>
      <w:r>
        <w:rPr>
          <w:rStyle w:val="Codeattribute"/>
        </w:rPr>
        <w:t>xml:lang</w:t>
      </w:r>
      <w:r>
        <w:rPr>
          <w:rStyle w:val="Codetext"/>
        </w:rPr>
        <w:t>=</w:t>
      </w:r>
      <w:r>
        <w:rPr>
          <w:rStyle w:val="Codevalue"/>
        </w:rPr>
        <w:t>"san-Latn"</w:t>
      </w:r>
      <w:r>
        <w:rPr>
          <w:rStyle w:val="Code"/>
        </w:rPr>
        <w:t xml:space="preserve"> </w:t>
      </w:r>
      <w:r>
        <w:rPr>
          <w:rStyle w:val="Codeattribute"/>
        </w:rPr>
        <w:t>rendition</w:t>
      </w:r>
      <w:r>
        <w:rPr>
          <w:rStyle w:val="Codetext"/>
        </w:rPr>
        <w:t>=</w:t>
      </w:r>
      <w:r>
        <w:rPr>
          <w:rStyle w:val="Codevalue"/>
        </w:rPr>
        <w:t>"class:83223 maturity:83211"</w:t>
      </w:r>
      <w:r>
        <w:rPr>
          <w:rStyle w:val="Code"/>
        </w:rPr>
        <w:t>&gt;</w:t>
      </w:r>
      <w:r>
        <w:t xml:space="preserve"> for an inscription in late northern Brāhmī</w:t>
      </w:r>
    </w:p>
    <w:p>
      <w:pPr>
        <w:pStyle w:val="Lista3"/>
      </w:pPr>
      <w:r>
        <w:t>note that this example illustrates only the script encoding, which must be complemented by language encoding as per §</w:t>
      </w:r>
      <w:r>
        <w:fldChar w:fldCharType="begin"/>
      </w:r>
      <w:r>
        <w:instrText xml:space="preserve"> REF _Ref231978649 \r \h </w:instrText>
      </w:r>
      <w:r>
        <w:fldChar w:fldCharType="separate"/>
      </w:r>
      <w:r>
        <w:t>8.1.1</w:t>
      </w:r>
      <w:r>
        <w:fldChar w:fldCharType="end"/>
      </w:r>
    </w:p>
    <w:p>
      <w:pPr>
        <w:pStyle w:val="Lista"/>
      </w:pPr>
      <w:r>
        <w:rPr>
          <w:rStyle w:val="Codeattribute"/>
        </w:rPr>
        <w:t>@rendition</w:t>
      </w:r>
      <w:r>
        <w:t xml:space="preserve"> must always be present on the edition division unless it contains textparts with the script of each textpart encoded separately as per §</w:t>
      </w:r>
      <w:r>
        <w:fldChar w:fldCharType="begin"/>
      </w:r>
      <w:r>
        <w:instrText xml:space="preserve"> REF _Ref231980805 \r \h </w:instrText>
      </w:r>
      <w:r>
        <w:fldChar w:fldCharType="separate"/>
      </w:r>
      <w:r>
        <w:t>8.2.3.1</w:t>
      </w:r>
      <w:r>
        <w:fldChar w:fldCharType="end"/>
      </w:r>
    </w:p>
    <w:p>
      <w:pPr>
        <w:pStyle w:val="Lista2"/>
      </w:pPr>
      <w:r>
        <w:t>all XML elements within the edition division are understood to inherit the script of the edition division, so parts of the edition only need script encoding when they are in a different script</w:t>
      </w:r>
    </w:p>
    <w:p>
      <w:pPr>
        <w:pStyle w:val="Cmsor3"/>
      </w:pPr>
      <w:bookmarkStart w:id="684" w:name="_Ref231974552"/>
      <w:bookmarkStart w:id="685" w:name="_Toc242976674"/>
      <w:r>
        <w:t>Multiscript inscriptions</w:t>
      </w:r>
      <w:bookmarkEnd w:id="684"/>
      <w:bookmarkEnd w:id="685"/>
    </w:p>
    <w:p>
      <w:pPr>
        <w:pStyle w:val="Cmsor4"/>
      </w:pPr>
      <w:bookmarkStart w:id="686" w:name="_Ref231980805"/>
      <w:r>
        <w:t>Sections in different scripts</w:t>
      </w:r>
      <w:bookmarkEnd w:id="686"/>
    </w:p>
    <w:p>
      <w:r>
        <w:t xml:space="preserve">When two </w:t>
      </w:r>
      <w:r>
        <w:rPr>
          <w:noProof/>
        </w:rPr>
        <w:t>(</w:t>
      </w:r>
      <w:r>
        <w:t>or more) major sections of an inscription are in two (or more) different scripts, choose one of the following options that you deem most appropriate to the case at hand.</w:t>
      </w:r>
    </w:p>
    <w:p>
      <w:pPr>
        <w:pStyle w:val="Lista"/>
      </w:pPr>
      <w:r>
        <w:t>if the inscription may be perceived as a single, coherent text with one or more script changes,</w:t>
      </w:r>
    </w:p>
    <w:p>
      <w:pPr>
        <w:pStyle w:val="Lista2"/>
      </w:pPr>
      <w:r>
        <w:t>if there are only two or a small number of sections written in different scripts, especially if the script changes are not coterminous with units of intrinsic structure, encode a hand shift and complement it with script encoding as per §</w:t>
      </w:r>
      <w:r>
        <w:fldChar w:fldCharType="begin"/>
      </w:r>
      <w:r>
        <w:instrText xml:space="preserve"> REF _Ref231980940 \r \h </w:instrText>
      </w:r>
      <w:r>
        <w:fldChar w:fldCharType="separate"/>
      </w:r>
      <w:r>
        <w:t>8.3</w:t>
      </w:r>
      <w:r>
        <w:fldChar w:fldCharType="end"/>
      </w:r>
    </w:p>
    <w:p>
      <w:pPr>
        <w:pStyle w:val="Lista2"/>
      </w:pPr>
      <w:r>
        <w:t>if script changes are more numerous, especially if they are coterminous with units of intrinsic structure, proceed as per §</w:t>
      </w:r>
      <w:r>
        <w:fldChar w:fldCharType="begin"/>
      </w:r>
      <w:r>
        <w:instrText xml:space="preserve"> REF _Ref231981056 \r \h </w:instrText>
      </w:r>
      <w:r>
        <w:fldChar w:fldCharType="separate"/>
      </w:r>
      <w:r>
        <w:t>8.2.3.2</w:t>
      </w:r>
      <w:r>
        <w:fldChar w:fldCharType="end"/>
      </w:r>
      <w:r>
        <w:t xml:space="preserve"> even if this requires tagging several adjacent text containers individually for script</w:t>
      </w:r>
    </w:p>
    <w:p>
      <w:pPr>
        <w:pStyle w:val="Lista"/>
      </w:pPr>
      <w:r>
        <w:t xml:space="preserve">if one section cannot be perceived as an integral continuation of the other, because they are visually clearly distinct </w:t>
      </w:r>
      <w:r>
        <w:rPr>
          <w:i/>
          <w:iCs/>
        </w:rPr>
        <w:t>and</w:t>
      </w:r>
      <w:r>
        <w:t xml:space="preserve"> semantically unconnected with no straightforward order in which they should be read</w:t>
      </w:r>
    </w:p>
    <w:p>
      <w:pPr>
        <w:pStyle w:val="Lista2"/>
      </w:pPr>
      <w:r>
        <w:t>first, consider if it would be better to edit the inscription as two separate texts</w:t>
      </w:r>
    </w:p>
    <w:p>
      <w:pPr>
        <w:pStyle w:val="Lista2"/>
      </w:pPr>
      <w:r>
        <w:t>if that is not feasible, then</w:t>
      </w:r>
    </w:p>
    <w:p>
      <w:pPr>
        <w:pStyle w:val="Lista3"/>
      </w:pPr>
      <w:r>
        <w:t xml:space="preserve">encode the sections as textpart divisions </w:t>
      </w:r>
      <w:r>
        <w:rPr>
          <w:noProof/>
        </w:rPr>
        <w:t>(</w:t>
      </w:r>
      <w:r>
        <w:t>§</w:t>
      </w:r>
      <w:r>
        <w:fldChar w:fldCharType="begin"/>
      </w:r>
      <w:r>
        <w:instrText xml:space="preserve"> REF _Ref225778181 \r \h </w:instrText>
      </w:r>
      <w:r>
        <w:fldChar w:fldCharType="separate"/>
      </w:r>
      <w:r>
        <w:t>4.2</w:t>
      </w:r>
      <w:r>
        <w:fldChar w:fldCharType="end"/>
      </w:r>
      <w:r>
        <w:t>)</w:t>
      </w:r>
    </w:p>
    <w:p>
      <w:pPr>
        <w:pStyle w:val="Lista3"/>
      </w:pPr>
      <w:r>
        <w:t xml:space="preserve">add </w:t>
      </w:r>
      <w:r>
        <w:rPr>
          <w:rStyle w:val="Codeattribute"/>
        </w:rPr>
        <w:t>@rendition</w:t>
      </w:r>
      <w:r>
        <w:t xml:space="preserve"> to each corresponding </w:t>
      </w:r>
      <w:r>
        <w:rPr>
          <w:rStyle w:val="Code"/>
        </w:rPr>
        <w:t xml:space="preserve">&lt;div </w:t>
      </w:r>
      <w:r>
        <w:rPr>
          <w:rStyle w:val="Codeattribute"/>
        </w:rPr>
        <w:t>type</w:t>
      </w:r>
      <w:r>
        <w:rPr>
          <w:rStyle w:val="Code"/>
        </w:rPr>
        <w:t>=</w:t>
      </w:r>
      <w:r>
        <w:rPr>
          <w:rStyle w:val="Codevalue"/>
        </w:rPr>
        <w:t>"textpart"</w:t>
      </w:r>
      <w:r>
        <w:rPr>
          <w:rStyle w:val="Code"/>
        </w:rPr>
        <w:t>&gt;</w:t>
      </w:r>
      <w:r>
        <w:t xml:space="preserve"> element</w:t>
      </w:r>
    </w:p>
    <w:p>
      <w:pPr>
        <w:pStyle w:val="Lista3"/>
      </w:pPr>
      <w:r>
        <w:t xml:space="preserve">in this case only, the edition division shall not carry the attribute </w:t>
      </w:r>
      <w:r>
        <w:rPr>
          <w:rStyle w:val="Codeattribute"/>
        </w:rPr>
        <w:t>@rendition</w:t>
      </w:r>
    </w:p>
    <w:p>
      <w:pPr>
        <w:pStyle w:val="Lista4"/>
      </w:pPr>
      <w:r>
        <w:t>whereas if the textparts are in the same script, then script must still be encoded for the edition division, not separately for the textparts</w:t>
      </w:r>
    </w:p>
    <w:p>
      <w:pPr>
        <w:pStyle w:val="Lista3"/>
      </w:pPr>
      <w:r>
        <w:t>do not create textpart divisions just because an inscription is in two scripts, only when the encoding of such divisions is warranted for other reasons discussed in §</w:t>
      </w:r>
      <w:r>
        <w:fldChar w:fldCharType="begin"/>
      </w:r>
      <w:r>
        <w:instrText xml:space="preserve"> REF _Ref224742342 \r \h </w:instrText>
      </w:r>
      <w:r>
        <w:fldChar w:fldCharType="separate"/>
      </w:r>
      <w:r>
        <w:t>4.2.1.4</w:t>
      </w:r>
      <w:r>
        <w:fldChar w:fldCharType="end"/>
      </w:r>
    </w:p>
    <w:p>
      <w:pPr>
        <w:pStyle w:val="Cmsor4"/>
      </w:pPr>
      <w:bookmarkStart w:id="687" w:name="_Ref231981056"/>
      <w:r>
        <w:lastRenderedPageBreak/>
        <w:t>Passages or stanzas in a secondary script</w:t>
      </w:r>
      <w:bookmarkEnd w:id="687"/>
    </w:p>
    <w:p>
      <w:pPr>
        <w:rPr>
          <w:lang w:eastAsia="en-US" w:bidi="ar-SA"/>
        </w:rPr>
      </w:pPr>
      <w:r>
        <w:rPr>
          <w:lang w:eastAsia="en-US" w:bidi="ar-SA"/>
        </w:rPr>
        <w:t>When an inscription contains stanzas and/or prose passages written in a different script, and the script changes repeatedly or the sections in different scripts are not as conspicuously distinct as to require encoding as textpart divisions (§</w:t>
      </w:r>
      <w:r>
        <w:rPr>
          <w:lang w:eastAsia="en-US" w:bidi="ar-SA"/>
        </w:rPr>
        <w:fldChar w:fldCharType="begin"/>
      </w:r>
      <w:r>
        <w:rPr>
          <w:lang w:eastAsia="en-US" w:bidi="ar-SA"/>
        </w:rPr>
        <w:instrText xml:space="preserve"> REF _Ref231980805 \r \h </w:instrText>
      </w:r>
      <w:r>
        <w:rPr>
          <w:lang w:eastAsia="en-US" w:bidi="ar-SA"/>
        </w:rPr>
      </w:r>
      <w:r>
        <w:rPr>
          <w:lang w:eastAsia="en-US" w:bidi="ar-SA"/>
        </w:rPr>
        <w:fldChar w:fldCharType="separate"/>
      </w:r>
      <w:r>
        <w:rPr>
          <w:lang w:eastAsia="en-US" w:bidi="ar-SA"/>
        </w:rPr>
        <w:t>8.2.3.1</w:t>
      </w:r>
      <w:r>
        <w:rPr>
          <w:lang w:eastAsia="en-US" w:bidi="ar-SA"/>
        </w:rPr>
        <w:fldChar w:fldCharType="end"/>
      </w:r>
      <w:r>
        <w:rPr>
          <w:lang w:eastAsia="en-US" w:bidi="ar-SA"/>
        </w:rPr>
        <w:t>), proceed as follows.</w:t>
      </w:r>
    </w:p>
    <w:p>
      <w:pPr>
        <w:pStyle w:val="Lista"/>
      </w:pPr>
      <w:r>
        <w:t xml:space="preserve">select a default (primary) script to encode as the </w:t>
      </w:r>
      <w:r>
        <w:rPr>
          <w:rStyle w:val="Codeattribute"/>
        </w:rPr>
        <w:t>@rendition</w:t>
      </w:r>
      <w:r>
        <w:t xml:space="preserve"> of the edition division</w:t>
      </w:r>
    </w:p>
    <w:p>
      <w:pPr>
        <w:pStyle w:val="Lista2"/>
      </w:pPr>
      <w:r>
        <w:t>the primary script should normally be the one that is used in the majority of the document</w:t>
      </w:r>
    </w:p>
    <w:p>
      <w:pPr>
        <w:pStyle w:val="Lista2"/>
      </w:pPr>
      <w:r>
        <w:t>if two or more scripts are represented in more or less equal proportions, make an arbitrary choice</w:t>
      </w:r>
    </w:p>
    <w:p>
      <w:pPr>
        <w:pStyle w:val="Lista"/>
      </w:pPr>
      <w:r>
        <w:t xml:space="preserve">apply </w:t>
      </w:r>
      <w:r>
        <w:rPr>
          <w:rStyle w:val="Codeattribute"/>
        </w:rPr>
        <w:t>@rendition</w:t>
      </w:r>
      <w:r>
        <w:t xml:space="preserve"> to each of the block-level elements (viz. </w:t>
      </w:r>
      <w:r>
        <w:rPr>
          <w:rStyle w:val="Code"/>
        </w:rPr>
        <w:t>&lt;p&gt;</w:t>
      </w:r>
      <w:r>
        <w:t xml:space="preserve">, </w:t>
      </w:r>
      <w:r>
        <w:rPr>
          <w:rStyle w:val="Code"/>
        </w:rPr>
        <w:t>&lt;lg&gt;</w:t>
      </w:r>
      <w:r>
        <w:t xml:space="preserve">, </w:t>
      </w:r>
      <w:r>
        <w:rPr>
          <w:rStyle w:val="Code"/>
        </w:rPr>
        <w:t>&lt;l&gt;</w:t>
      </w:r>
      <w:r>
        <w:t xml:space="preserve"> or </w:t>
      </w:r>
      <w:r>
        <w:rPr>
          <w:rStyle w:val="Code"/>
        </w:rPr>
        <w:t>&lt;ab&gt;</w:t>
      </w:r>
      <w:r>
        <w:t>) corresponding to text in a script other than the default one</w:t>
      </w:r>
    </w:p>
    <w:p>
      <w:pPr>
        <w:pStyle w:val="Lista2"/>
      </w:pPr>
      <w:r>
        <w:t>containers with text in the primary script need not be tagged explicitly, since they inherit their script from the edition division</w:t>
      </w:r>
    </w:p>
    <w:p>
      <w:pPr>
        <w:pStyle w:val="Cmsor4"/>
      </w:pPr>
      <w:r>
        <w:t>Foliation marks in a secondary script</w:t>
      </w:r>
    </w:p>
    <w:p>
      <w:pPr>
        <w:pStyle w:val="Lista"/>
      </w:pPr>
      <w:r>
        <w:t xml:space="preserve">should the need arise, </w:t>
      </w:r>
      <w:r>
        <w:rPr>
          <w:rStyle w:val="Codeattribute"/>
        </w:rPr>
        <w:t>@rendition</w:t>
      </w:r>
      <w:r>
        <w:t xml:space="preserve"> may be added to </w:t>
      </w:r>
      <w:r>
        <w:rPr>
          <w:rStyle w:val="Code"/>
        </w:rPr>
        <w:t>&lt;fw&gt;</w:t>
      </w:r>
      <w:r>
        <w:t xml:space="preserve"> elements (§</w:t>
      </w:r>
      <w:r>
        <w:fldChar w:fldCharType="begin"/>
      </w:r>
      <w:r>
        <w:instrText xml:space="preserve"> REF _Ref43984607 \r \h </w:instrText>
      </w:r>
      <w:r>
        <w:fldChar w:fldCharType="separate"/>
      </w:r>
      <w:r>
        <w:t>4.7.2</w:t>
      </w:r>
      <w:r>
        <w:fldChar w:fldCharType="end"/>
      </w:r>
      <w:r>
        <w:t>) to encode a script different from that of the text’s primary script</w:t>
      </w:r>
    </w:p>
    <w:p>
      <w:pPr>
        <w:pStyle w:val="Cmsor4"/>
      </w:pPr>
      <w:bookmarkStart w:id="688" w:name="_Ref232173895"/>
      <w:r>
        <w:t>Words or phrases in a secondary script</w:t>
      </w:r>
      <w:bookmarkEnd w:id="688"/>
    </w:p>
    <w:p>
      <w:r>
        <w:t>If an inscription largely written in a primary script contains isolated words or phrases (or any chunks of text smaller than a block-level container) in a secondary script, proceed as follows.</w:t>
      </w:r>
    </w:p>
    <w:p>
      <w:pPr>
        <w:pStyle w:val="Lista"/>
      </w:pPr>
      <w:r>
        <w:t>encode the primary script on the edition division</w:t>
      </w:r>
    </w:p>
    <w:p>
      <w:pPr>
        <w:pStyle w:val="Lista"/>
      </w:pPr>
      <w:r>
        <w:t xml:space="preserve">if changes in script are concomitant with changes in language, then you will already have the chunks written in a different language tagged as </w:t>
      </w:r>
      <w:r>
        <w:rPr>
          <w:rStyle w:val="Code"/>
        </w:rPr>
        <w:t>&lt;foreign&gt;</w:t>
      </w:r>
      <w:r>
        <w:t xml:space="preserve"> (§</w:t>
      </w:r>
      <w:r>
        <w:fldChar w:fldCharType="begin"/>
      </w:r>
      <w:r>
        <w:instrText xml:space="preserve"> REF _Ref231904363 \r \h </w:instrText>
      </w:r>
      <w:r>
        <w:fldChar w:fldCharType="separate"/>
      </w:r>
      <w:r>
        <w:t>8.1.2.3</w:t>
      </w:r>
      <w:r>
        <w:fldChar w:fldCharType="end"/>
      </w:r>
      <w:r>
        <w:t>)</w:t>
      </w:r>
    </w:p>
    <w:p>
      <w:pPr>
        <w:pStyle w:val="Lista2"/>
      </w:pPr>
      <w:r>
        <w:t xml:space="preserve">add </w:t>
      </w:r>
      <w:r>
        <w:rPr>
          <w:rStyle w:val="Codeattribute"/>
        </w:rPr>
        <w:t>@rendition</w:t>
      </w:r>
      <w:r>
        <w:t xml:space="preserve"> to these elements to encode the script change</w:t>
      </w:r>
    </w:p>
    <w:p>
      <w:pPr>
        <w:pStyle w:val="Lista"/>
      </w:pPr>
      <w:r>
        <w:t xml:space="preserve">if script variation does not co-occur with language variation, then create the phrase-level container </w:t>
      </w:r>
      <w:r>
        <w:rPr>
          <w:rStyle w:val="Code"/>
        </w:rPr>
        <w:t>&lt;seg&gt;</w:t>
      </w:r>
      <w:r>
        <w:t xml:space="preserve"> to wrap the chunk of text in a different script, and add </w:t>
      </w:r>
      <w:r>
        <w:rPr>
          <w:rStyle w:val="Codeattribute"/>
        </w:rPr>
        <w:t>@rendition</w:t>
      </w:r>
      <w:r>
        <w:t xml:space="preserve"> to this element</w:t>
      </w:r>
    </w:p>
    <w:p>
      <w:pPr>
        <w:pStyle w:val="Cmsor4"/>
      </w:pPr>
      <w:bookmarkStart w:id="689" w:name="_Ref233642045"/>
      <w:r>
        <w:t>Grantha script mixed with another script</w:t>
      </w:r>
      <w:bookmarkEnd w:id="689"/>
    </w:p>
    <w:p>
      <w:pPr>
        <w:pStyle w:val="Lista"/>
      </w:pPr>
      <w:r>
        <w:t>when encoding Grantha characters interspersed in Tamil or Vaṭṭeḻuttu script, note that only characters graphically distinct from the default script of the inscription should be marked up in this way</w:t>
      </w:r>
    </w:p>
    <w:p>
      <w:pPr>
        <w:pStyle w:val="Lista"/>
      </w:pPr>
      <w:r>
        <w:t>for example,</w:t>
      </w:r>
    </w:p>
    <w:p>
      <w:pPr>
        <w:pStyle w:val="Lista2"/>
      </w:pPr>
      <w:r>
        <w:rPr>
          <w:rStyle w:val="ForeignTamilGrantha"/>
        </w:rPr>
        <w:t>𑌤𑍍𑌰𑌿𑌭𑍁</w:t>
      </w:r>
      <w:r>
        <w:rPr>
          <w:rStyle w:val="ForeignTamilGrantha"/>
          <w:rFonts w:hint="cs"/>
          <w:cs/>
        </w:rPr>
        <w:t>வ</w:t>
      </w:r>
      <w:r>
        <w:rPr>
          <w:rStyle w:val="ForeignTamilGrantha"/>
          <w:rFonts w:ascii="Nirmala UI" w:hAnsi="Nirmala UI" w:cs="Nirmala UI" w:hint="cs"/>
          <w:cs/>
        </w:rPr>
        <w:t>ன</w:t>
      </w:r>
      <w:r>
        <w:rPr>
          <w:cs/>
          <w:lang w:bidi="ta-IN"/>
        </w:rPr>
        <w:t xml:space="preserve"> </w:t>
      </w:r>
      <w:r>
        <w:rPr>
          <w:rStyle w:val="Code"/>
        </w:rPr>
        <w:t xml:space="preserve">&lt;seg </w:t>
      </w:r>
      <w:r>
        <w:rPr>
          <w:rStyle w:val="Codeattribute"/>
        </w:rPr>
        <w:t>rendition</w:t>
      </w:r>
      <w:r>
        <w:rPr>
          <w:rStyle w:val="Codetext"/>
        </w:rPr>
        <w:t>=</w:t>
      </w:r>
      <w:r>
        <w:rPr>
          <w:rStyle w:val="Codevalue"/>
        </w:rPr>
        <w:t>"class:36768 maturity:83213"</w:t>
      </w:r>
      <w:r>
        <w:rPr>
          <w:rStyle w:val="Code"/>
        </w:rPr>
        <w:t>&gt;</w:t>
      </w:r>
      <w:r>
        <w:rPr>
          <w:rStyle w:val="Codetext"/>
        </w:rPr>
        <w:t>tribhu</w:t>
      </w:r>
      <w:r>
        <w:rPr>
          <w:rStyle w:val="Code"/>
        </w:rPr>
        <w:t>&lt;/seg&gt;vaṉa</w:t>
      </w:r>
      <w:r>
        <w:t xml:space="preserve"> if the default script is Tamil</w:t>
      </w:r>
    </w:p>
    <w:p>
      <w:pPr>
        <w:pStyle w:val="Lista3"/>
      </w:pPr>
      <w:r>
        <w:t xml:space="preserve">since </w:t>
      </w:r>
      <w:r>
        <w:rPr>
          <w:rStyle w:val="Foreign"/>
        </w:rPr>
        <w:t>va</w:t>
      </w:r>
      <w:r>
        <w:t xml:space="preserve"> has the same form in Tamil script and Grantha, it is considered to be in the default script</w:t>
      </w:r>
    </w:p>
    <w:p>
      <w:pPr>
        <w:pStyle w:val="Lista2"/>
      </w:pPr>
      <w:r>
        <w:t xml:space="preserve">but if the default script is Vaṭṭeḻuttu, then the corresponding string would be encoded as </w:t>
      </w:r>
      <w:r>
        <w:rPr>
          <w:rStyle w:val="Code"/>
        </w:rPr>
        <w:t xml:space="preserve">&lt;seg </w:t>
      </w:r>
      <w:r>
        <w:rPr>
          <w:rStyle w:val="Codeattribute"/>
        </w:rPr>
        <w:t>rendition</w:t>
      </w:r>
      <w:r>
        <w:rPr>
          <w:rStyle w:val="Codetext"/>
        </w:rPr>
        <w:t>=</w:t>
      </w:r>
      <w:r>
        <w:rPr>
          <w:rStyle w:val="Codevalue"/>
        </w:rPr>
        <w:t>"class:36768 maturity:83213"</w:t>
      </w:r>
      <w:r>
        <w:rPr>
          <w:rStyle w:val="Code"/>
        </w:rPr>
        <w:t>&gt;</w:t>
      </w:r>
      <w:r>
        <w:rPr>
          <w:rStyle w:val="Codetext"/>
        </w:rPr>
        <w:t>tribhuva</w:t>
      </w:r>
      <w:r>
        <w:rPr>
          <w:rStyle w:val="Code"/>
        </w:rPr>
        <w:t>&lt;/seg&gt;ṉa</w:t>
      </w:r>
      <w:r>
        <w:t xml:space="preserve"> </w:t>
      </w:r>
    </w:p>
    <w:p>
      <w:pPr>
        <w:pStyle w:val="Lista3"/>
      </w:pPr>
      <w:r>
        <w:t xml:space="preserve">since the </w:t>
      </w:r>
      <w:r>
        <w:rPr>
          <w:rStyle w:val="Foreign"/>
        </w:rPr>
        <w:t>va</w:t>
      </w:r>
      <w:r>
        <w:t xml:space="preserve"> seen here is not the form used in Vaṭṭeḻuttu, it has been classified as Grantha like the adjoining glyphs (although it could also be classified as Tamil)</w:t>
      </w:r>
    </w:p>
    <w:p>
      <w:pPr>
        <w:pStyle w:val="Lista"/>
      </w:pPr>
      <w:r>
        <w:t>see also §</w:t>
      </w:r>
      <w:r>
        <w:fldChar w:fldCharType="begin"/>
      </w:r>
      <w:r>
        <w:instrText xml:space="preserve"> REF _Ref233727983 \r \h </w:instrText>
      </w:r>
      <w:r>
        <w:fldChar w:fldCharType="separate"/>
      </w:r>
      <w:r>
        <w:t>14.2.3</w:t>
      </w:r>
      <w:r>
        <w:fldChar w:fldCharType="end"/>
      </w:r>
      <w:r>
        <w:t xml:space="preserve"> for tagging transliterated characters as Grantha outside the edition</w:t>
      </w:r>
    </w:p>
    <w:p>
      <w:pPr>
        <w:pStyle w:val="Cmsor2"/>
      </w:pPr>
      <w:bookmarkStart w:id="690" w:name="_Ref231978881"/>
      <w:bookmarkStart w:id="691" w:name="_Ref231980940"/>
      <w:bookmarkStart w:id="692" w:name="_Ref231985684"/>
      <w:bookmarkStart w:id="693" w:name="_Ref43987586"/>
      <w:r>
        <w:t>Scribal hands</w:t>
      </w:r>
      <w:bookmarkEnd w:id="690"/>
      <w:bookmarkEnd w:id="691"/>
      <w:bookmarkEnd w:id="692"/>
    </w:p>
    <w:p>
      <w:r>
        <w:t>In epigraphic parlance, a “hand” means a particular combination of writing features, often indicative of one scribe taking over the work of another. For the purposes of our encoding, scribal hands are distinguished from the use of different scripts (§</w:t>
      </w:r>
      <w:r>
        <w:fldChar w:fldCharType="begin"/>
      </w:r>
      <w:r>
        <w:instrText xml:space="preserve"> REF _Ref231979678 \r \h </w:instrText>
      </w:r>
      <w:r>
        <w:fldChar w:fldCharType="separate"/>
      </w:r>
      <w:r>
        <w:t>8.2</w:t>
      </w:r>
      <w:r>
        <w:fldChar w:fldCharType="end"/>
      </w:r>
      <w:r>
        <w:t>) and from the use of different lettering styles (§</w:t>
      </w:r>
      <w:r>
        <w:fldChar w:fldCharType="begin"/>
      </w:r>
      <w:r>
        <w:instrText xml:space="preserve"> REF _Ref231978934 \r \h </w:instrText>
      </w:r>
      <w:r>
        <w:fldChar w:fldCharType="separate"/>
      </w:r>
      <w:r>
        <w:t>8.4</w:t>
      </w:r>
      <w:r>
        <w:fldChar w:fldCharType="end"/>
      </w:r>
      <w:r>
        <w:t>). If your inscription is written in several, clearly distinguishable hands (as opposed to different scripts as per §</w:t>
      </w:r>
      <w:r>
        <w:fldChar w:fldCharType="begin"/>
      </w:r>
      <w:r>
        <w:instrText xml:space="preserve"> REF _Ref231979678 \r \h </w:instrText>
      </w:r>
      <w:r>
        <w:fldChar w:fldCharType="separate"/>
      </w:r>
      <w:r>
        <w:t>8.2</w:t>
      </w:r>
      <w:r>
        <w:fldChar w:fldCharType="end"/>
      </w:r>
      <w:r>
        <w:t xml:space="preserve"> or different lettering styles as per §</w:t>
      </w:r>
      <w:r>
        <w:fldChar w:fldCharType="begin"/>
      </w:r>
      <w:r>
        <w:instrText xml:space="preserve"> REF _Ref231978934 \r \h </w:instrText>
      </w:r>
      <w:r>
        <w:fldChar w:fldCharType="separate"/>
      </w:r>
      <w:r>
        <w:t>8.4</w:t>
      </w:r>
      <w:r>
        <w:fldChar w:fldCharType="end"/>
      </w:r>
      <w:r>
        <w:t xml:space="preserve">), you must first provide separate descriptions of these hands in the TEI header and associate an </w:t>
      </w:r>
      <w:r>
        <w:rPr>
          <w:rStyle w:val="Codeattribute"/>
        </w:rPr>
        <w:t>@xml:id</w:t>
      </w:r>
      <w:r>
        <w:t xml:space="preserve"> with each hand as per §</w:t>
      </w:r>
      <w:r>
        <w:fldChar w:fldCharType="begin"/>
      </w:r>
      <w:r>
        <w:instrText xml:space="preserve"> REF _Ref231980025 \r \h </w:instrText>
      </w:r>
      <w:r>
        <w:fldChar w:fldCharType="separate"/>
      </w:r>
      <w:r>
        <w:t>15.2.1.2</w:t>
      </w:r>
      <w:r>
        <w:fldChar w:fldCharType="end"/>
      </w:r>
      <w:r>
        <w:t>, and then encode where each hand appears in your edition as follows.</w:t>
      </w:r>
    </w:p>
    <w:p>
      <w:pPr>
        <w:pStyle w:val="Lista"/>
      </w:pPr>
      <w:r>
        <w:t xml:space="preserve">at each point where writing in a particular begins, including the beginning of the text in the first hand, create the empty element </w:t>
      </w:r>
      <w:r>
        <w:rPr>
          <w:rStyle w:val="Code"/>
        </w:rPr>
        <w:t>&lt;handShift/&gt;</w:t>
      </w:r>
    </w:p>
    <w:p>
      <w:pPr>
        <w:pStyle w:val="Lista2"/>
      </w:pPr>
      <w:r>
        <w:lastRenderedPageBreak/>
        <w:t xml:space="preserve">mandatorily with the attribute </w:t>
      </w:r>
      <w:r>
        <w:rPr>
          <w:rStyle w:val="Codeattribute"/>
        </w:rPr>
        <w:t>@new</w:t>
      </w:r>
      <w:r>
        <w:t>,</w:t>
      </w:r>
      <w:r>
        <w:rPr>
          <w:rStyle w:val="Lbjegyzet-hivatkozs"/>
        </w:rPr>
        <w:footnoteReference w:id="37"/>
      </w:r>
      <w:r>
        <w:t xml:space="preserve"> whose value shall be the XML identifier associated in the TEI header with the hand in question, prefixed with a # sign</w:t>
      </w:r>
    </w:p>
    <w:p>
      <w:pPr>
        <w:pStyle w:val="Lista2"/>
        <w:rPr>
          <w:rStyle w:val="Code"/>
          <w:rFonts w:ascii="Gentium" w:hAnsi="Gentium" w:cs="Tiro Devanagari Sanskrit"/>
          <w:noProof w:val="0"/>
          <w:color w:val="auto"/>
          <w:shd w:val="clear" w:color="auto" w:fill="auto"/>
        </w:rPr>
      </w:pPr>
      <w:r>
        <w:t xml:space="preserve">e.g. </w:t>
      </w:r>
      <w:r>
        <w:rPr>
          <w:rStyle w:val="Code"/>
        </w:rPr>
        <w:t xml:space="preserve">&lt;handShift </w:t>
      </w:r>
      <w:r>
        <w:rPr>
          <w:rStyle w:val="Codeattribute"/>
        </w:rPr>
        <w:t>new</w:t>
      </w:r>
      <w:r>
        <w:rPr>
          <w:rStyle w:val="Code"/>
        </w:rPr>
        <w:t>=</w:t>
      </w:r>
      <w:r>
        <w:rPr>
          <w:rStyle w:val="Codevalue"/>
        </w:rPr>
        <w:t>"#hand1"</w:t>
      </w:r>
      <w:r>
        <w:rPr>
          <w:rStyle w:val="Code"/>
        </w:rPr>
        <w:t>/&gt;</w:t>
      </w:r>
    </w:p>
    <w:p>
      <w:pPr>
        <w:pStyle w:val="Lista"/>
      </w:pPr>
      <w:r>
        <w:t xml:space="preserve">if the hand change also involves a script change (i.e. to a script inventory of a different class or different maturity), then add the attribute </w:t>
      </w:r>
      <w:r>
        <w:rPr>
          <w:rStyle w:val="Codeattribute"/>
        </w:rPr>
        <w:t>@rendition</w:t>
      </w:r>
      <w:r>
        <w:t xml:space="preserve"> (as per §</w:t>
      </w:r>
      <w:r>
        <w:fldChar w:fldCharType="begin"/>
      </w:r>
      <w:r>
        <w:instrText xml:space="preserve"> REF _Ref231978545 \r \h </w:instrText>
      </w:r>
      <w:r>
        <w:fldChar w:fldCharType="separate"/>
      </w:r>
      <w:r>
        <w:t>8.2.1</w:t>
      </w:r>
      <w:r>
        <w:fldChar w:fldCharType="end"/>
      </w:r>
      <w:r>
        <w:t xml:space="preserve">) to all instances of </w:t>
      </w:r>
      <w:r>
        <w:rPr>
          <w:rStyle w:val="Code"/>
        </w:rPr>
        <w:t>&lt;handShift/&gt;</w:t>
      </w:r>
    </w:p>
    <w:p>
      <w:pPr>
        <w:pStyle w:val="Lista2"/>
      </w:pPr>
      <w:r>
        <w:t xml:space="preserve">when script is encoded on </w:t>
      </w:r>
      <w:r>
        <w:rPr>
          <w:rStyle w:val="Code"/>
        </w:rPr>
        <w:t>&lt;handShift/&gt;</w:t>
      </w:r>
      <w:r>
        <w:t xml:space="preserve"> elements, a default script must still be encoded on the edition division itself (§</w:t>
      </w:r>
      <w:r>
        <w:fldChar w:fldCharType="begin"/>
      </w:r>
      <w:r>
        <w:instrText xml:space="preserve"> REF _Ref231978625 \r \h </w:instrText>
      </w:r>
      <w:r>
        <w:fldChar w:fldCharType="separate"/>
      </w:r>
      <w:r>
        <w:t>8.2.2</w:t>
      </w:r>
      <w:r>
        <w:fldChar w:fldCharType="end"/>
      </w:r>
      <w:r>
        <w:t>)</w:t>
      </w:r>
    </w:p>
    <w:p>
      <w:pPr>
        <w:pStyle w:val="Cmsor2"/>
      </w:pPr>
      <w:bookmarkStart w:id="694" w:name="_Ref231978934"/>
      <w:r>
        <w:t>Lettering</w:t>
      </w:r>
      <w:bookmarkEnd w:id="693"/>
      <w:bookmarkEnd w:id="694"/>
    </w:p>
    <w:p>
      <w:r>
        <w:rPr>
          <w:lang w:eastAsia="en-US" w:bidi="ar-SA"/>
        </w:rPr>
        <w:t xml:space="preserve">This section is concerned with </w:t>
      </w:r>
      <w:r>
        <w:t>changes in lettering, i.e. the style in which the glyphs of a particular script are formed. A change in the lettering of a written document usually conveys a deliberate emphasis on a circumscribed section of the text, and is distinguished from the use of a different script (§</w:t>
      </w:r>
      <w:r>
        <w:fldChar w:fldCharType="begin"/>
      </w:r>
      <w:r>
        <w:instrText xml:space="preserve"> REF _Ref231979678 \r \h </w:instrText>
      </w:r>
      <w:r>
        <w:fldChar w:fldCharType="separate"/>
      </w:r>
      <w:r>
        <w:t>8.2</w:t>
      </w:r>
      <w:r>
        <w:fldChar w:fldCharType="end"/>
      </w:r>
      <w:r>
        <w:t>) where the basic shapes of glyphs are selected from a different inventory of graphic signs rather than merely being executed differently, as well as from scribal hands (§</w:t>
      </w:r>
      <w:r>
        <w:fldChar w:fldCharType="begin"/>
      </w:r>
      <w:r>
        <w:instrText xml:space="preserve"> REF _Ref231985684 \r \h </w:instrText>
      </w:r>
      <w:r>
        <w:fldChar w:fldCharType="separate"/>
      </w:r>
      <w:r>
        <w:t>8.3</w:t>
      </w:r>
      <w:r>
        <w:fldChar w:fldCharType="end"/>
      </w:r>
      <w:r>
        <w:t>) which mean the individual writing styles of different persons.</w:t>
      </w:r>
    </w:p>
    <w:p>
      <w:pPr>
        <w:pStyle w:val="Lista"/>
      </w:pPr>
      <w:r>
        <w:t xml:space="preserve">in DHARMA editions, special lettering may be optionally encoded using the attribute </w:t>
      </w:r>
      <w:r>
        <w:rPr>
          <w:rStyle w:val="Codeattribute"/>
        </w:rPr>
        <w:t>@rend</w:t>
      </w:r>
      <w:r>
        <w:t xml:space="preserve"> with one of the following values</w:t>
      </w:r>
    </w:p>
    <w:p>
      <w:pPr>
        <w:pStyle w:val="Lista2"/>
      </w:pPr>
      <w:r>
        <w:rPr>
          <w:rStyle w:val="Codevalue"/>
        </w:rPr>
        <w:t>"ornate"</w:t>
      </w:r>
    </w:p>
    <w:p>
      <w:pPr>
        <w:pStyle w:val="Lista2"/>
      </w:pPr>
      <w:r>
        <w:rPr>
          <w:rStyle w:val="Codevalue"/>
        </w:rPr>
        <w:t>"large"</w:t>
      </w:r>
    </w:p>
    <w:p>
      <w:pPr>
        <w:pStyle w:val="Lista2"/>
      </w:pPr>
      <w:r>
        <w:rPr>
          <w:rStyle w:val="Codevalue"/>
        </w:rPr>
        <w:t>"small"</w:t>
      </w:r>
    </w:p>
    <w:p>
      <w:pPr>
        <w:pStyle w:val="Lista2"/>
      </w:pPr>
      <w:r>
        <w:rPr>
          <w:rStyle w:val="Codevalue"/>
        </w:rPr>
        <w:t>"tall"</w:t>
      </w:r>
    </w:p>
    <w:p>
      <w:pPr>
        <w:pStyle w:val="Lista2"/>
      </w:pPr>
      <w:r>
        <w:rPr>
          <w:rStyle w:val="Codevalue"/>
        </w:rPr>
        <w:t>"wide"</w:t>
      </w:r>
    </w:p>
    <w:p>
      <w:pPr>
        <w:pStyle w:val="Lista2"/>
      </w:pPr>
      <w:r>
        <w:rPr>
          <w:rStyle w:val="Codevalue"/>
        </w:rPr>
        <w:t>"expanded"</w:t>
      </w:r>
      <w:r>
        <w:t xml:space="preserve"> </w:t>
      </w:r>
      <w:r>
        <w:rPr>
          <w:noProof/>
        </w:rPr>
        <w:t>(</w:t>
      </w:r>
      <w:r>
        <w:t>to encode widely spaced characters)</w:t>
      </w:r>
    </w:p>
    <w:p>
      <w:pPr>
        <w:pStyle w:val="Lista2"/>
      </w:pPr>
      <w:r>
        <w:t xml:space="preserve">if more than one of the above is definitely relevant for a particular segment of text, more than one of the above tokens may be used in the value of </w:t>
      </w:r>
      <w:r>
        <w:rPr>
          <w:rStyle w:val="Codeattribute"/>
        </w:rPr>
        <w:t>@rend</w:t>
      </w:r>
      <w:r>
        <w:t>, in the order as listed above, and separated by spaces</w:t>
      </w:r>
    </w:p>
    <w:p>
      <w:pPr>
        <w:pStyle w:val="Lista"/>
      </w:pPr>
      <w:r>
        <w:t xml:space="preserve">when the chunk of text highlighted by different lettering is coterminous with an existing block-level container (viz. </w:t>
      </w:r>
      <w:r>
        <w:rPr>
          <w:rStyle w:val="Code"/>
        </w:rPr>
        <w:t>&lt;p&gt;</w:t>
      </w:r>
      <w:r>
        <w:t xml:space="preserve">, </w:t>
      </w:r>
      <w:r>
        <w:rPr>
          <w:rStyle w:val="Code"/>
        </w:rPr>
        <w:t>&lt;ab&gt;</w:t>
      </w:r>
      <w:r>
        <w:t xml:space="preserve">, </w:t>
      </w:r>
      <w:r>
        <w:rPr>
          <w:rStyle w:val="Code"/>
        </w:rPr>
        <w:t>&lt;lg&gt;</w:t>
      </w:r>
      <w:r>
        <w:t xml:space="preserve">, </w:t>
      </w:r>
      <w:r>
        <w:rPr>
          <w:rStyle w:val="Code"/>
        </w:rPr>
        <w:t>&lt;l&gt;</w:t>
      </w:r>
      <w:r>
        <w:t xml:space="preserve"> or </w:t>
      </w:r>
      <w:r>
        <w:rPr>
          <w:rStyle w:val="Code"/>
        </w:rPr>
        <w:t>&lt;fw&gt;</w:t>
      </w:r>
      <w:r>
        <w:t xml:space="preserve">), add </w:t>
      </w:r>
      <w:r>
        <w:rPr>
          <w:rStyle w:val="Codeattribute"/>
        </w:rPr>
        <w:t>@rend</w:t>
      </w:r>
      <w:r>
        <w:t xml:space="preserve"> to that container</w:t>
      </w:r>
    </w:p>
    <w:p>
      <w:pPr>
        <w:pStyle w:val="Lista2"/>
      </w:pPr>
      <w:r>
        <w:t xml:space="preserve">e.g. </w:t>
      </w:r>
      <w:r>
        <w:rPr>
          <w:rStyle w:val="Code"/>
        </w:rPr>
        <w:t xml:space="preserve">&lt;ab </w:t>
      </w:r>
      <w:r>
        <w:rPr>
          <w:rStyle w:val="Codeattribute"/>
        </w:rPr>
        <w:t>rend</w:t>
      </w:r>
      <w:r>
        <w:rPr>
          <w:rStyle w:val="Code"/>
        </w:rPr>
        <w:t>=</w:t>
      </w:r>
      <w:r>
        <w:rPr>
          <w:rStyle w:val="Codevalue"/>
        </w:rPr>
        <w:t>"ornate"</w:t>
      </w:r>
      <w:r>
        <w:rPr>
          <w:rStyle w:val="Code"/>
        </w:rPr>
        <w:t>&gt;</w:t>
      </w:r>
      <w:r>
        <w:rPr>
          <w:rStyle w:val="Codetext"/>
        </w:rPr>
        <w:t>svahasto mama mahārājādhijrāja-śrīharṣasya</w:t>
      </w:r>
      <w:r>
        <w:rPr>
          <w:rStyle w:val="Code"/>
        </w:rPr>
        <w:t>&lt;/ab&gt;</w:t>
      </w:r>
    </w:p>
    <w:p>
      <w:pPr>
        <w:pStyle w:val="Lista"/>
      </w:pPr>
      <w:r>
        <w:t xml:space="preserve">otherwise, create the element </w:t>
      </w:r>
      <w:r>
        <w:rPr>
          <w:rStyle w:val="Code"/>
        </w:rPr>
        <w:t>&lt;hi&gt;</w:t>
      </w:r>
      <w:r>
        <w:t xml:space="preserve"> (for “highlight” to wrap the chunk of text and add </w:t>
      </w:r>
      <w:r>
        <w:rPr>
          <w:rStyle w:val="Codeattribute"/>
        </w:rPr>
        <w:t>@rend</w:t>
      </w:r>
      <w:r>
        <w:t xml:space="preserve"> to this element</w:t>
      </w:r>
    </w:p>
    <w:bookmarkEnd w:id="679"/>
    <w:bookmarkEnd w:id="680"/>
    <w:bookmarkEnd w:id="681"/>
    <w:p>
      <w:pPr>
        <w:pStyle w:val="Cmsor2"/>
      </w:pPr>
      <w:r>
        <w:t>Line layout</w:t>
      </w:r>
    </w:p>
    <w:p>
      <w:r>
        <w:t>As pointed out in §</w:t>
      </w:r>
      <w:r>
        <w:fldChar w:fldCharType="begin"/>
      </w:r>
      <w:r>
        <w:instrText xml:space="preserve"> REF _Ref224720139 \r \h </w:instrText>
      </w:r>
      <w:r>
        <w:fldChar w:fldCharType="separate"/>
      </w:r>
      <w:r>
        <w:t>4.5</w:t>
      </w:r>
      <w:r>
        <w:fldChar w:fldCharType="end"/>
      </w:r>
      <w:r>
        <w:t xml:space="preserve">, the concept of an epigraphic line implies no presumptions regarding the position, directionality, orientation and shape of lines. When deemed expedient, the alignment of lines and the directionality and orientation of glyphs within a line may be encoded optionally as introduced below. The attributes encoding these layout features shall be added to line beginnings in DHARMA practice, and never to any other elements. Attributes encoded on “virtual containers” such as </w:t>
      </w:r>
      <w:r>
        <w:rPr>
          <w:rStyle w:val="Code"/>
        </w:rPr>
        <w:t>&lt;lb/&gt;</w:t>
      </w:r>
      <w:r>
        <w:t xml:space="preserve"> elements are understood by convention to apply to the text from such an element up to the next element of the same kind. </w:t>
      </w:r>
    </w:p>
    <w:p>
      <w:pPr>
        <w:pStyle w:val="Cmsor3"/>
      </w:pPr>
      <w:bookmarkStart w:id="695" w:name="_lj3p4hxrzblk" w:colFirst="0" w:colLast="0"/>
      <w:bookmarkStart w:id="696" w:name="_c0467s7j2myi" w:colFirst="0" w:colLast="0"/>
      <w:bookmarkStart w:id="697" w:name="_Ref43987598"/>
      <w:bookmarkStart w:id="698" w:name="_Toc242976675"/>
      <w:bookmarkEnd w:id="695"/>
      <w:bookmarkEnd w:id="696"/>
      <w:r>
        <w:t>Alignment</w:t>
      </w:r>
      <w:bookmarkEnd w:id="697"/>
      <w:bookmarkEnd w:id="698"/>
    </w:p>
    <w:p>
      <w:r>
        <w:t xml:space="preserve">We assume by default that the lines of an inscription are aligned to the left and more or less justified to the right margin. Large-scale deviations from this pattern shall not be encoded in the markup but rather discussed in your description of the layout. Individual lines aligned differently than the majority of the lines in an inscription may be optionally encoded by adding the attribute </w:t>
      </w:r>
      <w:r>
        <w:rPr>
          <w:rStyle w:val="Codeattribute"/>
        </w:rPr>
        <w:t>@style</w:t>
      </w:r>
      <w:r>
        <w:t xml:space="preserve"> to the corresponding </w:t>
      </w:r>
      <w:r>
        <w:rPr>
          <w:rStyle w:val="Code"/>
        </w:rPr>
        <w:t>&lt;lb/&gt;</w:t>
      </w:r>
      <w:r>
        <w:t xml:space="preserve"> element.</w:t>
      </w:r>
    </w:p>
    <w:p>
      <w:pPr>
        <w:pStyle w:val="Lista"/>
      </w:pPr>
      <w:r>
        <w:lastRenderedPageBreak/>
        <w:t>the permitted values of</w:t>
      </w:r>
      <w:r>
        <w:rPr>
          <w:b/>
          <w:bCs/>
        </w:rPr>
        <w:t xml:space="preserve"> </w:t>
      </w:r>
      <w:r>
        <w:rPr>
          <w:rStyle w:val="Codeattribute"/>
        </w:rPr>
        <w:t>@style</w:t>
      </w:r>
      <w:r>
        <w:t xml:space="preserve"> for encoding alignment are as follows (to be used exactly as shown here, including spacing, hyphenation and US spelling)</w:t>
      </w:r>
    </w:p>
    <w:p>
      <w:pPr>
        <w:pStyle w:val="Lista2"/>
      </w:pPr>
      <w:r>
        <w:rPr>
          <w:rStyle w:val="Codevalue"/>
        </w:rPr>
        <w:t>"text-align: right"</w:t>
      </w:r>
      <w:r>
        <w:t xml:space="preserve"> for right-aligned text</w:t>
      </w:r>
    </w:p>
    <w:p>
      <w:pPr>
        <w:pStyle w:val="Lista2"/>
      </w:pPr>
      <w:r>
        <w:rPr>
          <w:rStyle w:val="Codevalue"/>
        </w:rPr>
        <w:t>"text-align: center"</w:t>
      </w:r>
      <w:r>
        <w:t xml:space="preserve"> for centre-aligned text</w:t>
      </w:r>
    </w:p>
    <w:p>
      <w:pPr>
        <w:pStyle w:val="Lista2"/>
      </w:pPr>
      <w:r>
        <w:rPr>
          <w:rStyle w:val="Codevalue"/>
        </w:rPr>
        <w:t>"text-align: left"</w:t>
      </w:r>
      <w:r>
        <w:t xml:space="preserve"> for left-aligned text</w:t>
      </w:r>
    </w:p>
    <w:p>
      <w:pPr>
        <w:pStyle w:val="Lista3"/>
      </w:pPr>
      <w:r>
        <w:t>to be used only if the majority of the lines are aligned differently and this is mentioned in your layout description</w:t>
      </w:r>
    </w:p>
    <w:p>
      <w:pPr>
        <w:pStyle w:val="Lista2"/>
      </w:pPr>
      <w:r>
        <w:rPr>
          <w:rStyle w:val="Codevalue"/>
        </w:rPr>
        <w:t>"text-align: justify"</w:t>
      </w:r>
      <w:r>
        <w:t xml:space="preserve"> for text conspicuously justified to both margins</w:t>
      </w:r>
    </w:p>
    <w:p>
      <w:pPr>
        <w:pStyle w:val="Lista3"/>
      </w:pPr>
      <w:r>
        <w:t xml:space="preserve">to be used only if the content of a line would fit in a much narrower space and the creator of the inscription deliberately made it flush with both the left and right margin by increasing inter-word or inter-character spaces in a relatively regular manner </w:t>
      </w:r>
      <w:r>
        <w:rPr>
          <w:noProof/>
        </w:rPr>
        <w:t>(</w:t>
      </w:r>
      <w:r>
        <w:t>i.e. increased spaces are present between all or most separable words of the line, or between all or most characters as applicable)</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699" w:name="_Ref225762134"/>
            <w:r>
              <w:t xml:space="preserve">Exhibit </w:t>
            </w:r>
            <w:fldSimple w:instr=" STYLEREF 2 \s ">
              <w:r>
                <w:rPr>
                  <w:noProof/>
                </w:rPr>
                <w:t>8.5</w:t>
              </w:r>
            </w:fldSimple>
            <w:r>
              <w:t>.</w:t>
            </w:r>
            <w:fldSimple w:instr=" SEQ Exhibit \* ALPHABETIC \s 2 ">
              <w:r>
                <w:rPr>
                  <w:noProof/>
                </w:rPr>
                <w:t>A</w:t>
              </w:r>
            </w:fldSimple>
            <w:bookmarkEnd w:id="699"/>
            <w:r>
              <w:t>: encoding line alignment</w:t>
            </w:r>
          </w:p>
        </w:tc>
      </w:tr>
      <w:tr>
        <w:tc>
          <w:tcPr>
            <w:tcW w:w="5000" w:type="pct"/>
            <w:vAlign w:val="center"/>
          </w:tcPr>
          <w:p>
            <w:pPr>
              <w:pStyle w:val="Image"/>
              <w:widowControl/>
              <w:rPr>
                <w:rStyle w:val="Code"/>
              </w:rPr>
            </w:pPr>
            <w:r>
              <w:drawing>
                <wp:inline distT="0" distB="0" distL="0" distR="0">
                  <wp:extent cx="5397500" cy="2593340"/>
                  <wp:effectExtent l="0" t="0" r="0" b="0"/>
                  <wp:docPr id="271170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7500" cy="2593340"/>
                          </a:xfrm>
                          <a:prstGeom prst="rect">
                            <a:avLst/>
                          </a:prstGeom>
                          <a:noFill/>
                          <a:ln>
                            <a:noFill/>
                          </a:ln>
                        </pic:spPr>
                      </pic:pic>
                    </a:graphicData>
                  </a:graphic>
                </wp:inline>
              </w:drawing>
            </w:r>
          </w:p>
        </w:tc>
      </w:tr>
      <w:tr>
        <w:tc>
          <w:tcPr>
            <w:tcW w:w="5000" w:type="pct"/>
          </w:tcPr>
          <w:p>
            <w:pPr>
              <w:pStyle w:val="CodeParagraph"/>
              <w:rPr>
                <w:rStyle w:val="Code"/>
              </w:rPr>
            </w:pPr>
            <w:r>
              <w:rPr>
                <w:rStyle w:val="Code"/>
              </w:rPr>
              <w:t xml:space="preserve">&lt;lb </w:t>
            </w:r>
            <w:r>
              <w:rPr>
                <w:rStyle w:val="Codeattribute"/>
              </w:rPr>
              <w:t>n</w:t>
            </w:r>
            <w:r>
              <w:rPr>
                <w:rStyle w:val="Code"/>
              </w:rPr>
              <w:t>=</w:t>
            </w:r>
            <w:r>
              <w:rPr>
                <w:rStyle w:val="Codevalue"/>
              </w:rPr>
              <w:t>"1"</w:t>
            </w:r>
            <w:r>
              <w:rPr>
                <w:rStyle w:val="Code"/>
              </w:rPr>
              <w:t xml:space="preserve"> </w:t>
            </w:r>
            <w:r>
              <w:rPr>
                <w:rStyle w:val="Codeattribute"/>
              </w:rPr>
              <w:t>style</w:t>
            </w:r>
            <w:r>
              <w:rPr>
                <w:rStyle w:val="Code"/>
              </w:rPr>
              <w:t>=</w:t>
            </w:r>
            <w:r>
              <w:rPr>
                <w:rStyle w:val="Codevalue"/>
              </w:rPr>
              <w:t>"text-align: center"</w:t>
            </w:r>
            <w:r>
              <w:rPr>
                <w:rStyle w:val="Code"/>
              </w:rPr>
              <w:t>/&gt;&lt;ab&gt;</w:t>
            </w:r>
            <w:r>
              <w:rPr>
                <w:rStyle w:val="Codetext"/>
              </w:rPr>
              <w:t>J. R. R. Tolkien: The Hobbit</w:t>
            </w:r>
            <w:r>
              <w:rPr>
                <w:rStyle w:val="Code"/>
              </w:rPr>
              <w:t>&lt;/ab&gt;</w:t>
            </w:r>
            <w:r>
              <w:rPr>
                <w:rStyle w:val="Codetext"/>
              </w:rPr>
              <w:br/>
            </w:r>
            <w:r>
              <w:rPr>
                <w:rStyle w:val="Code"/>
              </w:rPr>
              <w:t xml:space="preserve">&lt;lb </w:t>
            </w:r>
            <w:r>
              <w:rPr>
                <w:rStyle w:val="Codeattribute"/>
              </w:rPr>
              <w:t>n</w:t>
            </w:r>
            <w:r>
              <w:rPr>
                <w:rStyle w:val="Code"/>
              </w:rPr>
              <w:t>=</w:t>
            </w:r>
            <w:r>
              <w:rPr>
                <w:rStyle w:val="Codevalue"/>
              </w:rPr>
              <w:t>"2"</w:t>
            </w:r>
            <w:r>
              <w:rPr>
                <w:rStyle w:val="Code"/>
              </w:rPr>
              <w:t>/&gt;&lt;p&gt;</w:t>
            </w:r>
            <w:r>
              <w:rPr>
                <w:rStyle w:val="Codetext"/>
              </w:rPr>
              <w:t>In a hole in the ground...</w:t>
            </w:r>
            <w:r>
              <w:rPr>
                <w:rStyle w:val="Codetext"/>
              </w:rPr>
              <w:br/>
            </w:r>
            <w:r>
              <w:rPr>
                <w:rStyle w:val="Code"/>
              </w:rPr>
              <w:t>...</w:t>
            </w:r>
          </w:p>
          <w:p>
            <w:pPr>
              <w:pStyle w:val="CodeParagraph"/>
              <w:rPr>
                <w:rStyle w:val="Code"/>
              </w:rPr>
            </w:pPr>
            <w:r>
              <w:rPr>
                <w:rStyle w:val="Code"/>
              </w:rPr>
              <w:t xml:space="preserve">&lt;lb </w:t>
            </w:r>
            <w:r>
              <w:rPr>
                <w:rStyle w:val="Codeattribute"/>
              </w:rPr>
              <w:t>n</w:t>
            </w:r>
            <w:r>
              <w:rPr>
                <w:rStyle w:val="Code"/>
              </w:rPr>
              <w:t>=</w:t>
            </w:r>
            <w:r>
              <w:rPr>
                <w:rStyle w:val="Codevalue"/>
              </w:rPr>
              <w:t>"6"</w:t>
            </w:r>
            <w:r>
              <w:rPr>
                <w:rStyle w:val="Code"/>
              </w:rPr>
              <w:t>/&gt;</w:t>
            </w:r>
            <w:r>
              <w:rPr>
                <w:rStyle w:val="Codetext"/>
              </w:rPr>
              <w:t>hobbit-hole, and that means comfort.</w:t>
            </w:r>
            <w:r>
              <w:rPr>
                <w:rStyle w:val="Code"/>
              </w:rPr>
              <w:t>&lt;/p&gt;</w:t>
            </w:r>
          </w:p>
          <w:p>
            <w:pPr>
              <w:pStyle w:val="CodeParagraph"/>
            </w:pPr>
            <w:r>
              <w:rPr>
                <w:rStyle w:val="Code"/>
              </w:rPr>
              <w:t xml:space="preserve">&lt;lb </w:t>
            </w:r>
            <w:r>
              <w:rPr>
                <w:rStyle w:val="Codeattribute"/>
              </w:rPr>
              <w:t>n</w:t>
            </w:r>
            <w:r>
              <w:rPr>
                <w:rStyle w:val="Code"/>
              </w:rPr>
              <w:t>=</w:t>
            </w:r>
            <w:r>
              <w:rPr>
                <w:rStyle w:val="Codevalue"/>
              </w:rPr>
              <w:t>"7"</w:t>
            </w:r>
            <w:r>
              <w:rPr>
                <w:rStyle w:val="Code"/>
              </w:rPr>
              <w:t xml:space="preserve"> </w:t>
            </w:r>
            <w:r>
              <w:rPr>
                <w:rStyle w:val="Codeattribute"/>
              </w:rPr>
              <w:t>style</w:t>
            </w:r>
            <w:r>
              <w:rPr>
                <w:rStyle w:val="Code"/>
              </w:rPr>
              <w:t>=</w:t>
            </w:r>
            <w:r>
              <w:rPr>
                <w:rStyle w:val="Codevalue"/>
              </w:rPr>
              <w:t>"text-align: right"</w:t>
            </w:r>
            <w:r>
              <w:rPr>
                <w:rStyle w:val="Code"/>
              </w:rPr>
              <w:t>/&gt;&lt;ab&gt;</w:t>
            </w:r>
            <w:r>
              <w:rPr>
                <w:rStyle w:val="Codetext"/>
              </w:rPr>
              <w:t>23 December 2024</w:t>
            </w:r>
            <w:r>
              <w:rPr>
                <w:rStyle w:val="Code"/>
              </w:rPr>
              <w:t>&lt;/ab&gt;</w:t>
            </w:r>
          </w:p>
        </w:tc>
      </w:tr>
    </w:tbl>
    <w:p>
      <w:pPr>
        <w:pStyle w:val="Cmsor3"/>
        <w:spacing w:before="360"/>
      </w:pPr>
      <w:bookmarkStart w:id="700" w:name="_gjt7ggwzx2z5" w:colFirst="0" w:colLast="0"/>
      <w:bookmarkStart w:id="701" w:name="_Ref43984782"/>
      <w:bookmarkStart w:id="702" w:name="_Toc242976676"/>
      <w:bookmarkEnd w:id="700"/>
      <w:r>
        <w:t>Directionality and orientation</w:t>
      </w:r>
      <w:bookmarkEnd w:id="701"/>
      <w:bookmarkEnd w:id="702"/>
    </w:p>
    <w:p>
      <w:r>
        <w:t xml:space="preserve">The default writing mode for our inscriptions is horizontal top-to-bottom, which means that lines run horizontally </w:t>
      </w:r>
      <w:r>
        <w:rPr>
          <w:noProof/>
        </w:rPr>
        <w:t>(</w:t>
      </w:r>
      <w:r>
        <w:t xml:space="preserve">and left to right in the scripts we work with), while successive lines are placed one below the other. Some inscriptions may be written throughout in a different writing mode </w:t>
      </w:r>
      <w:r>
        <w:rPr>
          <w:noProof/>
        </w:rPr>
        <w:t>(</w:t>
      </w:r>
      <w:r>
        <w:t xml:space="preserve">e.g. vertically, with lines proceeding left to right; or horizontally, with lines proceeding left to right, but in a bottom to top order); if this is the case, it should be recorded in your annotation. Lines oriented differently than the majority of the lines in an inscription may be optionally encoded by adding the attribute </w:t>
      </w:r>
      <w:r>
        <w:rPr>
          <w:rStyle w:val="Codeattribute"/>
        </w:rPr>
        <w:t>@rend</w:t>
      </w:r>
      <w:r>
        <w:t xml:space="preserve"> to the corresponding </w:t>
      </w:r>
      <w:r>
        <w:rPr>
          <w:rStyle w:val="Code"/>
        </w:rPr>
        <w:t>&lt;lb/&gt;</w:t>
      </w:r>
      <w:r>
        <w:t xml:space="preserve"> element.</w:t>
      </w:r>
      <w:r>
        <w:rPr>
          <w:rStyle w:val="Lbjegyzet-hivatkozs"/>
        </w:rPr>
        <w:footnoteReference w:id="38"/>
      </w:r>
    </w:p>
    <w:p>
      <w:pPr>
        <w:pStyle w:val="Lista"/>
        <w:keepNext/>
      </w:pPr>
      <w:r>
        <w:lastRenderedPageBreak/>
        <w:t>the permitted values of</w:t>
      </w:r>
      <w:r>
        <w:rPr>
          <w:b/>
          <w:bCs/>
        </w:rPr>
        <w:t xml:space="preserve"> </w:t>
      </w:r>
      <w:r>
        <w:rPr>
          <w:rStyle w:val="Codeattribute"/>
        </w:rPr>
        <w:t>@rend</w:t>
      </w:r>
      <w:r>
        <w:t xml:space="preserve"> for encoding the combinations of directionality and orientation illustrated in </w:t>
      </w:r>
      <w:r>
        <w:fldChar w:fldCharType="begin"/>
      </w:r>
      <w:r>
        <w:instrText xml:space="preserve"> REF _Ref232000441 \h </w:instrText>
      </w:r>
      <w:r>
        <w:fldChar w:fldCharType="separate"/>
      </w:r>
      <w:r>
        <w:t xml:space="preserve">Exhibit </w:t>
      </w:r>
      <w:r>
        <w:rPr>
          <w:noProof/>
        </w:rPr>
        <w:t>8.5</w:t>
      </w:r>
      <w:r>
        <w:t>.</w:t>
      </w:r>
      <w:r>
        <w:rPr>
          <w:noProof/>
        </w:rPr>
        <w:t>B</w:t>
      </w:r>
      <w:r>
        <w:fldChar w:fldCharType="end"/>
      </w:r>
      <w:r>
        <w:t>, are as follows:</w:t>
      </w:r>
    </w:p>
    <w:tbl>
      <w:tblPr>
        <w:tblStyle w:val="CodeSampleTable"/>
        <w:tblpPr w:leftFromText="181" w:rightFromText="181" w:vertAnchor="text" w:tblpXSpec="right" w:tblpY="1"/>
        <w:tblOverlap w:val="never"/>
        <w:tblW w:w="1984" w:type="pct"/>
        <w:tblLook w:val="04A0" w:firstRow="1" w:lastRow="0" w:firstColumn="1" w:lastColumn="0" w:noHBand="0" w:noVBand="1"/>
      </w:tblPr>
      <w:tblGrid>
        <w:gridCol w:w="3820"/>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703" w:name="_Ref232000441"/>
            <w:r>
              <w:t xml:space="preserve">Exhibit </w:t>
            </w:r>
            <w:fldSimple w:instr=" STYLEREF 2 \s ">
              <w:r>
                <w:rPr>
                  <w:noProof/>
                </w:rPr>
                <w:t>8.5</w:t>
              </w:r>
            </w:fldSimple>
            <w:r>
              <w:t>.</w:t>
            </w:r>
            <w:fldSimple w:instr=" SEQ Exhibit \* ALPHABETIC \s 2 ">
              <w:r>
                <w:rPr>
                  <w:noProof/>
                </w:rPr>
                <w:t>B</w:t>
              </w:r>
            </w:fldSimple>
            <w:bookmarkEnd w:id="703"/>
            <w:r>
              <w:t>: line directionality and orientation</w:t>
            </w:r>
          </w:p>
        </w:tc>
      </w:tr>
      <w:tr>
        <w:tc>
          <w:tcPr>
            <w:tcW w:w="5000" w:type="pct"/>
            <w:vAlign w:val="center"/>
          </w:tcPr>
          <w:p>
            <w:pPr>
              <w:pStyle w:val="Image"/>
              <w:widowControl/>
              <w:rPr>
                <w:rStyle w:val="Code"/>
              </w:rPr>
            </w:pPr>
            <w:r>
              <w:drawing>
                <wp:inline distT="0" distB="0" distL="0" distR="0">
                  <wp:extent cx="2340610" cy="3241040"/>
                  <wp:effectExtent l="0" t="0" r="2540" b="0"/>
                  <wp:docPr id="56706050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340610" cy="3241040"/>
                          </a:xfrm>
                          <a:prstGeom prst="rect">
                            <a:avLst/>
                          </a:prstGeom>
                          <a:noFill/>
                          <a:ln>
                            <a:noFill/>
                          </a:ln>
                        </pic:spPr>
                      </pic:pic>
                    </a:graphicData>
                  </a:graphic>
                </wp:inline>
              </w:drawing>
            </w:r>
          </w:p>
        </w:tc>
      </w:tr>
    </w:tbl>
    <w:p>
      <w:pPr>
        <w:pStyle w:val="Lista2"/>
      </w:pPr>
      <w:r>
        <w:t xml:space="preserve"> A. </w:t>
      </w:r>
      <w:r>
        <w:rPr>
          <w:rStyle w:val="Codevalue"/>
        </w:rPr>
        <w:t>"bt-rotated"</w:t>
      </w:r>
      <w:r>
        <w:t xml:space="preserve"> – bottom to top, with the tops of characters facing left</w:t>
      </w:r>
    </w:p>
    <w:p>
      <w:pPr>
        <w:pStyle w:val="Lista2"/>
      </w:pPr>
      <w:r>
        <w:t xml:space="preserve">B. </w:t>
      </w:r>
      <w:r>
        <w:rPr>
          <w:rStyle w:val="Codevalue"/>
        </w:rPr>
        <w:t>"tb-rotated"</w:t>
      </w:r>
      <w:r>
        <w:t xml:space="preserve"> – top to bottom, with the tops of characters facing right</w:t>
      </w:r>
    </w:p>
    <w:p>
      <w:pPr>
        <w:pStyle w:val="Lista2"/>
      </w:pPr>
      <w:r>
        <w:t xml:space="preserve">C. </w:t>
      </w:r>
      <w:r>
        <w:rPr>
          <w:rStyle w:val="Codevalue"/>
        </w:rPr>
        <w:t>"bt-upright"</w:t>
      </w:r>
      <w:r>
        <w:t xml:space="preserve"> – bottom to top, with the tops of characters facing upward</w:t>
      </w:r>
    </w:p>
    <w:p>
      <w:pPr>
        <w:pStyle w:val="Lista2"/>
      </w:pPr>
      <w:r>
        <w:t xml:space="preserve">D. </w:t>
      </w:r>
      <w:r>
        <w:rPr>
          <w:rStyle w:val="Codevalue"/>
        </w:rPr>
        <w:t>"tb-upright"</w:t>
      </w:r>
      <w:r>
        <w:t xml:space="preserve"> – top to bottom, with the tops of characters facing upward</w:t>
      </w:r>
    </w:p>
    <w:p>
      <w:pPr>
        <w:pStyle w:val="Lista2"/>
      </w:pPr>
      <w:r>
        <w:t xml:space="preserve">E. </w:t>
      </w:r>
      <w:r>
        <w:rPr>
          <w:rStyle w:val="Codevalue"/>
        </w:rPr>
        <w:t>"rl-upright"</w:t>
      </w:r>
      <w:r>
        <w:t xml:space="preserve"> – right to left, with characters in their regular orientation</w:t>
      </w:r>
    </w:p>
    <w:p>
      <w:pPr>
        <w:pStyle w:val="Lista2"/>
      </w:pPr>
      <w:r>
        <w:t xml:space="preserve">F. </w:t>
      </w:r>
      <w:r>
        <w:rPr>
          <w:rStyle w:val="Codevalue"/>
        </w:rPr>
        <w:t>"rl-flipped"</w:t>
      </w:r>
      <w:r>
        <w:t xml:space="preserve"> – right to left, with characters mirrored around their vertical axis as in true boustrophedon</w:t>
      </w:r>
    </w:p>
    <w:p>
      <w:pPr>
        <w:pStyle w:val="Lista2"/>
      </w:pPr>
      <w:r>
        <w:t xml:space="preserve">G. </w:t>
      </w:r>
      <w:r>
        <w:rPr>
          <w:rStyle w:val="Codevalue"/>
        </w:rPr>
        <w:t>"rl-rotated"</w:t>
      </w:r>
      <w:r>
        <w:t xml:space="preserve"> – right to left, with the tops of characters facing downward</w:t>
      </w:r>
    </w:p>
    <w:p>
      <w:pPr>
        <w:pStyle w:val="Lista2"/>
      </w:pPr>
      <w:r>
        <w:t>should you encounter any other combination of directionality and orientation</w:t>
      </w:r>
      <w:r>
        <w:rPr>
          <w:noProof/>
        </w:rPr>
        <w:t>, leave it without encoding and describe it in your annotation</w:t>
      </w:r>
    </w:p>
    <w:p/>
    <w:p/>
    <w:p>
      <w:pPr>
        <w:pStyle w:val="Cmsor1"/>
      </w:pPr>
      <w:bookmarkStart w:id="704" w:name="_Ref232002354"/>
      <w:r>
        <w:lastRenderedPageBreak/>
        <w:t>Interpretive and analytical markup</w:t>
      </w:r>
      <w:bookmarkEnd w:id="704"/>
    </w:p>
    <w:p>
      <w:r>
        <w:t>One of the great strengths of TEI is that it allows tagging specific chunks of the text (as interpreted by the editor) with information that can then be used for the analysis of semantic content, linguistic structures, narrative elements or other features. However, a documentary edition encoded in EpiDoc tends to contain a great amount of highly granular code, and attempting to combine this encoding with interpretive/analytical markup will in most cases result in a proliferation of overlapping hierarchies (§</w:t>
      </w:r>
      <w:r>
        <w:fldChar w:fldCharType="begin"/>
      </w:r>
      <w:r>
        <w:instrText xml:space="preserve"> REF _Ref224893456 \r \h </w:instrText>
      </w:r>
      <w:r>
        <w:fldChar w:fldCharType="separate"/>
      </w:r>
      <w:r>
        <w:t>2.2.4</w:t>
      </w:r>
      <w:r>
        <w:fldChar w:fldCharType="end"/>
      </w:r>
      <w:r>
        <w:t>). Therefore, in DHARMA editions we habitually encode only a minimum of interpretive information, namely that pertaining to numbers (§</w:t>
      </w:r>
      <w:r>
        <w:fldChar w:fldCharType="begin"/>
      </w:r>
      <w:r>
        <w:instrText xml:space="preserve"> REF _Ref231894384 \r \h </w:instrText>
      </w:r>
      <w:r>
        <w:fldChar w:fldCharType="separate"/>
      </w:r>
      <w:r>
        <w:t>9.1</w:t>
      </w:r>
      <w:r>
        <w:fldChar w:fldCharType="end"/>
      </w:r>
      <w:r>
        <w:t>) and, optionally, to abbreviations (§</w:t>
      </w:r>
      <w:r>
        <w:fldChar w:fldCharType="begin"/>
      </w:r>
      <w:r>
        <w:instrText xml:space="preserve"> REF _Ref232002201 \r \h </w:instrText>
      </w:r>
      <w:r>
        <w:fldChar w:fldCharType="separate"/>
      </w:r>
      <w:r>
        <w:t>9.2</w:t>
      </w:r>
      <w:r>
        <w:fldChar w:fldCharType="end"/>
      </w:r>
      <w:r>
        <w:t>). A number of other encoding methods useful for analytical purposes (§</w:t>
      </w:r>
      <w:r>
        <w:fldChar w:fldCharType="begin"/>
      </w:r>
      <w:r>
        <w:instrText xml:space="preserve"> REF _Ref232173896 \r \h </w:instrText>
      </w:r>
      <w:r>
        <w:fldChar w:fldCharType="separate"/>
      </w:r>
      <w:r>
        <w:t>14.7.3</w:t>
      </w:r>
      <w:r>
        <w:fldChar w:fldCharType="end"/>
      </w:r>
      <w:r>
        <w:t>) are permitted in the DHARMA schema and may be used in the editions as well as in other divisions of our XML documents, but their use is not encouraged in our editions and not provided for in these guidelines.</w:t>
      </w:r>
    </w:p>
    <w:p>
      <w:pPr>
        <w:pStyle w:val="Cmsor2"/>
      </w:pPr>
      <w:bookmarkStart w:id="705" w:name="_vj2ep179y4tp" w:colFirst="0" w:colLast="0"/>
      <w:bookmarkStart w:id="706" w:name="_alr4dlls2gjb" w:colFirst="0" w:colLast="0"/>
      <w:bookmarkStart w:id="707" w:name="_Ref43980607"/>
      <w:bookmarkStart w:id="708" w:name="_Ref231894384"/>
      <w:bookmarkEnd w:id="705"/>
      <w:bookmarkEnd w:id="706"/>
      <w:r>
        <w:t>Number</w:t>
      </w:r>
      <w:bookmarkEnd w:id="707"/>
      <w:r>
        <w:t>s</w:t>
      </w:r>
      <w:bookmarkEnd w:id="708"/>
    </w:p>
    <w:p>
      <w:pPr>
        <w:rPr>
          <w:lang w:eastAsia="en-US" w:bidi="ar-SA"/>
        </w:rPr>
      </w:pPr>
      <w:r>
        <w:rPr>
          <w:lang w:eastAsia="en-US" w:bidi="ar-SA"/>
        </w:rPr>
        <w:t xml:space="preserve">TEI provides dedicated markup for the semantic tagging of numbers found in source documents. In addition to making it explicit that a certain chunk of text signifies a number, this allows us to record the value of the number for straightforward machine interpretability. </w:t>
      </w:r>
      <w:r>
        <w:t>The following subsections detail the use of this encoding in DHARMA editions.</w:t>
      </w:r>
    </w:p>
    <w:p>
      <w:pPr>
        <w:pStyle w:val="Cmsor3"/>
      </w:pPr>
      <w:bookmarkStart w:id="709" w:name="_u6q2l31rs9n0" w:colFirst="0" w:colLast="0"/>
      <w:bookmarkStart w:id="710" w:name="_Toc242976677"/>
      <w:bookmarkEnd w:id="709"/>
      <w:r>
        <w:t>Encoding numbers</w:t>
      </w:r>
      <w:bookmarkEnd w:id="710"/>
    </w:p>
    <w:p>
      <w:pPr>
        <w:pStyle w:val="Lista"/>
      </w:pPr>
      <w:r>
        <w:t xml:space="preserve">the element for the semantic tagging of numbers is </w:t>
      </w:r>
      <w:r>
        <w:rPr>
          <w:rStyle w:val="Code"/>
        </w:rPr>
        <w:t>&lt;num&gt;</w:t>
      </w:r>
      <w:r>
        <w:t xml:space="preserve"> (for “number”)</w:t>
      </w:r>
    </w:p>
    <w:p>
      <w:pPr>
        <w:pStyle w:val="Lista"/>
      </w:pPr>
      <w:r>
        <w:t xml:space="preserve">in DHARMA practice, </w:t>
      </w:r>
      <w:r>
        <w:rPr>
          <w:rStyle w:val="Code"/>
        </w:rPr>
        <w:t>&lt;num&gt;</w:t>
      </w:r>
      <w:r>
        <w:t xml:space="preserve"> is used with the following attributes</w:t>
      </w:r>
    </w:p>
    <w:p>
      <w:pPr>
        <w:pStyle w:val="Lista2"/>
      </w:pPr>
      <w:r>
        <w:t xml:space="preserve">in most cases, </w:t>
      </w:r>
      <w:r>
        <w:rPr>
          <w:rStyle w:val="Codeattribute"/>
        </w:rPr>
        <w:t>@value</w:t>
      </w:r>
      <w:r>
        <w:t xml:space="preserve"> as per §</w:t>
      </w:r>
      <w:r>
        <w:fldChar w:fldCharType="begin"/>
      </w:r>
      <w:r>
        <w:instrText xml:space="preserve"> REF _Ref231895976 \r \h </w:instrText>
      </w:r>
      <w:r>
        <w:fldChar w:fldCharType="separate"/>
      </w:r>
      <w:r>
        <w:t>9.1.1.1</w:t>
      </w:r>
      <w:r>
        <w:fldChar w:fldCharType="end"/>
      </w:r>
    </w:p>
    <w:p>
      <w:pPr>
        <w:pStyle w:val="Lista2"/>
      </w:pPr>
      <w:r>
        <w:t xml:space="preserve">as applicable, </w:t>
      </w:r>
      <w:r>
        <w:rPr>
          <w:rStyle w:val="Codeattribute"/>
        </w:rPr>
        <w:t>@cert</w:t>
      </w:r>
      <w:r>
        <w:t xml:space="preserve"> as per §</w:t>
      </w:r>
      <w:r>
        <w:fldChar w:fldCharType="begin"/>
      </w:r>
      <w:r>
        <w:instrText xml:space="preserve"> REF _Ref231892505 \r \h </w:instrText>
      </w:r>
      <w:r>
        <w:fldChar w:fldCharType="separate"/>
      </w:r>
      <w:r>
        <w:t>9.1.3</w:t>
      </w:r>
      <w:r>
        <w:fldChar w:fldCharType="end"/>
      </w:r>
    </w:p>
    <w:p>
      <w:pPr>
        <w:pStyle w:val="Lista2"/>
      </w:pPr>
      <w:r>
        <w:t xml:space="preserve">as applicable, </w:t>
      </w:r>
      <w:r>
        <w:rPr>
          <w:rStyle w:val="Codeattribute"/>
        </w:rPr>
        <w:t>@atLeast</w:t>
      </w:r>
      <w:r>
        <w:t xml:space="preserve"> and </w:t>
      </w:r>
      <w:r>
        <w:rPr>
          <w:rStyle w:val="Codeattribute"/>
        </w:rPr>
        <w:t>@atMost</w:t>
      </w:r>
      <w:r>
        <w:t xml:space="preserve"> as per §</w:t>
      </w:r>
      <w:r>
        <w:fldChar w:fldCharType="begin"/>
      </w:r>
      <w:r>
        <w:instrText xml:space="preserve"> REF _Ref231892505 \r \h </w:instrText>
      </w:r>
      <w:r>
        <w:fldChar w:fldCharType="separate"/>
      </w:r>
      <w:r>
        <w:t>9.1.3</w:t>
      </w:r>
      <w:r>
        <w:fldChar w:fldCharType="end"/>
      </w:r>
    </w:p>
    <w:p>
      <w:pPr>
        <w:pStyle w:val="Lista"/>
      </w:pPr>
      <w:r>
        <w:t>this element is used as a single container for wrapping all the characters of the source that together signify a single number, not for individual numeral signs (unless they signify a number on their own)</w:t>
      </w:r>
    </w:p>
    <w:p>
      <w:pPr>
        <w:pStyle w:val="Cmsor4"/>
      </w:pPr>
      <w:bookmarkStart w:id="711" w:name="_Ref231895976"/>
      <w:r>
        <w:t>The value of numbers</w:t>
      </w:r>
      <w:bookmarkEnd w:id="711"/>
    </w:p>
    <w:p>
      <w:pPr>
        <w:pStyle w:val="Lista"/>
      </w:pPr>
      <w:r>
        <w:t xml:space="preserve">the element </w:t>
      </w:r>
      <w:r>
        <w:rPr>
          <w:rStyle w:val="Code"/>
        </w:rPr>
        <w:t>&lt;num&gt;</w:t>
      </w:r>
      <w:r>
        <w:t xml:space="preserve"> must, as a rule, have the attribute </w:t>
      </w:r>
      <w:r>
        <w:rPr>
          <w:rStyle w:val="Codeattribute"/>
        </w:rPr>
        <w:t>@value</w:t>
      </w:r>
      <w:r>
        <w:t>, recording in a machine-readable form the final value of the entire number within the element</w:t>
      </w:r>
    </w:p>
    <w:p>
      <w:pPr>
        <w:pStyle w:val="Lista"/>
      </w:pPr>
      <w:r>
        <w:t xml:space="preserve">fractions shall be represented in this attribute as decimal fractions, never dropping the 0 before fractions smaller than 1 and always using a decimal point, not a different decimal marker, e.g. </w:t>
      </w:r>
      <w:r>
        <w:rPr>
          <w:rStyle w:val="Code"/>
        </w:rPr>
        <w:t xml:space="preserve">&lt;num </w:t>
      </w:r>
      <w:r>
        <w:rPr>
          <w:rStyle w:val="Codeattribute"/>
        </w:rPr>
        <w:t>value</w:t>
      </w:r>
      <w:r>
        <w:rPr>
          <w:rStyle w:val="Code"/>
        </w:rPr>
        <w:t>=</w:t>
      </w:r>
      <w:r>
        <w:rPr>
          <w:rStyle w:val="Codevalue"/>
        </w:rPr>
        <w:t>"0.5"</w:t>
      </w:r>
      <w:r>
        <w:rPr>
          <w:rStyle w:val="Code"/>
        </w:rPr>
        <w:t>&gt;</w:t>
      </w:r>
    </w:p>
    <w:p>
      <w:pPr>
        <w:pStyle w:val="Lista2"/>
      </w:pPr>
      <w:r>
        <w:t xml:space="preserve">round the value to three digits after the decimal point for any fractions that would require a longer (or infinite) sequence of digits, e.g. encode ⅓  as </w:t>
      </w:r>
      <w:r>
        <w:rPr>
          <w:rStyle w:val="Code"/>
        </w:rPr>
        <w:t xml:space="preserve">&lt;num </w:t>
      </w:r>
      <w:r>
        <w:rPr>
          <w:rStyle w:val="Codeattribute"/>
        </w:rPr>
        <w:t>value</w:t>
      </w:r>
      <w:r>
        <w:rPr>
          <w:rStyle w:val="Code"/>
        </w:rPr>
        <w:t>=</w:t>
      </w:r>
      <w:r>
        <w:rPr>
          <w:rStyle w:val="Codevalue"/>
        </w:rPr>
        <w:t>"0.333"</w:t>
      </w:r>
      <w:r>
        <w:rPr>
          <w:rStyle w:val="Code"/>
        </w:rPr>
        <w:t>&gt;</w:t>
      </w:r>
      <w:r>
        <w:t xml:space="preserve"> and one sixteenth as </w:t>
      </w:r>
      <w:r>
        <w:rPr>
          <w:rStyle w:val="Code"/>
        </w:rPr>
        <w:t xml:space="preserve">&lt;num </w:t>
      </w:r>
      <w:r>
        <w:rPr>
          <w:rStyle w:val="Codeattribute"/>
        </w:rPr>
        <w:t>value</w:t>
      </w:r>
      <w:r>
        <w:rPr>
          <w:rStyle w:val="Code"/>
        </w:rPr>
        <w:t>=</w:t>
      </w:r>
      <w:r>
        <w:rPr>
          <w:rStyle w:val="Codevalue"/>
        </w:rPr>
        <w:t>"0.063"</w:t>
      </w:r>
      <w:r>
        <w:rPr>
          <w:rStyle w:val="Code"/>
        </w:rPr>
        <w:t>&gt;</w:t>
      </w:r>
    </w:p>
    <w:p>
      <w:pPr>
        <w:pStyle w:val="Cmsor3"/>
      </w:pPr>
      <w:bookmarkStart w:id="712" w:name="_Toc242976678"/>
      <w:r>
        <w:t>When and how to encode numbers</w:t>
      </w:r>
      <w:bookmarkEnd w:id="712"/>
    </w:p>
    <w:p>
      <w:pPr>
        <w:pStyle w:val="Cmsor4"/>
      </w:pPr>
      <w:r>
        <w:t>Numbers expressed by numeral signs</w:t>
      </w:r>
    </w:p>
    <w:p>
      <w:pPr>
        <w:pStyle w:val="Lista"/>
      </w:pPr>
      <w:r>
        <w:t xml:space="preserve">semantic encoding with </w:t>
      </w:r>
      <w:r>
        <w:rPr>
          <w:rStyle w:val="Code"/>
        </w:rPr>
        <w:t>&lt;num&gt;</w:t>
      </w:r>
      <w:r>
        <w:t xml:space="preserve"> is mandatory for all numbers recorded in numeral signs</w:t>
      </w:r>
    </w:p>
    <w:p>
      <w:pPr>
        <w:pStyle w:val="Lista2"/>
      </w:pPr>
      <w:r>
        <w:t>this includes both decimal place-value notation and other numeral notation systems</w:t>
      </w:r>
    </w:p>
    <w:p>
      <w:pPr>
        <w:pStyle w:val="Lista2"/>
      </w:pPr>
      <w:r>
        <w:t>note, however, that semantic encoding is not applicable when a glyph that normally represents a number is employed in a different function, as discussed in §</w:t>
      </w:r>
      <w:r>
        <w:fldChar w:fldCharType="begin"/>
      </w:r>
      <w:r>
        <w:instrText xml:space="preserve"> REF _Ref226033797 \r \h </w:instrText>
      </w:r>
      <w:r>
        <w:fldChar w:fldCharType="separate"/>
      </w:r>
      <w:r>
        <w:t>5.2.3</w:t>
      </w:r>
      <w:r>
        <w:fldChar w:fldCharType="end"/>
      </w:r>
    </w:p>
    <w:p>
      <w:pPr>
        <w:pStyle w:val="Lista"/>
      </w:pPr>
      <w:r>
        <w:t xml:space="preserve">encoding with </w:t>
      </w:r>
      <w:r>
        <w:rPr>
          <w:rStyle w:val="Code"/>
        </w:rPr>
        <w:t>&lt;num&gt;</w:t>
      </w:r>
      <w:r>
        <w:t xml:space="preserve"> does not replace the </w:t>
      </w:r>
      <w:r>
        <w:rPr>
          <w:rStyle w:val="Code"/>
        </w:rPr>
        <w:t>&lt;g&gt;</w:t>
      </w:r>
      <w:r>
        <w:t xml:space="preserve"> element for numeral signs transliterated by something other than a single Unicode character (§</w:t>
      </w:r>
      <w:r>
        <w:fldChar w:fldCharType="begin"/>
      </w:r>
      <w:r>
        <w:instrText xml:space="preserve"> REF _Ref182551676 \r \h </w:instrText>
      </w:r>
      <w:r>
        <w:fldChar w:fldCharType="separate"/>
      </w:r>
      <w:r>
        <w:t>5.3.5</w:t>
      </w:r>
      <w:r>
        <w:fldChar w:fldCharType="end"/>
      </w:r>
      <w:r>
        <w:t>)</w:t>
      </w:r>
    </w:p>
    <w:p>
      <w:pPr>
        <w:pStyle w:val="Lista2"/>
      </w:pPr>
      <w:r>
        <w:t xml:space="preserve">when </w:t>
      </w:r>
      <w:r>
        <w:rPr>
          <w:rStyle w:val="Code"/>
        </w:rPr>
        <w:t>&lt;g&gt;</w:t>
      </w:r>
      <w:r>
        <w:t xml:space="preserve"> is present, </w:t>
      </w:r>
      <w:r>
        <w:rPr>
          <w:rStyle w:val="Code"/>
        </w:rPr>
        <w:t>&lt;num&gt;</w:t>
      </w:r>
      <w:r>
        <w:t xml:space="preserve"> must contain </w:t>
      </w:r>
      <w:r>
        <w:rPr>
          <w:rStyle w:val="Code"/>
        </w:rPr>
        <w:t>&lt;g&gt;</w:t>
      </w:r>
      <w:r>
        <w:t>, not the other way round</w:t>
      </w:r>
    </w:p>
    <w:p>
      <w:pPr>
        <w:pStyle w:val="Lista"/>
      </w:pPr>
      <w:r>
        <w:t xml:space="preserve">a single </w:t>
      </w:r>
      <w:r>
        <w:rPr>
          <w:rStyle w:val="Code"/>
        </w:rPr>
        <w:t>&lt;num&gt;</w:t>
      </w:r>
      <w:r>
        <w:t xml:space="preserve"> element wraps all of the numeral signs that together express a single number</w:t>
      </w:r>
    </w:p>
    <w:p>
      <w:pPr>
        <w:pStyle w:val="Lista"/>
      </w:pPr>
      <w:r>
        <w:lastRenderedPageBreak/>
        <w:t>examples of encoded numbers</w:t>
      </w:r>
    </w:p>
    <w:p>
      <w:pPr>
        <w:pStyle w:val="Lista2"/>
      </w:pPr>
      <w:r>
        <w:t>“three” denoted by a numeral glyph</w:t>
      </w:r>
    </w:p>
    <w:p>
      <w:pPr>
        <w:pStyle w:val="Lista3"/>
      </w:pPr>
      <w:r>
        <w:rPr>
          <w:rStyle w:val="Code"/>
        </w:rPr>
        <w:t xml:space="preserve">&lt;num </w:t>
      </w:r>
      <w:r>
        <w:rPr>
          <w:rStyle w:val="Codeattribute"/>
        </w:rPr>
        <w:t>value</w:t>
      </w:r>
      <w:r>
        <w:rPr>
          <w:rStyle w:val="Code"/>
        </w:rPr>
        <w:t>=</w:t>
      </w:r>
      <w:r>
        <w:rPr>
          <w:rStyle w:val="Codevalue"/>
        </w:rPr>
        <w:t>"3"</w:t>
      </w:r>
      <w:r>
        <w:rPr>
          <w:rStyle w:val="Code"/>
        </w:rPr>
        <w:t>&gt;</w:t>
      </w:r>
      <w:r>
        <w:rPr>
          <w:rStyle w:val="Codetext"/>
        </w:rPr>
        <w:t>3</w:t>
      </w:r>
      <w:r>
        <w:rPr>
          <w:rStyle w:val="Code"/>
        </w:rPr>
        <w:t>&lt;/num&gt;</w:t>
      </w:r>
    </w:p>
    <w:p>
      <w:pPr>
        <w:pStyle w:val="Lista2"/>
      </w:pPr>
      <w:r>
        <w:t xml:space="preserve">“three” denoted by three vertical bars </w:t>
      </w:r>
    </w:p>
    <w:p>
      <w:pPr>
        <w:pStyle w:val="Lista3"/>
      </w:pPr>
      <w:r>
        <w:rPr>
          <w:rStyle w:val="Code"/>
        </w:rPr>
        <w:t xml:space="preserve">&lt;num </w:t>
      </w:r>
      <w:r>
        <w:rPr>
          <w:rStyle w:val="Codeattribute"/>
        </w:rPr>
        <w:t>value</w:t>
      </w:r>
      <w:r>
        <w:rPr>
          <w:rStyle w:val="Code"/>
        </w:rPr>
        <w:t>=</w:t>
      </w:r>
      <w:r>
        <w:rPr>
          <w:rStyle w:val="Codevalue"/>
        </w:rPr>
        <w:t>"3"</w:t>
      </w:r>
      <w:r>
        <w:rPr>
          <w:rStyle w:val="Code"/>
        </w:rPr>
        <w:t xml:space="preserve">&gt;&lt;g </w:t>
      </w:r>
      <w:r>
        <w:rPr>
          <w:rStyle w:val="Codeattribute"/>
        </w:rPr>
        <w:t>type</w:t>
      </w:r>
      <w:r>
        <w:rPr>
          <w:rStyle w:val="Code"/>
        </w:rPr>
        <w:t>=</w:t>
      </w:r>
      <w:r>
        <w:rPr>
          <w:rStyle w:val="Codevalue"/>
        </w:rPr>
        <w:t>"numeral"</w:t>
      </w:r>
      <w:r>
        <w:rPr>
          <w:rStyle w:val="Code"/>
        </w:rPr>
        <w:t>&gt;</w:t>
      </w:r>
      <w:r>
        <w:rPr>
          <w:rStyle w:val="Codetext"/>
        </w:rPr>
        <w:t>III</w:t>
      </w:r>
      <w:r>
        <w:rPr>
          <w:rStyle w:val="Code"/>
        </w:rPr>
        <w:t>&lt;/g&gt;&lt;/num&gt;</w:t>
      </w:r>
    </w:p>
    <w:p>
      <w:pPr>
        <w:pStyle w:val="Lista2"/>
      </w:pPr>
      <w:r>
        <w:t>“one hundred and twenty-three” written in place value notation</w:t>
      </w:r>
    </w:p>
    <w:p>
      <w:pPr>
        <w:pStyle w:val="Lista3"/>
      </w:pPr>
      <w:r>
        <w:rPr>
          <w:rStyle w:val="Code"/>
        </w:rPr>
        <w:t xml:space="preserve">&lt;num </w:t>
      </w:r>
      <w:r>
        <w:rPr>
          <w:rStyle w:val="Codeattribute"/>
        </w:rPr>
        <w:t>value</w:t>
      </w:r>
      <w:r>
        <w:rPr>
          <w:rStyle w:val="Code"/>
        </w:rPr>
        <w:t>=</w:t>
      </w:r>
      <w:r>
        <w:rPr>
          <w:rStyle w:val="Codevalue"/>
        </w:rPr>
        <w:t>"123"</w:t>
      </w:r>
      <w:r>
        <w:rPr>
          <w:rStyle w:val="Code"/>
        </w:rPr>
        <w:t>&gt;</w:t>
      </w:r>
      <w:r>
        <w:rPr>
          <w:rStyle w:val="Codetext"/>
        </w:rPr>
        <w:t>123</w:t>
      </w:r>
      <w:r>
        <w:rPr>
          <w:rStyle w:val="Code"/>
        </w:rPr>
        <w:t>&lt;/num&gt;</w:t>
      </w:r>
    </w:p>
    <w:p>
      <w:pPr>
        <w:pStyle w:val="Lista2"/>
      </w:pPr>
      <w:r>
        <w:t>“one hundred and twenty-three” written in additive notation as |100| + |20| + 3</w:t>
      </w:r>
    </w:p>
    <w:p>
      <w:pPr>
        <w:pStyle w:val="Lista3"/>
      </w:pPr>
      <w:r>
        <w:rPr>
          <w:rStyle w:val="Code"/>
        </w:rPr>
        <w:t xml:space="preserve">&lt;num </w:t>
      </w:r>
      <w:r>
        <w:rPr>
          <w:rStyle w:val="Codeattribute"/>
        </w:rPr>
        <w:t>value</w:t>
      </w:r>
      <w:r>
        <w:rPr>
          <w:rStyle w:val="Code"/>
        </w:rPr>
        <w:t>=</w:t>
      </w:r>
      <w:r>
        <w:rPr>
          <w:rStyle w:val="Codevalue"/>
        </w:rPr>
        <w:t>"123"</w:t>
      </w:r>
      <w:r>
        <w:rPr>
          <w:rStyle w:val="Code"/>
        </w:rPr>
        <w:t xml:space="preserve">&gt;&lt;g </w:t>
      </w:r>
      <w:r>
        <w:rPr>
          <w:rStyle w:val="Codeattribute"/>
        </w:rPr>
        <w:t>type</w:t>
      </w:r>
      <w:r>
        <w:rPr>
          <w:rStyle w:val="Code"/>
        </w:rPr>
        <w:t>=</w:t>
      </w:r>
      <w:r>
        <w:rPr>
          <w:rStyle w:val="Codevalue"/>
        </w:rPr>
        <w:t>"numeral"</w:t>
      </w:r>
      <w:r>
        <w:rPr>
          <w:rStyle w:val="Code"/>
        </w:rPr>
        <w:t>&gt;</w:t>
      </w:r>
      <w:r>
        <w:rPr>
          <w:rStyle w:val="Codetext"/>
        </w:rPr>
        <w:t>100</w:t>
      </w:r>
      <w:r>
        <w:rPr>
          <w:rStyle w:val="Code"/>
        </w:rPr>
        <w:t xml:space="preserve">&lt;/g&gt; &lt;g </w:t>
      </w:r>
      <w:r>
        <w:rPr>
          <w:rStyle w:val="Codeattribute"/>
        </w:rPr>
        <w:t>type</w:t>
      </w:r>
      <w:r>
        <w:rPr>
          <w:rStyle w:val="Code"/>
        </w:rPr>
        <w:t>=</w:t>
      </w:r>
      <w:r>
        <w:rPr>
          <w:rStyle w:val="Codevalue"/>
        </w:rPr>
        <w:t>"numeral"</w:t>
      </w:r>
      <w:r>
        <w:rPr>
          <w:rStyle w:val="Code"/>
        </w:rPr>
        <w:t>&gt;</w:t>
      </w:r>
      <w:r>
        <w:rPr>
          <w:rStyle w:val="Codetext"/>
        </w:rPr>
        <w:t>20</w:t>
      </w:r>
      <w:r>
        <w:rPr>
          <w:rStyle w:val="Code"/>
        </w:rPr>
        <w:t>&lt;/g&gt;</w:t>
      </w:r>
      <w:r>
        <w:rPr>
          <w:rStyle w:val="Codetext"/>
        </w:rPr>
        <w:t xml:space="preserve"> 3</w:t>
      </w:r>
      <w:r>
        <w:rPr>
          <w:rStyle w:val="Code"/>
        </w:rPr>
        <w:t>&lt;/num&gt;</w:t>
      </w:r>
    </w:p>
    <w:p>
      <w:pPr>
        <w:pStyle w:val="Lista2"/>
      </w:pPr>
      <w:r>
        <w:t xml:space="preserve">“eight thousand three hundred and ten” written in a combination of multiplicative and additive notation as |1000| × |8| + |100| × |3| + |10| (illustrated in </w:t>
      </w:r>
      <w:r>
        <w:fldChar w:fldCharType="begin"/>
      </w:r>
      <w:r>
        <w:instrText xml:space="preserve"> REF _Ref225952270 \h </w:instrText>
      </w:r>
      <w:r>
        <w:fldChar w:fldCharType="separate"/>
      </w:r>
      <w:r>
        <w:t xml:space="preserve">Exhibit </w:t>
      </w:r>
      <w:r>
        <w:rPr>
          <w:noProof/>
        </w:rPr>
        <w:t>5.2</w:t>
      </w:r>
      <w:r>
        <w:t>.</w:t>
      </w:r>
      <w:r>
        <w:rPr>
          <w:noProof/>
        </w:rPr>
        <w:t>B</w:t>
      </w:r>
      <w:r>
        <w:fldChar w:fldCharType="end"/>
      </w:r>
      <w:r>
        <w:t>)</w:t>
      </w:r>
    </w:p>
    <w:p>
      <w:pPr>
        <w:pStyle w:val="Lista3"/>
      </w:pPr>
      <w:r>
        <w:rPr>
          <w:rStyle w:val="Code"/>
        </w:rPr>
        <w:t xml:space="preserve">&lt;num </w:t>
      </w:r>
      <w:r>
        <w:rPr>
          <w:rStyle w:val="Codeattribute"/>
        </w:rPr>
        <w:t>value</w:t>
      </w:r>
      <w:r>
        <w:rPr>
          <w:rStyle w:val="Code"/>
        </w:rPr>
        <w:t>=</w:t>
      </w:r>
      <w:r>
        <w:rPr>
          <w:rStyle w:val="Codevalue"/>
        </w:rPr>
        <w:t>"8310"</w:t>
      </w:r>
      <w:r>
        <w:rPr>
          <w:rStyle w:val="Code"/>
        </w:rPr>
        <w:t xml:space="preserve">&gt;&lt;g </w:t>
      </w:r>
      <w:r>
        <w:rPr>
          <w:rStyle w:val="Codeattribute"/>
        </w:rPr>
        <w:t>type=</w:t>
      </w:r>
      <w:r>
        <w:rPr>
          <w:rStyle w:val="Codevalue"/>
        </w:rPr>
        <w:t>"numeral"</w:t>
      </w:r>
      <w:r>
        <w:rPr>
          <w:rStyle w:val="Code"/>
        </w:rPr>
        <w:t>&gt;</w:t>
      </w:r>
      <w:r>
        <w:rPr>
          <w:rStyle w:val="Codetext"/>
        </w:rPr>
        <w:t>1000</w:t>
      </w:r>
      <w:r>
        <w:rPr>
          <w:rStyle w:val="Code"/>
        </w:rPr>
        <w:t>&lt;/g&gt;</w:t>
      </w:r>
      <w:r>
        <w:rPr>
          <w:rStyle w:val="Codetext"/>
        </w:rPr>
        <w:t xml:space="preserve"> 8 </w:t>
      </w:r>
      <w:r>
        <w:rPr>
          <w:rStyle w:val="Code"/>
        </w:rPr>
        <w:t xml:space="preserve">&lt;g </w:t>
      </w:r>
      <w:r>
        <w:rPr>
          <w:rStyle w:val="Codeattribute"/>
        </w:rPr>
        <w:t>type=</w:t>
      </w:r>
      <w:r>
        <w:rPr>
          <w:rStyle w:val="Codevalue"/>
        </w:rPr>
        <w:t>"numeral"</w:t>
      </w:r>
      <w:r>
        <w:rPr>
          <w:rStyle w:val="Code"/>
        </w:rPr>
        <w:t>&gt;</w:t>
      </w:r>
      <w:r>
        <w:rPr>
          <w:rStyle w:val="Codetext"/>
        </w:rPr>
        <w:t>100</w:t>
      </w:r>
      <w:r>
        <w:rPr>
          <w:rStyle w:val="Code"/>
        </w:rPr>
        <w:t>&lt;/g&gt;</w:t>
      </w:r>
      <w:r>
        <w:rPr>
          <w:rStyle w:val="Codetext"/>
        </w:rPr>
        <w:t xml:space="preserve"> 3 </w:t>
      </w:r>
      <w:r>
        <w:rPr>
          <w:rStyle w:val="Code"/>
        </w:rPr>
        <w:t xml:space="preserve">&lt;g </w:t>
      </w:r>
      <w:r>
        <w:rPr>
          <w:rStyle w:val="Codeattribute"/>
        </w:rPr>
        <w:t>type=</w:t>
      </w:r>
      <w:r>
        <w:rPr>
          <w:rStyle w:val="Codevalue"/>
        </w:rPr>
        <w:t>"numeral"</w:t>
      </w:r>
      <w:r>
        <w:rPr>
          <w:rStyle w:val="Code"/>
        </w:rPr>
        <w:t>&gt;</w:t>
      </w:r>
      <w:r>
        <w:rPr>
          <w:rStyle w:val="Codetext"/>
        </w:rPr>
        <w:t>10</w:t>
      </w:r>
      <w:r>
        <w:rPr>
          <w:rStyle w:val="Code"/>
        </w:rPr>
        <w:t>&lt;/g&gt;&lt;/num&gt;</w:t>
      </w:r>
    </w:p>
    <w:p>
      <w:pPr>
        <w:pStyle w:val="Lista2"/>
      </w:pPr>
      <w:r>
        <w:t>“ninety” written as the Khmer digit 80 and digit 10</w:t>
      </w:r>
    </w:p>
    <w:p>
      <w:pPr>
        <w:pStyle w:val="Lista3"/>
      </w:pPr>
      <w:r>
        <w:rPr>
          <w:rStyle w:val="Code"/>
        </w:rPr>
        <w:t xml:space="preserve">&lt;num </w:t>
      </w:r>
      <w:r>
        <w:rPr>
          <w:rStyle w:val="Codeattribute"/>
        </w:rPr>
        <w:t>value</w:t>
      </w:r>
      <w:r>
        <w:rPr>
          <w:rStyle w:val="Code"/>
        </w:rPr>
        <w:t>=</w:t>
      </w:r>
      <w:r>
        <w:rPr>
          <w:rStyle w:val="Codevalue"/>
        </w:rPr>
        <w:t>"90"</w:t>
      </w:r>
      <w:r>
        <w:rPr>
          <w:rStyle w:val="Code"/>
        </w:rPr>
        <w:t xml:space="preserve">&gt;&lt;g </w:t>
      </w:r>
      <w:r>
        <w:rPr>
          <w:rStyle w:val="Codeattribute"/>
        </w:rPr>
        <w:t>type</w:t>
      </w:r>
      <w:r>
        <w:rPr>
          <w:rStyle w:val="Code"/>
        </w:rPr>
        <w:t>=</w:t>
      </w:r>
      <w:r>
        <w:rPr>
          <w:rStyle w:val="Codevalue"/>
        </w:rPr>
        <w:t>"numeral"</w:t>
      </w:r>
      <w:r>
        <w:rPr>
          <w:rStyle w:val="Code"/>
        </w:rPr>
        <w:t>&gt;</w:t>
      </w:r>
      <w:r>
        <w:rPr>
          <w:rStyle w:val="Codetext"/>
        </w:rPr>
        <w:t>80</w:t>
      </w:r>
      <w:r>
        <w:rPr>
          <w:rStyle w:val="Code"/>
        </w:rPr>
        <w:t>&lt;/g&gt;</w:t>
      </w:r>
      <w:r>
        <w:rPr>
          <w:rStyle w:val="Codetext"/>
        </w:rPr>
        <w:t xml:space="preserve">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10</w:t>
      </w:r>
      <w:r>
        <w:rPr>
          <w:rStyle w:val="Code"/>
        </w:rPr>
        <w:t>&lt;/g&gt;&lt;/num&gt;</w:t>
      </w:r>
    </w:p>
    <w:p>
      <w:pPr>
        <w:pStyle w:val="Lista2"/>
      </w:pPr>
      <w:r>
        <w:t>“one thousand” written with one sign for |1000|</w:t>
      </w:r>
    </w:p>
    <w:p>
      <w:pPr>
        <w:pStyle w:val="Lista3"/>
      </w:pPr>
      <w:r>
        <w:rPr>
          <w:rStyle w:val="Code"/>
        </w:rPr>
        <w:t xml:space="preserve">&lt;num </w:t>
      </w:r>
      <w:r>
        <w:rPr>
          <w:rStyle w:val="Codeattribute"/>
        </w:rPr>
        <w:t>value</w:t>
      </w:r>
      <w:r>
        <w:rPr>
          <w:rStyle w:val="Code"/>
        </w:rPr>
        <w:t>=</w:t>
      </w:r>
      <w:r>
        <w:rPr>
          <w:rStyle w:val="Codevalue"/>
        </w:rPr>
        <w:t>"1000"</w:t>
      </w:r>
      <w:r>
        <w:rPr>
          <w:rStyle w:val="Code"/>
        </w:rPr>
        <w:t xml:space="preserve">&gt;&lt;g </w:t>
      </w:r>
      <w:r>
        <w:rPr>
          <w:rStyle w:val="Codeattribute"/>
        </w:rPr>
        <w:t>type</w:t>
      </w:r>
      <w:r>
        <w:rPr>
          <w:rStyle w:val="Code"/>
        </w:rPr>
        <w:t>=</w:t>
      </w:r>
      <w:r>
        <w:rPr>
          <w:rStyle w:val="Codevalue"/>
        </w:rPr>
        <w:t>"numeral"</w:t>
      </w:r>
      <w:r>
        <w:rPr>
          <w:rStyle w:val="Code"/>
        </w:rPr>
        <w:t>&gt;</w:t>
      </w:r>
      <w:r>
        <w:rPr>
          <w:rStyle w:val="Codetext"/>
        </w:rPr>
        <w:t>1000</w:t>
      </w:r>
      <w:r>
        <w:rPr>
          <w:rStyle w:val="Code"/>
        </w:rPr>
        <w:t>&lt;/g&gt;&lt;/num&gt;</w:t>
      </w:r>
    </w:p>
    <w:p>
      <w:pPr>
        <w:pStyle w:val="Lista2"/>
      </w:pPr>
      <w:r>
        <w:t>“one half” written with a single fraction sign</w:t>
      </w:r>
    </w:p>
    <w:p>
      <w:pPr>
        <w:pStyle w:val="Lista3"/>
      </w:pPr>
      <w:r>
        <w:rPr>
          <w:rStyle w:val="Code"/>
        </w:rPr>
        <w:t xml:space="preserve">&lt;num </w:t>
      </w:r>
      <w:r>
        <w:rPr>
          <w:rStyle w:val="Codeattribute"/>
        </w:rPr>
        <w:t>value</w:t>
      </w:r>
      <w:r>
        <w:rPr>
          <w:rStyle w:val="Code"/>
        </w:rPr>
        <w:t>=</w:t>
      </w:r>
      <w:r>
        <w:rPr>
          <w:rStyle w:val="Codevalue"/>
        </w:rPr>
        <w:t>"0.5"</w:t>
      </w:r>
      <w:r>
        <w:rPr>
          <w:rStyle w:val="Code"/>
        </w:rPr>
        <w:t>&gt;</w:t>
      </w:r>
      <w:r>
        <w:rPr>
          <w:rStyle w:val="Codetext"/>
        </w:rPr>
        <w:t>½</w:t>
      </w:r>
      <w:r>
        <w:rPr>
          <w:rStyle w:val="Code"/>
        </w:rPr>
        <w:t>&lt;/num&gt;</w:t>
      </w:r>
    </w:p>
    <w:p>
      <w:pPr>
        <w:pStyle w:val="Lista2"/>
      </w:pPr>
      <w:r>
        <w:t>“one eighth” written with a single fraction sign</w:t>
      </w:r>
    </w:p>
    <w:p>
      <w:pPr>
        <w:pStyle w:val="Lista3"/>
      </w:pPr>
      <w:r>
        <w:rPr>
          <w:rStyle w:val="Code"/>
        </w:rPr>
        <w:t xml:space="preserve">&lt;num </w:t>
      </w:r>
      <w:r>
        <w:rPr>
          <w:rStyle w:val="Codeattribute"/>
        </w:rPr>
        <w:t>value</w:t>
      </w:r>
      <w:r>
        <w:rPr>
          <w:rStyle w:val="Code"/>
        </w:rPr>
        <w:t>=</w:t>
      </w:r>
      <w:r>
        <w:rPr>
          <w:rStyle w:val="Codevalue"/>
        </w:rPr>
        <w:t>"0.125"</w:t>
      </w:r>
      <w:r>
        <w:rPr>
          <w:rStyle w:val="Code"/>
        </w:rPr>
        <w:t xml:space="preserve">&gt;&lt;g </w:t>
      </w:r>
      <w:r>
        <w:rPr>
          <w:rStyle w:val="Codeattribute"/>
        </w:rPr>
        <w:t>type</w:t>
      </w:r>
      <w:r>
        <w:rPr>
          <w:rStyle w:val="Code"/>
        </w:rPr>
        <w:t>=</w:t>
      </w:r>
      <w:r>
        <w:rPr>
          <w:rStyle w:val="Codevalue"/>
        </w:rPr>
        <w:t>"numeral"</w:t>
      </w:r>
      <w:r>
        <w:rPr>
          <w:rStyle w:val="Code"/>
        </w:rPr>
        <w:t>&gt;</w:t>
      </w:r>
      <w:r>
        <w:rPr>
          <w:rStyle w:val="Codetext"/>
        </w:rPr>
        <w:t>1/8</w:t>
      </w:r>
      <w:r>
        <w:rPr>
          <w:rStyle w:val="Code"/>
        </w:rPr>
        <w:t>&lt;/g&gt;&lt;/num&gt;</w:t>
      </w:r>
    </w:p>
    <w:p>
      <w:pPr>
        <w:pStyle w:val="Lista2"/>
      </w:pPr>
      <w:r>
        <w:t>“three and one third” written as a digit 3 and one sign standing for “one third”</w:t>
      </w:r>
    </w:p>
    <w:p>
      <w:pPr>
        <w:pStyle w:val="Lista3"/>
      </w:pPr>
      <w:r>
        <w:rPr>
          <w:rStyle w:val="Code"/>
        </w:rPr>
        <w:t xml:space="preserve">&lt;num </w:t>
      </w:r>
      <w:r>
        <w:rPr>
          <w:rStyle w:val="Codeattribute"/>
        </w:rPr>
        <w:t>value</w:t>
      </w:r>
      <w:r>
        <w:rPr>
          <w:rStyle w:val="Code"/>
        </w:rPr>
        <w:t>=</w:t>
      </w:r>
      <w:r>
        <w:rPr>
          <w:rStyle w:val="Codevalue"/>
        </w:rPr>
        <w:t>"3.333"</w:t>
      </w:r>
      <w:r>
        <w:rPr>
          <w:rStyle w:val="Code"/>
        </w:rPr>
        <w:t>&gt;</w:t>
      </w:r>
      <w:r>
        <w:rPr>
          <w:rStyle w:val="Codetext"/>
        </w:rPr>
        <w:t>3 ⅓</w:t>
      </w:r>
      <w:r>
        <w:rPr>
          <w:rStyle w:val="Code"/>
        </w:rPr>
        <w:t>&lt;/num&gt;</w:t>
      </w:r>
    </w:p>
    <w:p>
      <w:pPr>
        <w:pStyle w:val="Lista2"/>
        <w:rPr>
          <w:rFonts w:ascii="Gentium Plus" w:hAnsi="Gentium Plus" w:cs="Arial Unicode MS"/>
        </w:rPr>
      </w:pPr>
      <w:r>
        <w:t>“three and one eighth” written as a digit 3 and one sign standing for “one eighth”</w:t>
      </w:r>
    </w:p>
    <w:p>
      <w:pPr>
        <w:pStyle w:val="Lista3"/>
        <w:rPr>
          <w:rStyle w:val="Code"/>
          <w:rFonts w:ascii="Gentium Plus" w:hAnsi="Gentium Plus" w:cs="Arial Unicode MS"/>
          <w:noProof w:val="0"/>
          <w:color w:val="auto"/>
          <w:shd w:val="clear" w:color="auto" w:fill="auto"/>
        </w:rPr>
      </w:pPr>
      <w:r>
        <w:rPr>
          <w:rStyle w:val="Code"/>
        </w:rPr>
        <w:t xml:space="preserve">&lt;num </w:t>
      </w:r>
      <w:r>
        <w:rPr>
          <w:rStyle w:val="Codeattribute"/>
        </w:rPr>
        <w:t>value</w:t>
      </w:r>
      <w:r>
        <w:rPr>
          <w:rStyle w:val="Code"/>
        </w:rPr>
        <w:t>=</w:t>
      </w:r>
      <w:r>
        <w:rPr>
          <w:rStyle w:val="Codevalue"/>
        </w:rPr>
        <w:t>"3.125"</w:t>
      </w:r>
      <w:r>
        <w:rPr>
          <w:rStyle w:val="Code"/>
        </w:rPr>
        <w:t>&gt;</w:t>
      </w:r>
      <w:r>
        <w:rPr>
          <w:rStyle w:val="Codetext"/>
        </w:rPr>
        <w:t xml:space="preserve">3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1/8</w:t>
      </w:r>
      <w:r>
        <w:rPr>
          <w:rStyle w:val="Code"/>
        </w:rPr>
        <w:t>&lt;/g&gt;&lt;/num&gt;</w:t>
      </w:r>
    </w:p>
    <w:p>
      <w:pPr>
        <w:pStyle w:val="Lista2"/>
      </w:pPr>
      <w:r>
        <w:t xml:space="preserve">see also </w:t>
      </w:r>
      <w:r>
        <w:fldChar w:fldCharType="begin"/>
      </w:r>
      <w:r>
        <w:instrText xml:space="preserve"> REF _Ref182560821 \h </w:instrText>
      </w:r>
      <w:r>
        <w:fldChar w:fldCharType="separate"/>
      </w:r>
      <w:r>
        <w:t xml:space="preserve">Exhibit </w:t>
      </w:r>
      <w:r>
        <w:rPr>
          <w:noProof/>
        </w:rPr>
        <w:t>9.1</w:t>
      </w:r>
      <w:r>
        <w:t>.</w:t>
      </w:r>
      <w:r>
        <w:rPr>
          <w:noProof/>
        </w:rPr>
        <w:t>A</w:t>
      </w:r>
      <w:r>
        <w:fldChar w:fldCharType="end"/>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713" w:name="_du4pk4npc5nc" w:colFirst="0" w:colLast="0"/>
            <w:bookmarkStart w:id="714" w:name="_Ref182560821"/>
            <w:bookmarkEnd w:id="713"/>
            <w:r>
              <w:t xml:space="preserve">Exhibit </w:t>
            </w:r>
            <w:fldSimple w:instr=" STYLEREF 2 \s ">
              <w:r>
                <w:rPr>
                  <w:noProof/>
                </w:rPr>
                <w:t>9.1</w:t>
              </w:r>
            </w:fldSimple>
            <w:r>
              <w:t>.</w:t>
            </w:r>
            <w:fldSimple w:instr=" SEQ Exhibit \* ALPHABETIC \s 2 ">
              <w:r>
                <w:rPr>
                  <w:noProof/>
                </w:rPr>
                <w:t>A</w:t>
              </w:r>
            </w:fldSimple>
            <w:bookmarkEnd w:id="714"/>
            <w:r>
              <w:t>: numerals in a date with full encoding</w:t>
            </w:r>
          </w:p>
        </w:tc>
      </w:tr>
      <w:tr>
        <w:tc>
          <w:tcPr>
            <w:tcW w:w="5000" w:type="pct"/>
            <w:vAlign w:val="center"/>
          </w:tcPr>
          <w:p>
            <w:pPr>
              <w:pStyle w:val="Image"/>
              <w:rPr>
                <w:rStyle w:val="Code"/>
              </w:rPr>
            </w:pPr>
            <w:r>
              <w:drawing>
                <wp:inline distT="0" distB="0" distL="0" distR="0">
                  <wp:extent cx="6114415" cy="1194435"/>
                  <wp:effectExtent l="0" t="0" r="635" b="5715"/>
                  <wp:docPr id="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114415" cy="1194435"/>
                          </a:xfrm>
                          <a:prstGeom prst="rect">
                            <a:avLst/>
                          </a:prstGeom>
                          <a:noFill/>
                          <a:ln>
                            <a:noFill/>
                          </a:ln>
                        </pic:spPr>
                      </pic:pic>
                    </a:graphicData>
                  </a:graphic>
                </wp:inline>
              </w:drawing>
            </w:r>
          </w:p>
        </w:tc>
      </w:tr>
      <w:tr>
        <w:tc>
          <w:tcPr>
            <w:tcW w:w="5000" w:type="pct"/>
          </w:tcPr>
          <w:p>
            <w:pPr>
              <w:pStyle w:val="CodeParagraph"/>
              <w:keepNext/>
              <w:rPr>
                <w:rStyle w:val="Code"/>
              </w:rPr>
            </w:pPr>
            <w:r>
              <w:rPr>
                <w:rStyle w:val="Code"/>
              </w:rPr>
              <w:t>&lt;abbr&gt;</w:t>
            </w:r>
            <w:r>
              <w:rPr>
                <w:rStyle w:val="Codetext"/>
              </w:rPr>
              <w:t>saṁ</w:t>
            </w:r>
            <w:r>
              <w:rPr>
                <w:rStyle w:val="Code"/>
              </w:rPr>
              <w:t xml:space="preserve">&lt;/abbr&gt; &lt;num </w:t>
            </w:r>
            <w:r>
              <w:rPr>
                <w:rStyle w:val="Codeattribute"/>
              </w:rPr>
              <w:t>value=</w:t>
            </w:r>
            <w:r>
              <w:rPr>
                <w:rStyle w:val="Codevalue"/>
              </w:rPr>
              <w:t>"18"</w:t>
            </w:r>
            <w:r>
              <w:rPr>
                <w:rStyle w:val="Code"/>
              </w:rPr>
              <w:t xml:space="preserve">&gt;&lt;g </w:t>
            </w:r>
            <w:r>
              <w:rPr>
                <w:rStyle w:val="Codeattribute"/>
              </w:rPr>
              <w:t>type=</w:t>
            </w:r>
            <w:r>
              <w:rPr>
                <w:rStyle w:val="Codevalue"/>
              </w:rPr>
              <w:t>"numeral"</w:t>
            </w:r>
            <w:r>
              <w:rPr>
                <w:rStyle w:val="Code"/>
              </w:rPr>
              <w:t>&gt;</w:t>
            </w:r>
            <w:r>
              <w:rPr>
                <w:rStyle w:val="Codetext"/>
              </w:rPr>
              <w:t>10</w:t>
            </w:r>
            <w:r>
              <w:rPr>
                <w:rStyle w:val="Code"/>
              </w:rPr>
              <w:t>&lt;/g&gt;</w:t>
            </w:r>
            <w:r>
              <w:rPr>
                <w:rStyle w:val="Codetext"/>
              </w:rPr>
              <w:t xml:space="preserve"> 8</w:t>
            </w:r>
            <w:r>
              <w:rPr>
                <w:rStyle w:val="Code"/>
              </w:rPr>
              <w:t>&lt;/num&gt; &lt;abbr&gt;</w:t>
            </w:r>
            <w:r>
              <w:rPr>
                <w:rStyle w:val="Codetext"/>
              </w:rPr>
              <w:t>he</w:t>
            </w:r>
            <w:r>
              <w:rPr>
                <w:rStyle w:val="Code"/>
              </w:rPr>
              <w:t xml:space="preserve">&lt;/abbr&gt; &lt;num </w:t>
            </w:r>
            <w:r>
              <w:rPr>
                <w:rStyle w:val="Codeattribute"/>
              </w:rPr>
              <w:t>value=</w:t>
            </w:r>
            <w:r>
              <w:rPr>
                <w:rStyle w:val="Codevalue"/>
              </w:rPr>
              <w:t>"8"</w:t>
            </w:r>
            <w:r>
              <w:rPr>
                <w:rStyle w:val="Code"/>
              </w:rPr>
              <w:t>&gt;</w:t>
            </w:r>
            <w:r>
              <w:rPr>
                <w:rStyle w:val="Codetext"/>
              </w:rPr>
              <w:t>8</w:t>
            </w:r>
            <w:r>
              <w:rPr>
                <w:rStyle w:val="Code"/>
              </w:rPr>
              <w:t>&lt;/num&gt; &lt;abbr&gt;</w:t>
            </w:r>
            <w:r>
              <w:rPr>
                <w:rStyle w:val="Codetext"/>
              </w:rPr>
              <w:t>di</w:t>
            </w:r>
            <w:r>
              <w:rPr>
                <w:rStyle w:val="Code"/>
              </w:rPr>
              <w:t xml:space="preserve">&lt;/abbr&gt; &lt;num </w:t>
            </w:r>
            <w:r>
              <w:rPr>
                <w:rStyle w:val="Codeattribute"/>
              </w:rPr>
              <w:t>value=</w:t>
            </w:r>
            <w:r>
              <w:rPr>
                <w:rStyle w:val="Codevalue"/>
              </w:rPr>
              <w:t>"15"</w:t>
            </w:r>
            <w:r>
              <w:rPr>
                <w:rStyle w:val="Code"/>
              </w:rPr>
              <w:t xml:space="preserve">&gt;&lt;g </w:t>
            </w:r>
            <w:r>
              <w:rPr>
                <w:rStyle w:val="Codeattribute"/>
              </w:rPr>
              <w:t>type=</w:t>
            </w:r>
            <w:r>
              <w:rPr>
                <w:rStyle w:val="Codevalue"/>
              </w:rPr>
              <w:t>"numeral"</w:t>
            </w:r>
            <w:r>
              <w:rPr>
                <w:rStyle w:val="Code"/>
              </w:rPr>
              <w:t>&gt;</w:t>
            </w:r>
            <w:r>
              <w:rPr>
                <w:rStyle w:val="Codetext"/>
              </w:rPr>
              <w:t>10</w:t>
            </w:r>
            <w:r>
              <w:rPr>
                <w:rStyle w:val="Code"/>
              </w:rPr>
              <w:t xml:space="preserve">&lt;/g&gt; </w:t>
            </w:r>
            <w:r>
              <w:rPr>
                <w:rStyle w:val="Codetext"/>
              </w:rPr>
              <w:t>5</w:t>
            </w:r>
            <w:r>
              <w:rPr>
                <w:rStyle w:val="Code"/>
              </w:rPr>
              <w:t>&lt;/num&gt;</w:t>
            </w:r>
          </w:p>
        </w:tc>
      </w:tr>
      <w:tr>
        <w:tc>
          <w:tcPr>
            <w:tcW w:w="5000" w:type="pct"/>
          </w:tcPr>
          <w:p>
            <w:pPr>
              <w:pStyle w:val="TableNote"/>
            </w:pPr>
            <w:r>
              <w:t xml:space="preserve">the date is </w:t>
            </w:r>
            <w:r>
              <w:rPr>
                <w:rStyle w:val="Foreign"/>
              </w:rPr>
              <w:t>saṁ 18 he 8 di 15</w:t>
            </w:r>
            <w:r>
              <w:t>, meaning the 15</w:t>
            </w:r>
            <w:r>
              <w:rPr>
                <w:vertAlign w:val="superscript"/>
              </w:rPr>
              <w:t>th</w:t>
            </w:r>
            <w:r>
              <w:t xml:space="preserve"> day </w:t>
            </w:r>
            <w:r>
              <w:rPr>
                <w:noProof/>
              </w:rPr>
              <w:t>(</w:t>
            </w:r>
            <w:r>
              <w:rPr>
                <w:rStyle w:val="Foreign"/>
              </w:rPr>
              <w:t>divasa</w:t>
            </w:r>
            <w:r>
              <w:t>) of the 8</w:t>
            </w:r>
            <w:r>
              <w:rPr>
                <w:vertAlign w:val="superscript"/>
              </w:rPr>
              <w:t>th</w:t>
            </w:r>
            <w:r>
              <w:t xml:space="preserve"> fortnight of the cold season </w:t>
            </w:r>
            <w:r>
              <w:rPr>
                <w:noProof/>
              </w:rPr>
              <w:t>(</w:t>
            </w:r>
            <w:r>
              <w:rPr>
                <w:rStyle w:val="Foreign"/>
              </w:rPr>
              <w:t>hemanta</w:t>
            </w:r>
            <w:r>
              <w:t xml:space="preserve">) in the year </w:t>
            </w:r>
            <w:r>
              <w:rPr>
                <w:noProof/>
              </w:rPr>
              <w:t>(</w:t>
            </w:r>
            <w:r>
              <w:rPr>
                <w:rStyle w:val="Foreign"/>
              </w:rPr>
              <w:t>saṁvat</w:t>
            </w:r>
            <w:r>
              <w:t>) 18</w:t>
            </w:r>
          </w:p>
          <w:p>
            <w:pPr>
              <w:pStyle w:val="TableNote"/>
            </w:pPr>
            <w:r>
              <w:t xml:space="preserve">the glyphs representing the numeral 10 are wrapped in </w:t>
            </w:r>
            <w:r>
              <w:rPr>
                <w:rStyle w:val="Code"/>
              </w:rPr>
              <w:t>&lt;g&gt;</w:t>
            </w:r>
            <w:r>
              <w:t xml:space="preserve"> and are separated by a space from the adjacent text as well as from the adjacent numeric characters representing decimal digits</w:t>
            </w:r>
          </w:p>
          <w:p>
            <w:pPr>
              <w:pStyle w:val="TableNote"/>
            </w:pPr>
            <w:r>
              <w:t xml:space="preserve">for encoding the value of a number with </w:t>
            </w:r>
            <w:r>
              <w:rPr>
                <w:rStyle w:val="Code"/>
              </w:rPr>
              <w:t>&lt;num&gt;</w:t>
            </w:r>
            <w:r>
              <w:t>, see §</w:t>
            </w:r>
            <w:r>
              <w:fldChar w:fldCharType="begin"/>
            </w:r>
            <w:r>
              <w:instrText xml:space="preserve"> REF _Ref43980607 \r \h </w:instrText>
            </w:r>
            <w:r>
              <w:fldChar w:fldCharType="separate"/>
            </w:r>
            <w:r>
              <w:t>9.1</w:t>
            </w:r>
            <w:r>
              <w:fldChar w:fldCharType="end"/>
            </w:r>
          </w:p>
          <w:p>
            <w:pPr>
              <w:pStyle w:val="TableNote"/>
            </w:pPr>
            <w:r>
              <w:t>for the encoding of abbreviations, see §</w:t>
            </w:r>
            <w:r>
              <w:fldChar w:fldCharType="begin"/>
            </w:r>
            <w:r>
              <w:instrText xml:space="preserve"> REF _Ref43989327 \r \h </w:instrText>
            </w:r>
            <w:r>
              <w:fldChar w:fldCharType="separate"/>
            </w:r>
            <w:r>
              <w:t>8.2.2</w:t>
            </w:r>
            <w:r>
              <w:fldChar w:fldCharType="end"/>
            </w:r>
          </w:p>
        </w:tc>
      </w:tr>
    </w:tbl>
    <w:p>
      <w:pPr>
        <w:pStyle w:val="Cmsor4"/>
      </w:pPr>
      <w:bookmarkStart w:id="715" w:name="_Ref72139759"/>
      <w:r>
        <w:t>Numbers expressed in words</w:t>
      </w:r>
      <w:bookmarkEnd w:id="715"/>
    </w:p>
    <w:p>
      <w:pPr>
        <w:pStyle w:val="Lista"/>
      </w:pPr>
      <w:r>
        <w:t xml:space="preserve">words expressing numbers may be optionally encoded with </w:t>
      </w:r>
      <w:r>
        <w:rPr>
          <w:rStyle w:val="Code"/>
        </w:rPr>
        <w:t>&lt;num&gt;</w:t>
      </w:r>
      <w:r>
        <w:t>, including</w:t>
      </w:r>
    </w:p>
    <w:p>
      <w:pPr>
        <w:pStyle w:val="Lista2"/>
      </w:pPr>
      <w:r>
        <w:t xml:space="preserve">numbers spelled out in words such as </w:t>
      </w:r>
      <w:r>
        <w:rPr>
          <w:rStyle w:val="Foreign"/>
        </w:rPr>
        <w:t>ekaḥ</w:t>
      </w:r>
      <w:r>
        <w:t xml:space="preserve"> and </w:t>
      </w:r>
      <w:r>
        <w:rPr>
          <w:rStyle w:val="Foreign"/>
        </w:rPr>
        <w:t>aṣṭottaraśataṁ</w:t>
      </w:r>
    </w:p>
    <w:p>
      <w:pPr>
        <w:pStyle w:val="Lista2"/>
      </w:pPr>
      <w:r>
        <w:t xml:space="preserve">“coded” numbers </w:t>
      </w:r>
      <w:r>
        <w:rPr>
          <w:noProof/>
        </w:rPr>
        <w:t>(</w:t>
      </w:r>
      <w:r>
        <w:rPr>
          <w:rStyle w:val="Foreign"/>
        </w:rPr>
        <w:t>bhūtasaṁkhyā</w:t>
      </w:r>
      <w:r>
        <w:t xml:space="preserve">, </w:t>
      </w:r>
      <w:r>
        <w:rPr>
          <w:rStyle w:val="Foreign"/>
        </w:rPr>
        <w:t>candrasengkala</w:t>
      </w:r>
      <w:r>
        <w:rPr>
          <w:noProof/>
        </w:rPr>
        <w:t>/</w:t>
      </w:r>
      <w:r>
        <w:rPr>
          <w:rStyle w:val="Foreign"/>
        </w:rPr>
        <w:t>sengkalan</w:t>
      </w:r>
      <w:r>
        <w:t>) as used for example in chronograms</w:t>
      </w:r>
    </w:p>
    <w:p>
      <w:pPr>
        <w:pStyle w:val="Lista"/>
      </w:pPr>
      <w:r>
        <w:t xml:space="preserve">when a number is expressed in multiple words, preferably tag the entire phrase with </w:t>
      </w:r>
      <w:r>
        <w:rPr>
          <w:rStyle w:val="Code"/>
        </w:rPr>
        <w:t>&lt;num&gt;</w:t>
      </w:r>
      <w:r>
        <w:t xml:space="preserve"> and encode the total value as its </w:t>
      </w:r>
      <w:r>
        <w:rPr>
          <w:rStyle w:val="Codeattribute"/>
        </w:rPr>
        <w:t>@value</w:t>
      </w:r>
    </w:p>
    <w:p>
      <w:pPr>
        <w:pStyle w:val="Lista2"/>
      </w:pPr>
      <w:r>
        <w:t xml:space="preserve">in such cases, words not in themselves expressing a number may be included within the scope of </w:t>
      </w:r>
      <w:r>
        <w:rPr>
          <w:rStyle w:val="Code"/>
        </w:rPr>
        <w:t>&lt;num&gt;</w:t>
      </w:r>
      <w:r>
        <w:t xml:space="preserve"> if they are intermingled with numeral words</w:t>
      </w:r>
    </w:p>
    <w:p>
      <w:pPr>
        <w:pStyle w:val="Lista2"/>
      </w:pPr>
      <w:r>
        <w:lastRenderedPageBreak/>
        <w:t>note that numeral expressions extending across block-level elements (such as verse lines) cannot be tagged in this way without complicated encoding that we prefer to avoid</w:t>
      </w:r>
    </w:p>
    <w:p>
      <w:pPr>
        <w:pStyle w:val="Lista"/>
      </w:pPr>
      <w:r>
        <w:t xml:space="preserve">adding </w:t>
      </w:r>
      <w:r>
        <w:rPr>
          <w:rStyle w:val="Code"/>
        </w:rPr>
        <w:t>&lt;num&gt;</w:t>
      </w:r>
      <w:r>
        <w:t xml:space="preserve"> is recommended for numbers expressed with a combination of words and numeral signs, e.g.</w:t>
      </w:r>
    </w:p>
    <w:p>
      <w:pPr>
        <w:pStyle w:val="Lista2"/>
      </w:pPr>
      <w:r>
        <w:rPr>
          <w:rStyle w:val="Code"/>
        </w:rPr>
        <w:t xml:space="preserve">&lt;num </w:t>
      </w:r>
      <w:r>
        <w:rPr>
          <w:rStyle w:val="Codeattribute"/>
        </w:rPr>
        <w:t>value</w:t>
      </w:r>
      <w:r>
        <w:rPr>
          <w:rStyle w:val="Code"/>
        </w:rPr>
        <w:t>="</w:t>
      </w:r>
      <w:r>
        <w:rPr>
          <w:rStyle w:val="Codevalue"/>
        </w:rPr>
        <w:t>557</w:t>
      </w:r>
      <w:r>
        <w:rPr>
          <w:rStyle w:val="Code"/>
        </w:rPr>
        <w:t>"&gt;</w:t>
      </w:r>
      <w:r>
        <w:rPr>
          <w:rStyle w:val="Codetext"/>
        </w:rPr>
        <w:t xml:space="preserve">slik·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I</w:t>
      </w:r>
      <w:r>
        <w:rPr>
          <w:rStyle w:val="Code"/>
        </w:rPr>
        <w:t xml:space="preserve">&lt;/g&gt; &lt;g </w:t>
      </w:r>
      <w:r>
        <w:rPr>
          <w:rStyle w:val="Codeattribute"/>
        </w:rPr>
        <w:t>type</w:t>
      </w:r>
      <w:r>
        <w:rPr>
          <w:rStyle w:val="Code"/>
        </w:rPr>
        <w:t>="</w:t>
      </w:r>
      <w:r>
        <w:rPr>
          <w:rStyle w:val="Codevalue"/>
        </w:rPr>
        <w:t>numeral</w:t>
      </w:r>
      <w:r>
        <w:rPr>
          <w:rStyle w:val="Code"/>
        </w:rPr>
        <w:t>"&gt;</w:t>
      </w:r>
      <w:r>
        <w:rPr>
          <w:rStyle w:val="Codetext"/>
        </w:rPr>
        <w:t>100</w:t>
      </w:r>
      <w:r>
        <w:rPr>
          <w:rStyle w:val="Code"/>
        </w:rPr>
        <w:t xml:space="preserve">&lt;/g&gt; &lt;g </w:t>
      </w:r>
      <w:r>
        <w:rPr>
          <w:rStyle w:val="Codeattribute"/>
        </w:rPr>
        <w:t>type</w:t>
      </w:r>
      <w:r>
        <w:rPr>
          <w:rStyle w:val="Code"/>
        </w:rPr>
        <w:t>="</w:t>
      </w:r>
      <w:r>
        <w:rPr>
          <w:rStyle w:val="Codevalue"/>
        </w:rPr>
        <w:t>numeral</w:t>
      </w:r>
      <w:r>
        <w:rPr>
          <w:rStyle w:val="Code"/>
        </w:rPr>
        <w:t>"&gt;</w:t>
      </w:r>
      <w:r>
        <w:rPr>
          <w:rStyle w:val="Codetext"/>
        </w:rPr>
        <w:t>40</w:t>
      </w:r>
      <w:r>
        <w:rPr>
          <w:rStyle w:val="Code"/>
        </w:rPr>
        <w:t xml:space="preserve">&lt;/g&gt; &lt;g </w:t>
      </w:r>
      <w:r>
        <w:rPr>
          <w:rStyle w:val="Codeattribute"/>
        </w:rPr>
        <w:t>type</w:t>
      </w:r>
      <w:r>
        <w:rPr>
          <w:rStyle w:val="Code"/>
        </w:rPr>
        <w:t>="</w:t>
      </w:r>
      <w:r>
        <w:rPr>
          <w:rStyle w:val="Codevalue"/>
        </w:rPr>
        <w:t>numeral</w:t>
      </w:r>
      <w:r>
        <w:rPr>
          <w:rStyle w:val="Code"/>
        </w:rPr>
        <w:t>"&gt;</w:t>
      </w:r>
      <w:r>
        <w:rPr>
          <w:rStyle w:val="Codetext"/>
        </w:rPr>
        <w:t>10</w:t>
      </w:r>
      <w:r>
        <w:rPr>
          <w:rStyle w:val="Code"/>
        </w:rPr>
        <w:t xml:space="preserve">&lt;/g&gt; &lt;g </w:t>
      </w:r>
      <w:r>
        <w:rPr>
          <w:rStyle w:val="Codeattribute"/>
        </w:rPr>
        <w:t>type</w:t>
      </w:r>
      <w:r>
        <w:rPr>
          <w:rStyle w:val="Code"/>
        </w:rPr>
        <w:t>="</w:t>
      </w:r>
      <w:r>
        <w:rPr>
          <w:rStyle w:val="Codevalue"/>
        </w:rPr>
        <w:t>numeral</w:t>
      </w:r>
      <w:r>
        <w:rPr>
          <w:rStyle w:val="Code"/>
        </w:rPr>
        <w:t>"&gt;</w:t>
      </w:r>
      <w:r>
        <w:rPr>
          <w:rStyle w:val="Codetext"/>
        </w:rPr>
        <w:t>7</w:t>
      </w:r>
      <w:r>
        <w:rPr>
          <w:rStyle w:val="Code"/>
        </w:rPr>
        <w:t>&lt;g&gt;&lt;/num&gt;</w:t>
      </w:r>
    </w:p>
    <w:p>
      <w:pPr>
        <w:pStyle w:val="Lista2"/>
      </w:pPr>
      <w:r>
        <w:rPr>
          <w:rStyle w:val="Code"/>
        </w:rPr>
        <w:t xml:space="preserve">&lt;num </w:t>
      </w:r>
      <w:r>
        <w:rPr>
          <w:rStyle w:val="Codeattribute"/>
        </w:rPr>
        <w:t>value</w:t>
      </w:r>
      <w:r>
        <w:rPr>
          <w:rStyle w:val="Code"/>
        </w:rPr>
        <w:t>="</w:t>
      </w:r>
      <w:r>
        <w:rPr>
          <w:rStyle w:val="Codevalue"/>
        </w:rPr>
        <w:t>186</w:t>
      </w:r>
      <w:r>
        <w:rPr>
          <w:rStyle w:val="Code"/>
        </w:rPr>
        <w:t>"&gt;</w:t>
      </w:r>
      <w:r>
        <w:rPr>
          <w:rStyle w:val="Codetext"/>
        </w:rPr>
        <w:t>sā rutuḥ 86</w:t>
      </w:r>
      <w:r>
        <w:rPr>
          <w:rStyle w:val="Code"/>
        </w:rPr>
        <w:t>&lt;/num&gt;</w:t>
      </w:r>
    </w:p>
    <w:p>
      <w:pPr>
        <w:pStyle w:val="Cmsor3"/>
      </w:pPr>
      <w:bookmarkStart w:id="716" w:name="_Ref231892505"/>
      <w:bookmarkStart w:id="717" w:name="_Toc242976679"/>
      <w:r>
        <w:t>Difficulties in reading numbers</w:t>
      </w:r>
      <w:bookmarkEnd w:id="716"/>
      <w:bookmarkEnd w:id="717"/>
    </w:p>
    <w:p>
      <w:pPr>
        <w:pStyle w:val="Lista"/>
      </w:pPr>
      <w:r>
        <w:t xml:space="preserve">problems with reading numeral signs </w:t>
      </w:r>
      <w:r>
        <w:rPr>
          <w:noProof/>
        </w:rPr>
        <w:t>(</w:t>
      </w:r>
      <w:r>
        <w:t xml:space="preserve">e.g. lacunae, unclear and ambivalent readings) can and must be marked up in the same way as other legibility issues </w:t>
      </w:r>
      <w:r>
        <w:rPr>
          <w:noProof/>
        </w:rPr>
        <w:t>(</w:t>
      </w:r>
      <w:r>
        <w:t>§</w:t>
      </w:r>
      <w:r>
        <w:fldChar w:fldCharType="begin"/>
      </w:r>
      <w:r>
        <w:instrText xml:space="preserve"> REF _Ref231895504 \r \h </w:instrText>
      </w:r>
      <w:r>
        <w:fldChar w:fldCharType="separate"/>
      </w:r>
      <w:r>
        <w:t>6</w:t>
      </w:r>
      <w:r>
        <w:fldChar w:fldCharType="end"/>
      </w:r>
      <w:r>
        <w:t>)</w:t>
      </w:r>
    </w:p>
    <w:p>
      <w:pPr>
        <w:pStyle w:val="Lista"/>
      </w:pPr>
      <w:r>
        <w:t>if a numeral sign is unclear or ambivalent, the applicable tags must be placed</w:t>
      </w:r>
    </w:p>
    <w:p>
      <w:pPr>
        <w:pStyle w:val="Lista2"/>
      </w:pPr>
      <w:r>
        <w:t xml:space="preserve">outside any </w:t>
      </w:r>
      <w:r>
        <w:rPr>
          <w:rStyle w:val="Code"/>
        </w:rPr>
        <w:t>&lt;g&gt;</w:t>
      </w:r>
      <w:r>
        <w:t xml:space="preserve"> elements applied to numeral characters</w:t>
      </w:r>
    </w:p>
    <w:p>
      <w:pPr>
        <w:pStyle w:val="Lista2"/>
      </w:pPr>
      <w:r>
        <w:t xml:space="preserve">but inside the </w:t>
      </w:r>
      <w:r>
        <w:rPr>
          <w:rStyle w:val="Code"/>
        </w:rPr>
        <w:t>&lt;num&gt;</w:t>
      </w:r>
      <w:r>
        <w:t xml:space="preserve"> element that wraps numbers as a whole</w:t>
      </w:r>
    </w:p>
    <w:p>
      <w:pPr>
        <w:pStyle w:val="Lista"/>
      </w:pPr>
      <w:r>
        <w:t xml:space="preserve">numbers whose reading is problematic will usually not have a definite value that you can encode in the </w:t>
      </w:r>
      <w:r>
        <w:rPr>
          <w:rStyle w:val="Code"/>
        </w:rPr>
        <w:t>&lt;num&gt;</w:t>
      </w:r>
      <w:r>
        <w:t xml:space="preserve"> element; to deal with this problem, choose one of the methods in the following subsections</w:t>
      </w:r>
    </w:p>
    <w:p>
      <w:pPr>
        <w:pStyle w:val="Lista2"/>
      </w:pPr>
      <w:r>
        <w:t>whichever method you use, possible values and their relative probabilities may be elaborated in your annotation</w:t>
      </w:r>
    </w:p>
    <w:p>
      <w:pPr>
        <w:pStyle w:val="Cmsor4"/>
      </w:pPr>
      <w:r>
        <w:t>Range of values</w:t>
      </w:r>
    </w:p>
    <w:p>
      <w:r>
        <w:t>If you can establish a range that covers the possible values of a problematic numeral, encode as follows.</w:t>
      </w:r>
    </w:p>
    <w:p>
      <w:pPr>
        <w:pStyle w:val="Lista"/>
      </w:pPr>
      <w:r>
        <w:t xml:space="preserve">instead of the attribute </w:t>
      </w:r>
      <w:r>
        <w:rPr>
          <w:rStyle w:val="Codeattribute"/>
        </w:rPr>
        <w:t>@value</w:t>
      </w:r>
      <w:r>
        <w:t xml:space="preserve">, use </w:t>
      </w:r>
      <w:r>
        <w:rPr>
          <w:rStyle w:val="Codeattribute"/>
        </w:rPr>
        <w:t>@atLeast</w:t>
      </w:r>
      <w:r>
        <w:t xml:space="preserve"> and </w:t>
      </w:r>
      <w:r>
        <w:rPr>
          <w:rStyle w:val="Codeattribute"/>
        </w:rPr>
        <w:t>@atMost</w:t>
      </w:r>
      <w:r>
        <w:t xml:space="preserve"> in the </w:t>
      </w:r>
      <w:r>
        <w:rPr>
          <w:rStyle w:val="Code"/>
        </w:rPr>
        <w:t>&lt;num&gt;</w:t>
      </w:r>
      <w:r>
        <w:t xml:space="preserve"> element to record the lowest and highest possible value of the number as a whole</w:t>
      </w:r>
    </w:p>
    <w:p>
      <w:pPr>
        <w:pStyle w:val="Lista2"/>
      </w:pPr>
      <w:r>
        <w:t xml:space="preserve">e.g. for three digits in place value notation, where the first two digits are 1 and 0, and the last digit is illegible: </w:t>
      </w:r>
      <w:r>
        <w:rPr>
          <w:rStyle w:val="Code"/>
        </w:rPr>
        <w:t xml:space="preserve">&lt;num </w:t>
      </w:r>
      <w:r>
        <w:rPr>
          <w:rStyle w:val="Codeattribute"/>
        </w:rPr>
        <w:t>atLeast</w:t>
      </w:r>
      <w:r>
        <w:rPr>
          <w:rStyle w:val="Code"/>
        </w:rPr>
        <w:t>=</w:t>
      </w:r>
      <w:r>
        <w:rPr>
          <w:rStyle w:val="Codevalue"/>
        </w:rPr>
        <w:t>"101"</w:t>
      </w:r>
      <w:r>
        <w:rPr>
          <w:rStyle w:val="Code"/>
        </w:rPr>
        <w:t xml:space="preserve"> </w:t>
      </w:r>
      <w:r>
        <w:rPr>
          <w:rStyle w:val="Codeattribute"/>
        </w:rPr>
        <w:t>atMost</w:t>
      </w:r>
      <w:r>
        <w:rPr>
          <w:rStyle w:val="Code"/>
        </w:rPr>
        <w:t>=</w:t>
      </w:r>
      <w:r>
        <w:rPr>
          <w:rStyle w:val="Codevalue"/>
        </w:rPr>
        <w:t>"109"</w:t>
      </w:r>
      <w:r>
        <w:rPr>
          <w:rStyle w:val="Code"/>
        </w:rPr>
        <w:t>&gt;</w:t>
      </w:r>
      <w:r>
        <w:rPr>
          <w:rStyle w:val="Codetext"/>
        </w:rPr>
        <w:t>10</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"character"</w:t>
      </w:r>
      <w:r>
        <w:rPr>
          <w:rStyle w:val="Code"/>
        </w:rPr>
        <w:t>/&gt;&lt;/num&gt;</w:t>
      </w:r>
    </w:p>
    <w:p>
      <w:pPr>
        <w:pStyle w:val="Lista"/>
      </w:pPr>
      <w:r>
        <w:t>because of its relative simplicity, this method is also recommended for situations where only some figures in a relatively limited range are possible</w:t>
      </w:r>
    </w:p>
    <w:p>
      <w:pPr>
        <w:pStyle w:val="Lista2"/>
        <w:rPr>
          <w:rStyle w:val="Code"/>
          <w:rFonts w:ascii="Gentium" w:hAnsi="Gentium" w:cs="Tiro Devanagari Sanskrit"/>
          <w:noProof w:val="0"/>
          <w:color w:val="auto"/>
          <w:shd w:val="clear" w:color="auto" w:fill="auto"/>
        </w:rPr>
      </w:pPr>
      <w:r>
        <w:t xml:space="preserve">e.g. for an unclear numeral sign that may be 80 or 90 with equal likelihood: </w:t>
      </w:r>
      <w:r>
        <w:rPr>
          <w:rStyle w:val="Code"/>
        </w:rPr>
        <w:t xml:space="preserve">&lt;num </w:t>
      </w:r>
      <w:r>
        <w:rPr>
          <w:rStyle w:val="Codeattribute"/>
        </w:rPr>
        <w:t>atLeast</w:t>
      </w:r>
      <w:r>
        <w:rPr>
          <w:rStyle w:val="Code"/>
        </w:rPr>
        <w:t>=</w:t>
      </w:r>
      <w:r>
        <w:rPr>
          <w:rStyle w:val="Codevalue"/>
        </w:rPr>
        <w:t>"80"</w:t>
      </w:r>
      <w:r>
        <w:rPr>
          <w:rStyle w:val="Code"/>
        </w:rPr>
        <w:t xml:space="preserve"> </w:t>
      </w:r>
      <w:r>
        <w:rPr>
          <w:rStyle w:val="Codeattribute"/>
        </w:rPr>
        <w:t>atMost</w:t>
      </w:r>
      <w:r>
        <w:rPr>
          <w:rStyle w:val="Code"/>
        </w:rPr>
        <w:t>=</w:t>
      </w:r>
      <w:r>
        <w:rPr>
          <w:rStyle w:val="Codevalue"/>
        </w:rPr>
        <w:t>"90"</w:t>
      </w:r>
      <w:r>
        <w:rPr>
          <w:rStyle w:val="Code"/>
        </w:rPr>
        <w:t xml:space="preserve">&gt;&lt;choice&gt;&lt;unclear&gt;&lt;g </w:t>
      </w:r>
      <w:r>
        <w:rPr>
          <w:rStyle w:val="Codeattribute"/>
        </w:rPr>
        <w:t>type</w:t>
      </w:r>
      <w:r>
        <w:rPr>
          <w:rStyle w:val="Code"/>
        </w:rPr>
        <w:t>=</w:t>
      </w:r>
      <w:r>
        <w:rPr>
          <w:rStyle w:val="Codevalue"/>
        </w:rPr>
        <w:t>"numeral"</w:t>
      </w:r>
      <w:r>
        <w:rPr>
          <w:rStyle w:val="Code"/>
        </w:rPr>
        <w:t>&gt;</w:t>
      </w:r>
      <w:r>
        <w:rPr>
          <w:rStyle w:val="Codetext"/>
        </w:rPr>
        <w:t>80</w:t>
      </w:r>
      <w:r>
        <w:rPr>
          <w:rStyle w:val="Code"/>
        </w:rPr>
        <w:t xml:space="preserve">&lt;/g&gt;&lt;/unclear&gt;&lt;unclear&gt;&lt;g </w:t>
      </w:r>
      <w:r>
        <w:rPr>
          <w:rStyle w:val="Codeattribute"/>
        </w:rPr>
        <w:t>type</w:t>
      </w:r>
      <w:r>
        <w:rPr>
          <w:rStyle w:val="Code"/>
        </w:rPr>
        <w:t>=</w:t>
      </w:r>
      <w:r>
        <w:rPr>
          <w:rStyle w:val="Codevalue"/>
        </w:rPr>
        <w:t>"numeral"</w:t>
      </w:r>
      <w:r>
        <w:rPr>
          <w:rStyle w:val="Code"/>
        </w:rPr>
        <w:t>&gt;</w:t>
      </w:r>
      <w:r>
        <w:rPr>
          <w:rStyle w:val="Codetext"/>
        </w:rPr>
        <w:t>90</w:t>
      </w:r>
      <w:r>
        <w:rPr>
          <w:rStyle w:val="Code"/>
        </w:rPr>
        <w:t>&lt;/g&gt;&lt;/unclear&gt;&lt;/choice&gt;&lt;/num&gt;</w:t>
      </w:r>
    </w:p>
    <w:p>
      <w:pPr>
        <w:pStyle w:val="Lista2"/>
      </w:pPr>
      <w:r>
        <w:t>the EpiDoc Guidelines</w:t>
      </w:r>
      <w:r>
        <w:rPr>
          <w:rStyle w:val="Lbjegyzet-hivatkozs"/>
        </w:rPr>
        <w:footnoteReference w:id="39"/>
      </w:r>
      <w:r>
        <w:t xml:space="preserve"> offer a further method for dealing with partly lost numerals whose gamut of possible values is not sequential, but we discourage the use of this method because we do not foresee that our project would benefit from the increased accuracy to an extent that would justify the complexity of the markup involved</w:t>
      </w:r>
    </w:p>
    <w:p>
      <w:pPr>
        <w:pStyle w:val="Cmsor4"/>
      </w:pPr>
      <w:r>
        <w:t>Tentative value</w:t>
      </w:r>
    </w:p>
    <w:p>
      <w:r>
        <w:t>If you can establish a single tentative value for a problematic numeral, encode as follows.</w:t>
      </w:r>
    </w:p>
    <w:p>
      <w:pPr>
        <w:pStyle w:val="Lista"/>
      </w:pPr>
      <w:r>
        <w:t xml:space="preserve">use the tentative value in the attribute </w:t>
      </w:r>
      <w:r>
        <w:rPr>
          <w:rStyle w:val="Codeattribute"/>
        </w:rPr>
        <w:t>@value</w:t>
      </w:r>
      <w:r>
        <w:t xml:space="preserve"> and add the attribute </w:t>
      </w:r>
      <w:r>
        <w:rPr>
          <w:rStyle w:val="Codeattribute"/>
        </w:rPr>
        <w:t>@cert</w:t>
      </w:r>
      <w:r>
        <w:t xml:space="preserve"> with the value </w:t>
      </w:r>
      <w:r>
        <w:rPr>
          <w:rStyle w:val="Codevalue"/>
        </w:rPr>
        <w:t>"low"</w:t>
      </w:r>
      <w:r>
        <w:t xml:space="preserve"> to flag the value as uncertain</w:t>
      </w:r>
    </w:p>
    <w:p>
      <w:pPr>
        <w:pStyle w:val="Lista2"/>
      </w:pPr>
      <w:r>
        <w:t xml:space="preserve">e.g. for three digits in place value notation, where the first two digits are 2 and 4, and the last digit seems to be 6: </w:t>
      </w:r>
      <w:r>
        <w:rPr>
          <w:rStyle w:val="Code"/>
        </w:rPr>
        <w:t xml:space="preserve">&lt;num </w:t>
      </w:r>
      <w:r>
        <w:rPr>
          <w:rStyle w:val="Codeattribute"/>
        </w:rPr>
        <w:t>value</w:t>
      </w:r>
      <w:r>
        <w:rPr>
          <w:rStyle w:val="Code"/>
        </w:rPr>
        <w:t>=</w:t>
      </w:r>
      <w:r>
        <w:rPr>
          <w:rStyle w:val="Codevalue"/>
        </w:rPr>
        <w:t>"246"</w:t>
      </w:r>
      <w:r>
        <w:rPr>
          <w:rStyle w:val="Code"/>
        </w:rPr>
        <w:t xml:space="preserve"> </w:t>
      </w:r>
      <w:r>
        <w:rPr>
          <w:rStyle w:val="Codeattribute"/>
        </w:rPr>
        <w:t>cert</w:t>
      </w:r>
      <w:r>
        <w:rPr>
          <w:rStyle w:val="Code"/>
        </w:rPr>
        <w:t>=</w:t>
      </w:r>
      <w:r>
        <w:rPr>
          <w:rStyle w:val="Codevalue"/>
        </w:rPr>
        <w:t>"low"</w:t>
      </w:r>
      <w:r>
        <w:rPr>
          <w:rStyle w:val="Code"/>
        </w:rPr>
        <w:t>&gt;</w:t>
      </w:r>
      <w:r>
        <w:rPr>
          <w:rStyle w:val="Codetext"/>
        </w:rPr>
        <w:t>24</w:t>
      </w:r>
      <w:r>
        <w:rPr>
          <w:rStyle w:val="Code"/>
        </w:rPr>
        <w:t>&lt;unclear&gt;</w:t>
      </w:r>
      <w:r>
        <w:rPr>
          <w:rStyle w:val="Codetext"/>
        </w:rPr>
        <w:t>6</w:t>
      </w:r>
      <w:r>
        <w:rPr>
          <w:rStyle w:val="Code"/>
        </w:rPr>
        <w:t>&lt;/unclear&gt;&lt;/num&gt;</w:t>
      </w:r>
    </w:p>
    <w:p>
      <w:pPr>
        <w:pStyle w:val="Cmsor4"/>
      </w:pPr>
      <w:r>
        <w:t>Tentative range</w:t>
      </w:r>
    </w:p>
    <w:p>
      <w:r>
        <w:t>The above methods may be combined to encode a range of tentative values.</w:t>
      </w:r>
    </w:p>
    <w:p>
      <w:pPr>
        <w:pStyle w:val="Lista"/>
      </w:pPr>
      <w:r>
        <w:t xml:space="preserve">e.g. for three digits in place value notation, where the first two digits are probably 1 and 0, and the last digit is illegible: </w:t>
      </w:r>
      <w:r>
        <w:rPr>
          <w:rStyle w:val="Code"/>
        </w:rPr>
        <w:t xml:space="preserve">&lt;num </w:t>
      </w:r>
      <w:r>
        <w:rPr>
          <w:rStyle w:val="Codeattribute"/>
        </w:rPr>
        <w:t>atLeast</w:t>
      </w:r>
      <w:r>
        <w:rPr>
          <w:rStyle w:val="Code"/>
        </w:rPr>
        <w:t>=</w:t>
      </w:r>
      <w:r>
        <w:rPr>
          <w:rStyle w:val="Codevalue"/>
        </w:rPr>
        <w:t>"101"</w:t>
      </w:r>
      <w:r>
        <w:rPr>
          <w:rStyle w:val="Code"/>
        </w:rPr>
        <w:t xml:space="preserve"> </w:t>
      </w:r>
      <w:r>
        <w:rPr>
          <w:rStyle w:val="Codeattribute"/>
        </w:rPr>
        <w:t>atMost</w:t>
      </w:r>
      <w:r>
        <w:rPr>
          <w:rStyle w:val="Code"/>
        </w:rPr>
        <w:t>=</w:t>
      </w:r>
      <w:r>
        <w:rPr>
          <w:rStyle w:val="Codevalue"/>
        </w:rPr>
        <w:t xml:space="preserve">"109" </w:t>
      </w:r>
      <w:r>
        <w:rPr>
          <w:rStyle w:val="Codeattribute"/>
        </w:rPr>
        <w:t>cert</w:t>
      </w:r>
      <w:r>
        <w:rPr>
          <w:rStyle w:val="Code"/>
        </w:rPr>
        <w:t>=</w:t>
      </w:r>
      <w:r>
        <w:rPr>
          <w:rStyle w:val="Codevalue"/>
        </w:rPr>
        <w:t>"low"</w:t>
      </w:r>
      <w:r>
        <w:rPr>
          <w:rStyle w:val="Code"/>
        </w:rPr>
        <w:t>&gt;&lt;unclear&gt;</w:t>
      </w:r>
      <w:r>
        <w:rPr>
          <w:rStyle w:val="Codetext"/>
        </w:rPr>
        <w:t>10</w:t>
      </w:r>
      <w:r>
        <w:rPr>
          <w:rStyle w:val="Code"/>
        </w:rPr>
        <w:t xml:space="preserve">&lt;/unclear&gt;&lt;gap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"character"</w:t>
      </w:r>
      <w:r>
        <w:rPr>
          <w:rStyle w:val="Code"/>
        </w:rPr>
        <w:t>/&gt;&lt;/num&gt;</w:t>
      </w:r>
    </w:p>
    <w:p>
      <w:pPr>
        <w:pStyle w:val="Cmsor4"/>
      </w:pPr>
      <w:r>
        <w:lastRenderedPageBreak/>
        <w:t>Unknown value</w:t>
      </w:r>
    </w:p>
    <w:p>
      <w:r>
        <w:t xml:space="preserve">If none of the above seems adequate for a partially legible numeral, or if a numeral is wholly lost or illegible </w:t>
      </w:r>
      <w:r>
        <w:rPr>
          <w:noProof/>
        </w:rPr>
        <w:t>(</w:t>
      </w:r>
      <w:r>
        <w:t>yet you are certain it was a numeral), encode as follows.</w:t>
      </w:r>
    </w:p>
    <w:p>
      <w:pPr>
        <w:pStyle w:val="Lista"/>
      </w:pPr>
      <w:r>
        <w:t xml:space="preserve">use the </w:t>
      </w:r>
      <w:r>
        <w:rPr>
          <w:rStyle w:val="Code"/>
        </w:rPr>
        <w:t>&lt;num&gt;</w:t>
      </w:r>
      <w:r>
        <w:t xml:space="preserve"> element without </w:t>
      </w:r>
      <w:r>
        <w:rPr>
          <w:rStyle w:val="Codeattribute"/>
        </w:rPr>
        <w:t>@value</w:t>
      </w:r>
      <w:r>
        <w:t xml:space="preserve"> around the partial reading or the lacuna</w:t>
      </w:r>
    </w:p>
    <w:p>
      <w:pPr>
        <w:pStyle w:val="Lista2"/>
      </w:pPr>
      <w:r>
        <w:t xml:space="preserve">e.g. for one lost/illegible numeral character: </w:t>
      </w:r>
      <w:r>
        <w:rPr>
          <w:rStyle w:val="Code"/>
        </w:rPr>
        <w:t xml:space="preserve">&lt;num&gt;&lt;gap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"character"</w:t>
      </w:r>
      <w:r>
        <w:rPr>
          <w:rStyle w:val="Code"/>
        </w:rPr>
        <w:t>/&gt;&lt;/num&gt;</w:t>
      </w:r>
    </w:p>
    <w:p>
      <w:pPr>
        <w:pStyle w:val="Cmsor3"/>
      </w:pPr>
      <w:bookmarkStart w:id="718" w:name="_h6ric5yl5k83" w:colFirst="0" w:colLast="0"/>
      <w:bookmarkStart w:id="719" w:name="_Toc242976680"/>
      <w:bookmarkEnd w:id="718"/>
      <w:r>
        <w:t>Editorial intervention and numerals</w:t>
      </w:r>
      <w:bookmarkEnd w:id="719"/>
    </w:p>
    <w:p>
      <w:pPr>
        <w:pStyle w:val="Lista"/>
      </w:pPr>
      <w:r>
        <w:t>occasionally, an editor may be able to restore a lost number, or even emend an incorrectly inscribed one, e.g. on the basis of the number being also written out in words</w:t>
      </w:r>
    </w:p>
    <w:p>
      <w:pPr>
        <w:pStyle w:val="Lista"/>
      </w:pPr>
      <w:r>
        <w:t>tags for editorial restoration (§</w:t>
      </w:r>
      <w:r>
        <w:fldChar w:fldCharType="begin"/>
      </w:r>
      <w:r>
        <w:instrText xml:space="preserve"> REF _Ref228459751 \r \h </w:instrText>
      </w:r>
      <w:r>
        <w:fldChar w:fldCharType="separate"/>
      </w:r>
      <w:r>
        <w:t>6.4</w:t>
      </w:r>
      <w:r>
        <w:fldChar w:fldCharType="end"/>
      </w:r>
      <w:r>
        <w:t xml:space="preserve">) may be used inside or outside the </w:t>
      </w:r>
      <w:r>
        <w:rPr>
          <w:rStyle w:val="Code"/>
        </w:rPr>
        <w:t>&lt;num&gt;</w:t>
      </w:r>
      <w:r>
        <w:t xml:space="preserve"> element depending on the scope of the restoration, but they must never be inside any </w:t>
      </w:r>
      <w:r>
        <w:rPr>
          <w:rStyle w:val="Code"/>
        </w:rPr>
        <w:t>&lt;g&gt;</w:t>
      </w:r>
      <w:r>
        <w:t xml:space="preserve"> elements applied to numeral signs</w:t>
      </w:r>
    </w:p>
    <w:p>
      <w:pPr>
        <w:pStyle w:val="Lista2"/>
      </w:pPr>
      <w:r>
        <w:t>a longer stretch of restored text may freely include both text and a numeral</w:t>
      </w:r>
    </w:p>
    <w:p>
      <w:pPr>
        <w:pStyle w:val="Lista2"/>
      </w:pPr>
      <w:r>
        <w:t xml:space="preserve">the </w:t>
      </w:r>
      <w:r>
        <w:rPr>
          <w:rStyle w:val="Codeattribute"/>
        </w:rPr>
        <w:t>@value</w:t>
      </w:r>
      <w:r>
        <w:t xml:space="preserve"> attribute of the </w:t>
      </w:r>
      <w:r>
        <w:rPr>
          <w:rStyle w:val="Code"/>
        </w:rPr>
        <w:t>&lt;num&gt;</w:t>
      </w:r>
      <w:r>
        <w:t xml:space="preserve"> element should reflect only the restored value</w:t>
      </w:r>
    </w:p>
    <w:p>
      <w:pPr>
        <w:pStyle w:val="Lista"/>
      </w:pPr>
      <w:r>
        <w:t>tags for editorial correction (§</w:t>
      </w:r>
      <w:r>
        <w:fldChar w:fldCharType="begin"/>
      </w:r>
      <w:r>
        <w:instrText xml:space="preserve"> REF _Ref229054270 \r \h </w:instrText>
      </w:r>
      <w:r>
        <w:fldChar w:fldCharType="separate"/>
      </w:r>
      <w:r>
        <w:t>7.2</w:t>
      </w:r>
      <w:r>
        <w:fldChar w:fldCharType="end"/>
      </w:r>
      <w:r>
        <w:t xml:space="preserve">) must be outside the </w:t>
      </w:r>
      <w:r>
        <w:rPr>
          <w:rStyle w:val="Code"/>
        </w:rPr>
        <w:t>&lt;num&gt;</w:t>
      </w:r>
      <w:r>
        <w:t xml:space="preserve"> elements, which must separately encode both the pre- and post-correction number</w:t>
      </w:r>
    </w:p>
    <w:p>
      <w:pPr>
        <w:pStyle w:val="Lista2"/>
        <w:rPr>
          <w:rStyle w:val="Code"/>
          <w:rFonts w:ascii="Gentium Plus" w:hAnsi="Gentium Plus" w:cs="Arial Unicode MS"/>
          <w:noProof w:val="0"/>
          <w:color w:val="auto"/>
          <w:shd w:val="clear" w:color="auto" w:fill="auto"/>
        </w:rPr>
      </w:pPr>
      <w:r>
        <w:t xml:space="preserve">e.g. </w:t>
      </w:r>
      <w:r>
        <w:rPr>
          <w:rStyle w:val="Code"/>
        </w:rPr>
        <w:t xml:space="preserve">&lt;choice&gt;&lt;sic&gt;&lt;num </w:t>
      </w:r>
      <w:r>
        <w:rPr>
          <w:rStyle w:val="Codeattribute"/>
        </w:rPr>
        <w:t>value</w:t>
      </w:r>
      <w:r>
        <w:rPr>
          <w:rStyle w:val="Code"/>
        </w:rPr>
        <w:t>=</w:t>
      </w:r>
      <w:r>
        <w:rPr>
          <w:rStyle w:val="Codevalue"/>
        </w:rPr>
        <w:t>"6"</w:t>
      </w:r>
      <w:r>
        <w:rPr>
          <w:rStyle w:val="Code"/>
        </w:rPr>
        <w:t>&gt;</w:t>
      </w:r>
      <w:r>
        <w:rPr>
          <w:rStyle w:val="Codetext"/>
        </w:rPr>
        <w:t>6</w:t>
      </w:r>
      <w:r>
        <w:rPr>
          <w:rStyle w:val="Code"/>
        </w:rPr>
        <w:t xml:space="preserve">&lt;/num&gt;&lt;/sic&gt;&lt;corr&gt;&lt;num </w:t>
      </w:r>
      <w:r>
        <w:rPr>
          <w:rStyle w:val="Codeattribute"/>
        </w:rPr>
        <w:t>value</w:t>
      </w:r>
      <w:r>
        <w:rPr>
          <w:rStyle w:val="Code"/>
        </w:rPr>
        <w:t>=</w:t>
      </w:r>
      <w:r>
        <w:rPr>
          <w:rStyle w:val="Codevalue"/>
        </w:rPr>
        <w:t>"7"</w:t>
      </w:r>
      <w:r>
        <w:rPr>
          <w:rStyle w:val="Code"/>
        </w:rPr>
        <w:t>&gt;</w:t>
      </w:r>
      <w:r>
        <w:rPr>
          <w:rStyle w:val="Codetext"/>
        </w:rPr>
        <w:t>7</w:t>
      </w:r>
      <w:r>
        <w:rPr>
          <w:rStyle w:val="Code"/>
        </w:rPr>
        <w:t>&lt;/num&gt;&lt;/corr&gt;&lt;/choice&gt;</w:t>
      </w:r>
    </w:p>
    <w:p>
      <w:pPr>
        <w:pStyle w:val="Lista2"/>
      </w:pPr>
      <w:r>
        <w:t>as a corollary of this, the entire number must be included in the correction markup even when editorial correction affects only one digit of a multi-digit numeral (regardless of whether the digits are in place value notation or not)</w:t>
      </w:r>
    </w:p>
    <w:p>
      <w:pPr>
        <w:pStyle w:val="Lista3"/>
      </w:pPr>
      <w:r>
        <w:t xml:space="preserve">e.g. </w:t>
      </w:r>
      <w:r>
        <w:rPr>
          <w:rStyle w:val="Code"/>
        </w:rPr>
        <w:t xml:space="preserve">&lt;choice&gt;&lt;sic&gt;&lt;num </w:t>
      </w:r>
      <w:r>
        <w:rPr>
          <w:rStyle w:val="Codeattribute"/>
        </w:rPr>
        <w:t>value</w:t>
      </w:r>
      <w:r>
        <w:rPr>
          <w:rStyle w:val="Code"/>
        </w:rPr>
        <w:t>=</w:t>
      </w:r>
      <w:r>
        <w:rPr>
          <w:rStyle w:val="Codevalue"/>
        </w:rPr>
        <w:t>"18"</w:t>
      </w:r>
      <w:r>
        <w:rPr>
          <w:rStyle w:val="Code"/>
        </w:rPr>
        <w:t>&gt;</w:t>
      </w:r>
      <w:r>
        <w:rPr>
          <w:rStyle w:val="Codetext"/>
        </w:rPr>
        <w:t>18</w:t>
      </w:r>
      <w:r>
        <w:rPr>
          <w:rStyle w:val="Code"/>
        </w:rPr>
        <w:t xml:space="preserve">&lt;/num&gt;&lt;/sic&gt;&lt;corr&gt;&lt;num </w:t>
      </w:r>
      <w:r>
        <w:rPr>
          <w:rStyle w:val="Codeattribute"/>
        </w:rPr>
        <w:t>value</w:t>
      </w:r>
      <w:r>
        <w:rPr>
          <w:rStyle w:val="Code"/>
        </w:rPr>
        <w:t>=</w:t>
      </w:r>
      <w:r>
        <w:rPr>
          <w:rStyle w:val="Codevalue"/>
        </w:rPr>
        <w:t>"28"</w:t>
      </w:r>
      <w:r>
        <w:rPr>
          <w:rStyle w:val="Code"/>
        </w:rPr>
        <w:t>&gt;</w:t>
      </w:r>
      <w:r>
        <w:rPr>
          <w:rStyle w:val="Codetext"/>
        </w:rPr>
        <w:t>28</w:t>
      </w:r>
      <w:r>
        <w:rPr>
          <w:rStyle w:val="Code"/>
        </w:rPr>
        <w:t>&lt;/num&gt;&lt;/corr&gt;&lt;/choice&gt;</w:t>
      </w:r>
    </w:p>
    <w:p>
      <w:pPr>
        <w:pStyle w:val="Cmsor2"/>
      </w:pPr>
      <w:bookmarkStart w:id="720" w:name="_Ref232002201"/>
      <w:r>
        <w:t>Abbreviations</w:t>
      </w:r>
      <w:bookmarkEnd w:id="682"/>
      <w:bookmarkEnd w:id="720"/>
    </w:p>
    <w:p>
      <w:pPr>
        <w:rPr>
          <w:lang w:eastAsia="en-US" w:bidi="ar-SA"/>
        </w:rPr>
      </w:pPr>
      <w:r>
        <w:rPr>
          <w:lang w:eastAsia="en-US" w:bidi="ar-SA"/>
        </w:rPr>
        <w:t>Abbreviations, i.e. strings of phonographic graphemes representing part of a word or phrase but understood to signify the entire word or phrase, may be tagged as such in TEI as per §</w:t>
      </w:r>
      <w:r>
        <w:rPr>
          <w:lang w:eastAsia="en-US" w:bidi="ar-SA"/>
        </w:rPr>
        <w:fldChar w:fldCharType="begin"/>
      </w:r>
      <w:r>
        <w:rPr>
          <w:lang w:eastAsia="en-US" w:bidi="ar-SA"/>
        </w:rPr>
        <w:instrText xml:space="preserve"> REF _Ref231905103 \r \h </w:instrText>
      </w:r>
      <w:r>
        <w:rPr>
          <w:lang w:eastAsia="en-US" w:bidi="ar-SA"/>
        </w:rPr>
      </w:r>
      <w:r>
        <w:rPr>
          <w:lang w:eastAsia="en-US" w:bidi="ar-SA"/>
        </w:rPr>
        <w:fldChar w:fldCharType="separate"/>
      </w:r>
      <w:r>
        <w:rPr>
          <w:lang w:eastAsia="en-US" w:bidi="ar-SA"/>
        </w:rPr>
        <w:t>9.2.1</w:t>
      </w:r>
      <w:r>
        <w:rPr>
          <w:lang w:eastAsia="en-US" w:bidi="ar-SA"/>
        </w:rPr>
        <w:fldChar w:fldCharType="end"/>
      </w:r>
      <w:r>
        <w:rPr>
          <w:lang w:eastAsia="en-US" w:bidi="ar-SA"/>
        </w:rPr>
        <w:t>, which allows them to be interpretable by a computer. Markup is also available for expanding abbreviations, i.e. for resolving the abbreviation into (your editorial notion of) the full word or phrase it signifies, as per §</w:t>
      </w:r>
      <w:r>
        <w:rPr>
          <w:lang w:eastAsia="en-US" w:bidi="ar-SA"/>
        </w:rPr>
        <w:fldChar w:fldCharType="begin"/>
      </w:r>
      <w:r>
        <w:rPr>
          <w:lang w:eastAsia="en-US" w:bidi="ar-SA"/>
        </w:rPr>
        <w:instrText xml:space="preserve"> REF _Ref122445893 \r \h </w:instrText>
      </w:r>
      <w:r>
        <w:rPr>
          <w:lang w:eastAsia="en-US" w:bidi="ar-SA"/>
        </w:rPr>
      </w:r>
      <w:r>
        <w:rPr>
          <w:lang w:eastAsia="en-US" w:bidi="ar-SA"/>
        </w:rPr>
        <w:fldChar w:fldCharType="separate"/>
      </w:r>
      <w:r>
        <w:rPr>
          <w:lang w:eastAsia="en-US" w:bidi="ar-SA"/>
        </w:rPr>
        <w:t>9.2.2</w:t>
      </w:r>
      <w:r>
        <w:rPr>
          <w:lang w:eastAsia="en-US" w:bidi="ar-SA"/>
        </w:rPr>
        <w:fldChar w:fldCharType="end"/>
      </w:r>
      <w:r>
        <w:rPr>
          <w:lang w:eastAsia="en-US" w:bidi="ar-SA"/>
        </w:rPr>
        <w:t xml:space="preserve">. </w:t>
      </w:r>
    </w:p>
    <w:p>
      <w:pPr>
        <w:pStyle w:val="Cmsor3"/>
      </w:pPr>
      <w:bookmarkStart w:id="721" w:name="_Ref231905103"/>
      <w:bookmarkStart w:id="722" w:name="_Toc242976681"/>
      <w:r>
        <w:t>Tagging abbreviations</w:t>
      </w:r>
      <w:bookmarkEnd w:id="721"/>
      <w:bookmarkEnd w:id="722"/>
    </w:p>
    <w:p>
      <w:pPr>
        <w:rPr>
          <w:lang w:eastAsia="en-US" w:bidi="ar-SA"/>
        </w:rPr>
      </w:pPr>
      <w:r>
        <w:rPr>
          <w:lang w:eastAsia="en-US" w:bidi="ar-SA"/>
        </w:rPr>
        <w:t>Encoding abbreviations is not mandatory in DHARMA editions, but it is generally recommended that you tag all abbreviations in your editions.</w:t>
      </w:r>
    </w:p>
    <w:p>
      <w:pPr>
        <w:pStyle w:val="Lista"/>
      </w:pPr>
      <w:r>
        <w:t xml:space="preserve">to tag an abbreviation, wrap it in the element </w:t>
      </w:r>
      <w:r>
        <w:rPr>
          <w:rStyle w:val="Code"/>
        </w:rPr>
        <w:t>&lt;abbr&gt;</w:t>
      </w:r>
      <w:r>
        <w:t xml:space="preserve"> without any attributes</w:t>
      </w:r>
    </w:p>
    <w:p>
      <w:pPr>
        <w:pStyle w:val="Lista2"/>
        <w:rPr>
          <w:rStyle w:val="Foreign"/>
          <w:i w:val="0"/>
          <w:iCs w:val="0"/>
          <w:noProof w:val="0"/>
        </w:rPr>
      </w:pPr>
      <w:r>
        <w:t xml:space="preserve">e.g. </w:t>
      </w:r>
      <w:r>
        <w:rPr>
          <w:rStyle w:val="Code"/>
        </w:rPr>
        <w:t>&lt;abbr&gt;</w:t>
      </w:r>
      <w:r>
        <w:rPr>
          <w:rStyle w:val="Codetext"/>
        </w:rPr>
        <w:t>su</w:t>
      </w:r>
      <w:r>
        <w:rPr>
          <w:rStyle w:val="Code"/>
        </w:rPr>
        <w:t>&lt;/abbr&gt;</w:t>
      </w:r>
      <w:r>
        <w:t xml:space="preserve"> for the abbreviation of </w:t>
      </w:r>
      <w:r>
        <w:rPr>
          <w:rStyle w:val="Foreign"/>
        </w:rPr>
        <w:t>suvarṇa</w:t>
      </w:r>
    </w:p>
    <w:p>
      <w:pPr>
        <w:pStyle w:val="Lista2"/>
      </w:pPr>
      <w:r>
        <w:t xml:space="preserve">see also </w:t>
      </w:r>
      <w:r>
        <w:fldChar w:fldCharType="begin"/>
      </w:r>
      <w:r>
        <w:instrText xml:space="preserve"> REF _Ref182560821 \h </w:instrText>
      </w:r>
      <w:r>
        <w:fldChar w:fldCharType="separate"/>
      </w:r>
      <w:r>
        <w:t xml:space="preserve">Exhibit </w:t>
      </w:r>
      <w:r>
        <w:rPr>
          <w:noProof/>
        </w:rPr>
        <w:t>9.1</w:t>
      </w:r>
      <w:r>
        <w:t>.</w:t>
      </w:r>
      <w:r>
        <w:rPr>
          <w:noProof/>
        </w:rPr>
        <w:t>A</w:t>
      </w:r>
      <w:r>
        <w:fldChar w:fldCharType="end"/>
      </w:r>
      <w:r>
        <w:t xml:space="preserve"> for a real-life illustration</w:t>
      </w:r>
    </w:p>
    <w:p>
      <w:pPr>
        <w:pStyle w:val="Lista"/>
      </w:pPr>
      <w:r>
        <w:t>abbreviations comprised of parts of words in compound and in phrases or sequences that regularly occur together shall be tagged as a single unit or as separate abbreviations at your discretion, e.g.</w:t>
      </w:r>
    </w:p>
    <w:p>
      <w:pPr>
        <w:pStyle w:val="Lista2"/>
      </w:pPr>
      <w:r>
        <w:rPr>
          <w:rStyle w:val="Code"/>
        </w:rPr>
        <w:t>&lt;abbr&gt;</w:t>
      </w:r>
      <w:r>
        <w:rPr>
          <w:rStyle w:val="Codetext"/>
        </w:rPr>
        <w:t>badi</w:t>
      </w:r>
      <w:r>
        <w:rPr>
          <w:rStyle w:val="Code"/>
        </w:rPr>
        <w:t>&lt;/abbr&gt;</w:t>
      </w:r>
      <w:r>
        <w:t xml:space="preserve"> for the abbreviation of </w:t>
      </w:r>
      <w:r>
        <w:rPr>
          <w:rStyle w:val="Foreign"/>
        </w:rPr>
        <w:t>bahula-divase</w:t>
      </w:r>
    </w:p>
    <w:p>
      <w:pPr>
        <w:pStyle w:val="Lista2"/>
      </w:pPr>
      <w:r>
        <w:rPr>
          <w:rStyle w:val="Code"/>
        </w:rPr>
        <w:t>&lt;abbr&gt;</w:t>
      </w:r>
      <w:r>
        <w:rPr>
          <w:rStyle w:val="Codetext"/>
        </w:rPr>
        <w:t>grī pa</w:t>
      </w:r>
      <w:r>
        <w:rPr>
          <w:rStyle w:val="Code"/>
        </w:rPr>
        <w:t>&lt;/abbr&gt;</w:t>
      </w:r>
      <w:r>
        <w:t xml:space="preserve"> or </w:t>
      </w:r>
      <w:r>
        <w:rPr>
          <w:rStyle w:val="Code"/>
        </w:rPr>
        <w:t>&lt;abbr&gt;</w:t>
      </w:r>
      <w:r>
        <w:rPr>
          <w:rStyle w:val="Codetext"/>
        </w:rPr>
        <w:t>grī</w:t>
      </w:r>
      <w:r>
        <w:rPr>
          <w:rStyle w:val="Code"/>
        </w:rPr>
        <w:t>&lt;/abbr&gt; &lt;abbr&gt;</w:t>
      </w:r>
      <w:r>
        <w:rPr>
          <w:rStyle w:val="Codetext"/>
        </w:rPr>
        <w:t>pa</w:t>
      </w:r>
      <w:r>
        <w:rPr>
          <w:rStyle w:val="Code"/>
        </w:rPr>
        <w:t>&lt;/abbr&gt;</w:t>
      </w:r>
      <w:r>
        <w:t xml:space="preserve"> for the abbreviation of </w:t>
      </w:r>
      <w:r>
        <w:rPr>
          <w:rStyle w:val="Foreign"/>
        </w:rPr>
        <w:t>grīṣma pakṣa</w:t>
      </w:r>
      <w:r>
        <w:t xml:space="preserve"> </w:t>
      </w:r>
    </w:p>
    <w:p>
      <w:pPr>
        <w:pStyle w:val="Cmsor3"/>
      </w:pPr>
      <w:bookmarkStart w:id="723" w:name="_Ref122445893"/>
      <w:bookmarkStart w:id="724" w:name="_Toc242976682"/>
      <w:r>
        <w:t>Expanding abbreviations</w:t>
      </w:r>
      <w:bookmarkEnd w:id="723"/>
      <w:bookmarkEnd w:id="724"/>
    </w:p>
    <w:p>
      <w:r>
        <w:rPr>
          <w:lang w:eastAsia="en-US" w:bidi="ar-SA"/>
        </w:rPr>
        <w:t xml:space="preserve">Expanding abbreviations is optional but recommended especially in </w:t>
      </w:r>
      <w:r>
        <w:t>cases where a certain abbreviation may be resolved in more than one way, and you wish to indicate a particular resolution. It is generally preferable not to resolve common abbreviations (whose meaning can be found in published reference works), especially if they allow multiple resolutions with the same ultimate meaning (differing for instance only in the choice of case ending or lack thereof).</w:t>
      </w:r>
    </w:p>
    <w:p>
      <w:pPr>
        <w:pStyle w:val="Lista"/>
      </w:pPr>
      <w:r>
        <w:lastRenderedPageBreak/>
        <w:t xml:space="preserve">resolved abbreviations must be wrapped in the element </w:t>
      </w:r>
      <w:r>
        <w:rPr>
          <w:rStyle w:val="Code"/>
        </w:rPr>
        <w:t>&lt;expan&gt;</w:t>
      </w:r>
      <w:r>
        <w:t>, containing one or more instances (as necessary) of the following elements, and nothing outside the following elements:</w:t>
      </w:r>
    </w:p>
    <w:p>
      <w:pPr>
        <w:pStyle w:val="Lista2"/>
      </w:pPr>
      <w:r>
        <w:rPr>
          <w:rStyle w:val="Code"/>
        </w:rPr>
        <w:t>&lt;abbr&gt;</w:t>
      </w:r>
      <w:r>
        <w:t xml:space="preserve"> wrapping only graphemes present in the original, i.e. those that belong to the abbreviation </w:t>
      </w:r>
    </w:p>
    <w:p>
      <w:pPr>
        <w:pStyle w:val="Lista2"/>
      </w:pPr>
      <w:r>
        <w:rPr>
          <w:rStyle w:val="Code"/>
        </w:rPr>
        <w:t>&lt;ex&gt;</w:t>
      </w:r>
      <w:r>
        <w:t xml:space="preserve"> wrapping only graphemes supplied to resolve the abbreviation, i.e. those that belong to the editorial expansion</w:t>
      </w:r>
    </w:p>
    <w:p>
      <w:pPr>
        <w:pStyle w:val="Lista3"/>
      </w:pPr>
      <w:r>
        <w:t xml:space="preserve">when you are unsure of an expansion but still wish to show it in the edition, add </w:t>
      </w:r>
      <w:r>
        <w:rPr>
          <w:rStyle w:val="Codeattribute"/>
        </w:rPr>
        <w:t>@cert</w:t>
      </w:r>
      <w:r>
        <w:rPr>
          <w:rStyle w:val="Codetext"/>
        </w:rPr>
        <w:t>=</w:t>
      </w:r>
      <w:r>
        <w:rPr>
          <w:rStyle w:val="Codevalue"/>
        </w:rPr>
        <w:t>"low"</w:t>
      </w:r>
      <w:r>
        <w:t xml:space="preserve">  to the </w:t>
      </w:r>
      <w:r>
        <w:rPr>
          <w:rStyle w:val="Code"/>
        </w:rPr>
        <w:t>&lt;ex&gt;</w:t>
      </w:r>
      <w:r>
        <w:t xml:space="preserve"> element</w:t>
      </w:r>
    </w:p>
    <w:p>
      <w:pPr>
        <w:pStyle w:val="Lista2"/>
      </w:pPr>
      <w:r>
        <w:t xml:space="preserve">should the abbreviation contain any graphemes which must be suppressed to obtain the expanded form of the abbreviation, wrap these in </w:t>
      </w:r>
      <w:r>
        <w:rPr>
          <w:rStyle w:val="Code"/>
        </w:rPr>
        <w:t>&lt;am&gt;</w:t>
      </w:r>
      <w:r>
        <w:t xml:space="preserve"> (for “abbreviation mark”) within the </w:t>
      </w:r>
      <w:r>
        <w:rPr>
          <w:rStyle w:val="Code"/>
        </w:rPr>
        <w:t>&lt;abbr&gt;</w:t>
      </w:r>
      <w:r>
        <w:t xml:space="preserve"> element</w:t>
      </w:r>
    </w:p>
    <w:p>
      <w:pPr>
        <w:pStyle w:val="Lista3"/>
      </w:pPr>
      <w:r>
        <w:t>the original purpose of this encoding was to allow suppressing actual abbreviation marks (TG §4.3.2) in resolved abbreviations</w:t>
      </w:r>
    </w:p>
    <w:p>
      <w:pPr>
        <w:pStyle w:val="Lista3"/>
      </w:pPr>
      <w:r>
        <w:t xml:space="preserve">in EpiDoc usage it is also applied to phonographic graphemes added to an abbreviation to indicate a plural or another change of the abbreviated word, e.g. Latin </w:t>
      </w:r>
      <w:r>
        <w:rPr>
          <w:rStyle w:val="Foreign"/>
        </w:rPr>
        <w:t>augg</w:t>
      </w:r>
      <w:r>
        <w:t xml:space="preserve"> abbreviating </w:t>
      </w:r>
      <w:r>
        <w:rPr>
          <w:rStyle w:val="Foreign"/>
        </w:rPr>
        <w:t>augusti duo</w:t>
      </w:r>
      <w:r>
        <w:t xml:space="preserve"> or English </w:t>
      </w:r>
      <w:r>
        <w:rPr>
          <w:rStyle w:val="Foreign"/>
        </w:rPr>
        <w:t>pp</w:t>
      </w:r>
      <w:r>
        <w:t xml:space="preserve"> abbreviating </w:t>
      </w:r>
      <w:r>
        <w:rPr>
          <w:rStyle w:val="Foreign"/>
        </w:rPr>
        <w:t>pages</w:t>
      </w:r>
    </w:p>
    <w:p>
      <w:pPr>
        <w:pStyle w:val="Lista3"/>
      </w:pPr>
      <w:r>
        <w:t>so far, we have not encountered either of these phenomena in documents edited for DHARMA, but modern Indic writing systems do employ an abbreviation sign (e.g. Devanagari |</w:t>
      </w:r>
      <w:r>
        <w:rPr>
          <w:rStyle w:val="ForeignDevanagariScript0"/>
          <w:rFonts w:hint="cs"/>
          <w:cs/>
        </w:rPr>
        <w:t>॰</w:t>
      </w:r>
      <w:r>
        <w:t>|) and extra letters might conceivably be used in Indic abbreviations too, so the encoding option is available</w:t>
      </w:r>
    </w:p>
    <w:p>
      <w:pPr>
        <w:pStyle w:val="Lista"/>
      </w:pPr>
      <w:r>
        <w:t>when resolving abbreviations in Sanskrit or another language with complex inflexion, feel free to resolve to stems (dictionary forms) when a specific fully inflected form cannot be predicted</w:t>
      </w:r>
    </w:p>
    <w:p>
      <w:pPr>
        <w:pStyle w:val="Lista2"/>
      </w:pPr>
      <w:r>
        <w:t xml:space="preserve">e.g. the abbreviation </w:t>
      </w:r>
      <w:r>
        <w:rPr>
          <w:rStyle w:val="Foreign"/>
        </w:rPr>
        <w:t>grī pa</w:t>
      </w:r>
      <w:r>
        <w:t xml:space="preserve"> is best resolved to </w:t>
      </w:r>
      <w:r>
        <w:rPr>
          <w:rStyle w:val="Foreign"/>
        </w:rPr>
        <w:t>grīṣma pakṣa</w:t>
      </w:r>
      <w:r>
        <w:t xml:space="preserve">, because a multiplicity of inflected forms are plausible (e.g. </w:t>
      </w:r>
      <w:r>
        <w:rPr>
          <w:rStyle w:val="Foreign"/>
        </w:rPr>
        <w:t>grīṣma-pakṣaḥ</w:t>
      </w:r>
      <w:r>
        <w:t xml:space="preserve">, </w:t>
      </w:r>
      <w:r>
        <w:rPr>
          <w:rStyle w:val="Foreign"/>
        </w:rPr>
        <w:t>grīṣma-pakṣe</w:t>
      </w:r>
      <w:r>
        <w:t xml:space="preserve">, </w:t>
      </w:r>
      <w:r>
        <w:rPr>
          <w:rStyle w:val="Foreign"/>
        </w:rPr>
        <w:t>grīṣmasya pakṣe</w:t>
      </w:r>
      <w:r>
        <w:t>)</w:t>
      </w:r>
    </w:p>
    <w:p>
      <w:pPr>
        <w:pStyle w:val="Lista"/>
      </w:pPr>
      <w:r>
        <w:t>examples of resolved abbreviations</w:t>
      </w:r>
    </w:p>
    <w:p>
      <w:pPr>
        <w:pStyle w:val="Lista2"/>
      </w:pPr>
      <w:r>
        <w:t>abbreviation of a word by its initial grapheme(s)</w:t>
      </w:r>
    </w:p>
    <w:p>
      <w:pPr>
        <w:pStyle w:val="Lista3"/>
      </w:pPr>
      <w:r>
        <w:t xml:space="preserve">the string </w:t>
      </w:r>
      <w:r>
        <w:rPr>
          <w:rStyle w:val="Foreign"/>
        </w:rPr>
        <w:t>mā</w:t>
      </w:r>
      <w:r>
        <w:t xml:space="preserve"> as an abbreviation of </w:t>
      </w:r>
      <w:r>
        <w:rPr>
          <w:rStyle w:val="Foreign"/>
        </w:rPr>
        <w:t>māṣa</w:t>
      </w:r>
      <w:r>
        <w:t xml:space="preserve">: </w:t>
      </w:r>
      <w:r>
        <w:rPr>
          <w:rStyle w:val="Code"/>
        </w:rPr>
        <w:t>&lt;expan&gt;&lt;abbr&gt;</w:t>
      </w:r>
      <w:r>
        <w:rPr>
          <w:rStyle w:val="Codetext"/>
        </w:rPr>
        <w:t>mā</w:t>
      </w:r>
      <w:r>
        <w:rPr>
          <w:rStyle w:val="Code"/>
        </w:rPr>
        <w:t>&lt;/abbr&gt;&lt;ex&gt;</w:t>
      </w:r>
      <w:r>
        <w:rPr>
          <w:rStyle w:val="Codetext"/>
        </w:rPr>
        <w:t>ṣa</w:t>
      </w:r>
      <w:r>
        <w:rPr>
          <w:rStyle w:val="Code"/>
        </w:rPr>
        <w:t>&lt;/ex&gt;&lt;/expan&gt;</w:t>
      </w:r>
      <w:r>
        <w:t xml:space="preserve"> </w:t>
      </w:r>
    </w:p>
    <w:p>
      <w:pPr>
        <w:pStyle w:val="Lista2"/>
      </w:pPr>
      <w:r>
        <w:t>abbreviation of a word by its final grapheme(s)</w:t>
      </w:r>
    </w:p>
    <w:p>
      <w:pPr>
        <w:pStyle w:val="Lista3"/>
      </w:pPr>
      <w:r>
        <w:t xml:space="preserve">the string </w:t>
      </w:r>
      <w:r>
        <w:rPr>
          <w:rStyle w:val="Foreign"/>
        </w:rPr>
        <w:t>k·</w:t>
      </w:r>
      <w:r>
        <w:t xml:space="preserve"> </w:t>
      </w:r>
      <w:r>
        <w:rPr>
          <w:rStyle w:val="Foreign"/>
        </w:rPr>
        <w:t>tandoṅ·</w:t>
      </w:r>
      <w:r>
        <w:t xml:space="preserve"> as an abbreviation of </w:t>
      </w:r>
      <w:r>
        <w:rPr>
          <w:rStyle w:val="Foreign"/>
        </w:rPr>
        <w:t>jāk·</w:t>
      </w:r>
      <w:r>
        <w:t xml:space="preserve"> </w:t>
      </w:r>
      <w:r>
        <w:rPr>
          <w:rStyle w:val="Foreign"/>
        </w:rPr>
        <w:t>tandoṅ·</w:t>
      </w:r>
      <w:r>
        <w:t xml:space="preserve">: </w:t>
      </w:r>
      <w:r>
        <w:rPr>
          <w:rStyle w:val="Code"/>
        </w:rPr>
        <w:t>&lt;expan&gt;&lt;ex&gt;</w:t>
      </w:r>
      <w:r>
        <w:rPr>
          <w:rStyle w:val="Codetext"/>
        </w:rPr>
        <w:t>jā</w:t>
      </w:r>
      <w:r>
        <w:rPr>
          <w:rStyle w:val="Code"/>
        </w:rPr>
        <w:t>&lt;/ex&gt;&lt;abbr&gt;</w:t>
      </w:r>
      <w:r>
        <w:rPr>
          <w:rStyle w:val="Codetext"/>
        </w:rPr>
        <w:t>k·</w:t>
      </w:r>
      <w:r>
        <w:rPr>
          <w:rStyle w:val="Code"/>
        </w:rPr>
        <w:t>&lt;/abbr&gt; &lt;/expan&gt;</w:t>
      </w:r>
      <w:r>
        <w:rPr>
          <w:rStyle w:val="Codetext"/>
        </w:rPr>
        <w:t xml:space="preserve"> tandoṅ</w:t>
      </w:r>
    </w:p>
    <w:p>
      <w:pPr>
        <w:pStyle w:val="Lista2"/>
      </w:pPr>
      <w:r>
        <w:t>abbreviation of a word by its initial and final grapheme(s)</w:t>
      </w:r>
    </w:p>
    <w:p>
      <w:pPr>
        <w:pStyle w:val="Lista3"/>
      </w:pPr>
      <w:r>
        <w:t xml:space="preserve">the string </w:t>
      </w:r>
      <w:r>
        <w:rPr>
          <w:rStyle w:val="Foreign"/>
        </w:rPr>
        <w:t>Im</w:t>
      </w:r>
      <w:r>
        <w:t xml:space="preserve"> as an abbreviation of </w:t>
      </w:r>
      <w:r>
        <w:rPr>
          <w:rStyle w:val="Foreign"/>
        </w:rPr>
        <w:t>Iraṇṭum</w:t>
      </w:r>
      <w:r>
        <w:t xml:space="preserve">: </w:t>
      </w:r>
      <w:r>
        <w:rPr>
          <w:rStyle w:val="Code"/>
        </w:rPr>
        <w:t>&lt;expan&gt;&lt;abbr&gt;</w:t>
      </w:r>
      <w:r>
        <w:rPr>
          <w:rStyle w:val="Codetext"/>
        </w:rPr>
        <w:t>I</w:t>
      </w:r>
      <w:r>
        <w:rPr>
          <w:rStyle w:val="Code"/>
        </w:rPr>
        <w:t>&lt;/abbr&gt;&lt;ex&gt;</w:t>
      </w:r>
      <w:r>
        <w:rPr>
          <w:rStyle w:val="Codetext"/>
        </w:rPr>
        <w:t>raṇṭu</w:t>
      </w:r>
      <w:r>
        <w:rPr>
          <w:rStyle w:val="Code"/>
        </w:rPr>
        <w:t>&lt;/ex&gt;&lt;abbr&gt;</w:t>
      </w:r>
      <w:r>
        <w:rPr>
          <w:rStyle w:val="Codetext"/>
        </w:rPr>
        <w:t>m</w:t>
      </w:r>
      <w:r>
        <w:rPr>
          <w:rStyle w:val="Code"/>
        </w:rPr>
        <w:t>&lt;/abbr&gt;&lt;/expan&gt;</w:t>
      </w:r>
      <w:r>
        <w:t xml:space="preserve"> </w:t>
      </w:r>
    </w:p>
    <w:p>
      <w:pPr>
        <w:pStyle w:val="Lista2"/>
      </w:pPr>
      <w:r>
        <w:t>abbreviation of a compound word by the initial grapheme(s) of its members</w:t>
      </w:r>
    </w:p>
    <w:p>
      <w:pPr>
        <w:pStyle w:val="Lista3"/>
      </w:pPr>
      <w:r>
        <w:t xml:space="preserve">the string </w:t>
      </w:r>
      <w:r>
        <w:rPr>
          <w:rStyle w:val="Foreign"/>
        </w:rPr>
        <w:t>kuvā</w:t>
      </w:r>
      <w:r>
        <w:t xml:space="preserve"> as an abbreviation of </w:t>
      </w:r>
      <w:r>
        <w:rPr>
          <w:rStyle w:val="Foreign"/>
        </w:rPr>
        <w:t>kulyavāpa</w:t>
      </w:r>
      <w:r>
        <w:t xml:space="preserve">: </w:t>
      </w:r>
      <w:r>
        <w:rPr>
          <w:rStyle w:val="Code"/>
        </w:rPr>
        <w:t>&lt;expan&gt;&lt;abbr&gt;</w:t>
      </w:r>
      <w:r>
        <w:rPr>
          <w:rStyle w:val="Codetext"/>
        </w:rPr>
        <w:t>ku</w:t>
      </w:r>
      <w:r>
        <w:rPr>
          <w:rStyle w:val="Code"/>
        </w:rPr>
        <w:t>&lt;/abbr&gt;&lt;ex&gt;</w:t>
      </w:r>
      <w:r>
        <w:rPr>
          <w:rStyle w:val="Codetext"/>
        </w:rPr>
        <w:t>lya</w:t>
      </w:r>
      <w:r>
        <w:rPr>
          <w:rStyle w:val="Code"/>
        </w:rPr>
        <w:t>&lt;/ex&gt;&lt;abbr&gt;</w:t>
      </w:r>
      <w:r>
        <w:rPr>
          <w:rStyle w:val="Codetext"/>
        </w:rPr>
        <w:t>vā</w:t>
      </w:r>
      <w:r>
        <w:rPr>
          <w:rStyle w:val="Code"/>
        </w:rPr>
        <w:t>&lt;/abbr&gt;&lt;ex&gt;</w:t>
      </w:r>
      <w:r>
        <w:rPr>
          <w:rStyle w:val="Codetext"/>
        </w:rPr>
        <w:t>pa</w:t>
      </w:r>
      <w:r>
        <w:rPr>
          <w:rStyle w:val="Code"/>
        </w:rPr>
        <w:t>&lt;/ex&gt;&lt;/expan&gt;</w:t>
      </w:r>
      <w:r>
        <w:t xml:space="preserve"> </w:t>
      </w:r>
    </w:p>
    <w:p>
      <w:pPr>
        <w:pStyle w:val="Cmsor1"/>
      </w:pPr>
      <w:bookmarkStart w:id="725" w:name="_y8d6jllfz1" w:colFirst="0" w:colLast="0"/>
      <w:bookmarkStart w:id="726" w:name="_2s6au4dtqyfr" w:colFirst="0" w:colLast="0"/>
      <w:bookmarkStart w:id="727" w:name="_msv3i980wz4v" w:colFirst="0" w:colLast="0"/>
      <w:bookmarkStart w:id="728" w:name="_if22uogatvm3" w:colFirst="0" w:colLast="0"/>
      <w:bookmarkStart w:id="729" w:name="_c4m58vl65n98" w:colFirst="0" w:colLast="0"/>
      <w:bookmarkStart w:id="730" w:name="_Ref43978773"/>
      <w:bookmarkEnd w:id="725"/>
      <w:bookmarkEnd w:id="726"/>
      <w:bookmarkEnd w:id="727"/>
      <w:bookmarkEnd w:id="728"/>
      <w:bookmarkEnd w:id="729"/>
      <w:r>
        <w:lastRenderedPageBreak/>
        <w:t>The critical apparatus</w:t>
      </w:r>
      <w:bookmarkEnd w:id="730"/>
    </w:p>
    <w:p>
      <w:r>
        <w:t xml:space="preserve">The primary purpose of a critical apparatus in our project’s documentary editions is to record substantive alternative readings, restorations and emendations by previous editors. Unless a specific sub-corpus or a particular text requires this, a complete record of minor differences </w:t>
      </w:r>
      <w:r>
        <w:rPr>
          <w:noProof/>
        </w:rPr>
        <w:t>(</w:t>
      </w:r>
      <w:r>
        <w:t>e.g. typing and printing errors, orthographic normalisation or whether a reading is shown as unclear or tentatively read/reconstructed) is not desirable. Your own editorial emendations (§</w:t>
      </w:r>
      <w:r>
        <w:fldChar w:fldCharType="begin"/>
      </w:r>
      <w:r>
        <w:instrText xml:space="preserve"> REF _Ref43978565 \r \h </w:instrText>
      </w:r>
      <w:r>
        <w:fldChar w:fldCharType="separate"/>
      </w:r>
      <w:r>
        <w:t>7</w:t>
      </w:r>
      <w:r>
        <w:fldChar w:fldCharType="end"/>
      </w:r>
      <w:r>
        <w:t>) and restorations (§</w:t>
      </w:r>
      <w:r>
        <w:fldChar w:fldCharType="begin"/>
      </w:r>
      <w:r>
        <w:instrText xml:space="preserve"> REF _Ref228459751 \r \h </w:instrText>
      </w:r>
      <w:r>
        <w:fldChar w:fldCharType="separate"/>
      </w:r>
      <w:r>
        <w:t>6.4</w:t>
      </w:r>
      <w:r>
        <w:fldChar w:fldCharType="end"/>
      </w:r>
      <w:r>
        <w:t>) must be encoded within the edition rather than being shown in the critical apparatus. However, apparatus notes can and should be used to add details or reasoning to such choices, and to record highly tentative proposals you are not confident enough to include in the edition itself.</w:t>
      </w:r>
    </w:p>
    <w:p>
      <w:pPr>
        <w:pStyle w:val="Normlbehzs"/>
      </w:pPr>
      <w:r>
        <w:t>TEI and EpiDoc provide a variety of methods for encoding a critical apparatus for a scholarly edition. In DHARMA documentary editions we limit ourselves to an external apparatus criticus, meaning that the apparatus entries are encoded in a section separate from the edition, with each entry containing a reference to a locus of the text that is human-readable but not fully machine-actionable. For the sake of project-wide consistency and ease of processing, the external apparatus shall always be encoded as set out in this section.</w:t>
      </w:r>
    </w:p>
    <w:p>
      <w:pPr>
        <w:pStyle w:val="Cmsor2"/>
      </w:pPr>
      <w:bookmarkStart w:id="731" w:name="_wvqmcsurv552" w:colFirst="0" w:colLast="0"/>
      <w:bookmarkEnd w:id="731"/>
      <w:r>
        <w:t>Encoding the critical apparatus</w:t>
      </w:r>
    </w:p>
    <w:p>
      <w:pPr>
        <w:pStyle w:val="Lista"/>
      </w:pPr>
      <w:r>
        <w:t xml:space="preserve">after your </w:t>
      </w:r>
      <w:r>
        <w:rPr>
          <w:rStyle w:val="Code"/>
        </w:rPr>
        <w:t xml:space="preserve">&lt;div </w:t>
      </w:r>
      <w:r>
        <w:rPr>
          <w:rStyle w:val="Codeattribute"/>
        </w:rPr>
        <w:t>type</w:t>
      </w:r>
      <w:r>
        <w:rPr>
          <w:rStyle w:val="Code"/>
        </w:rPr>
        <w:t>=</w:t>
      </w:r>
      <w:r>
        <w:rPr>
          <w:rStyle w:val="Codevalue"/>
        </w:rPr>
        <w:t>"edition"</w:t>
      </w:r>
      <w:r>
        <w:rPr>
          <w:rStyle w:val="Code"/>
        </w:rPr>
        <w:t>&gt;</w:t>
      </w:r>
      <w:r>
        <w:t xml:space="preserve"> element, your document must include a </w:t>
      </w:r>
      <w:r>
        <w:rPr>
          <w:rStyle w:val="Code"/>
        </w:rPr>
        <w:t xml:space="preserve">&lt;div </w:t>
      </w:r>
      <w:r>
        <w:rPr>
          <w:rStyle w:val="Codeattribute"/>
        </w:rPr>
        <w:t>type</w:t>
      </w:r>
      <w:r>
        <w:rPr>
          <w:rStyle w:val="Code"/>
        </w:rPr>
        <w:t>=</w:t>
      </w:r>
      <w:r>
        <w:rPr>
          <w:rStyle w:val="Codevalue"/>
        </w:rPr>
        <w:t>"apparatus"</w:t>
      </w:r>
      <w:r>
        <w:rPr>
          <w:rStyle w:val="Code"/>
        </w:rPr>
        <w:t>&gt;</w:t>
      </w:r>
      <w:r>
        <w:t>, without any attributes</w:t>
      </w:r>
    </w:p>
    <w:p>
      <w:pPr>
        <w:pStyle w:val="Lista"/>
        <w:rPr>
          <w:rStyle w:val="Code"/>
          <w:rFonts w:ascii="Gentium" w:hAnsi="Gentium" w:cs="Tiro Devanagari Sanskrit"/>
          <w:noProof w:val="0"/>
          <w:color w:val="auto"/>
          <w:shd w:val="clear" w:color="auto" w:fill="auto"/>
        </w:rPr>
      </w:pPr>
      <w:r>
        <w:t xml:space="preserve">the direct child of this container must be the element  </w:t>
      </w:r>
      <w:r>
        <w:rPr>
          <w:rStyle w:val="Code"/>
        </w:rPr>
        <w:t>&lt;listApp&gt;</w:t>
      </w:r>
    </w:p>
    <w:p>
      <w:pPr>
        <w:pStyle w:val="Lista"/>
      </w:pPr>
      <w:r>
        <w:t>these skeleton containers are already present in our templates and will not need to be created by you</w:t>
      </w:r>
    </w:p>
    <w:p>
      <w:pPr>
        <w:pStyle w:val="Lista2"/>
      </w:pPr>
      <w:r>
        <w:t>but if your edition division includes boxlike partitions (§</w:t>
      </w:r>
      <w:r>
        <w:fldChar w:fldCharType="begin"/>
      </w:r>
      <w:r>
        <w:instrText xml:space="preserve"> REF _Ref225778181 \r \h </w:instrText>
      </w:r>
      <w:r>
        <w:fldChar w:fldCharType="separate"/>
      </w:r>
      <w:r>
        <w:t>4.2</w:t>
      </w:r>
      <w:r>
        <w:fldChar w:fldCharType="end"/>
      </w:r>
      <w:r>
        <w:t xml:space="preserve">), then all corresponding textpart divisions must be replicated within the </w:t>
      </w:r>
      <w:r>
        <w:rPr>
          <w:rStyle w:val="Code"/>
        </w:rPr>
        <w:t xml:space="preserve">&lt;div </w:t>
      </w:r>
      <w:r>
        <w:rPr>
          <w:rStyle w:val="Codeattribute"/>
        </w:rPr>
        <w:t>type</w:t>
      </w:r>
      <w:r>
        <w:rPr>
          <w:rStyle w:val="Code"/>
        </w:rPr>
        <w:t>=</w:t>
      </w:r>
      <w:r>
        <w:rPr>
          <w:rStyle w:val="Codevalue"/>
        </w:rPr>
        <w:t>"apparatus"</w:t>
      </w:r>
      <w:r>
        <w:rPr>
          <w:rStyle w:val="Code"/>
        </w:rPr>
        <w:t>&gt;</w:t>
      </w:r>
      <w:r>
        <w:t xml:space="preserve"> as described in §</w:t>
      </w:r>
      <w:r>
        <w:fldChar w:fldCharType="begin"/>
      </w:r>
      <w:r>
        <w:instrText xml:space="preserve"> REF _Ref43989464 \w \h  \* MERGEFORMAT </w:instrText>
      </w:r>
      <w:r>
        <w:fldChar w:fldCharType="separate"/>
      </w:r>
      <w:r>
        <w:t>10.1.1</w:t>
      </w:r>
      <w:r>
        <w:fldChar w:fldCharType="end"/>
      </w:r>
      <w:r>
        <w:t xml:space="preserve">, and </w:t>
      </w:r>
      <w:r>
        <w:rPr>
          <w:rStyle w:val="Code"/>
        </w:rPr>
        <w:t>&lt;listApp&gt;</w:t>
      </w:r>
      <w:r>
        <w:t xml:space="preserve"> must be created separately for each textpart division within the apparatus</w:t>
      </w:r>
    </w:p>
    <w:p>
      <w:pPr>
        <w:pStyle w:val="Lista"/>
      </w:pPr>
      <w:r>
        <w:t xml:space="preserve">within </w:t>
      </w:r>
      <w:r>
        <w:rPr>
          <w:rStyle w:val="Code"/>
        </w:rPr>
        <w:t>&lt;listApp&gt;</w:t>
      </w:r>
      <w:r>
        <w:t xml:space="preserve">, each apparatus entry must be individually wrapped in the element </w:t>
      </w:r>
      <w:r>
        <w:rPr>
          <w:rStyle w:val="Code"/>
        </w:rPr>
        <w:t>&lt;app&gt;</w:t>
      </w:r>
    </w:p>
    <w:p>
      <w:pPr>
        <w:pStyle w:val="Lista2"/>
      </w:pPr>
      <w:r>
        <w:t xml:space="preserve">with the mandatory attribute </w:t>
      </w:r>
      <w:r>
        <w:rPr>
          <w:rStyle w:val="Codeattribute"/>
        </w:rPr>
        <w:t>@loc</w:t>
      </w:r>
      <w:r>
        <w:t xml:space="preserve"> to indicate the location </w:t>
      </w:r>
      <w:r>
        <w:rPr>
          <w:noProof/>
        </w:rPr>
        <w:t>(</w:t>
      </w:r>
      <w:r>
        <w:t>epigraphic line) to which your entry pertains, as per §</w:t>
      </w:r>
      <w:r>
        <w:fldChar w:fldCharType="begin"/>
      </w:r>
      <w:r>
        <w:instrText xml:space="preserve"> REF _Ref43978538 \w \h  \* MERGEFORMAT </w:instrText>
      </w:r>
      <w:r>
        <w:fldChar w:fldCharType="separate"/>
      </w:r>
      <w:r>
        <w:t>10.1.1</w:t>
      </w:r>
      <w:r>
        <w:fldChar w:fldCharType="end"/>
      </w:r>
      <w:r>
        <w:t xml:space="preserve"> below</w:t>
      </w:r>
    </w:p>
    <w:p>
      <w:pPr>
        <w:pStyle w:val="Lista"/>
      </w:pPr>
      <w:r>
        <w:t xml:space="preserve">each </w:t>
      </w:r>
      <w:r>
        <w:rPr>
          <w:rStyle w:val="Code"/>
        </w:rPr>
        <w:t>&lt;app&gt;</w:t>
      </w:r>
      <w:r>
        <w:t xml:space="preserve"> element must contain </w:t>
      </w:r>
      <w:r>
        <w:rPr>
          <w:rStyle w:val="Code"/>
        </w:rPr>
        <w:t>&lt;lem&gt;</w:t>
      </w:r>
      <w:r>
        <w:t xml:space="preserve"> as its first child element, containing a lemma encoded as per §</w:t>
      </w:r>
      <w:r>
        <w:fldChar w:fldCharType="begin"/>
      </w:r>
      <w:r>
        <w:instrText xml:space="preserve"> REF _Ref61250887 \r \h </w:instrText>
      </w:r>
      <w:r>
        <w:fldChar w:fldCharType="separate"/>
      </w:r>
      <w:r>
        <w:t>10.3</w:t>
      </w:r>
      <w:r>
        <w:fldChar w:fldCharType="end"/>
      </w:r>
      <w:r>
        <w:t xml:space="preserve"> below</w:t>
      </w:r>
    </w:p>
    <w:p>
      <w:pPr>
        <w:pStyle w:val="Lista"/>
      </w:pPr>
      <w:r>
        <w:t xml:space="preserve">in addition to and after </w:t>
      </w:r>
      <w:r>
        <w:rPr>
          <w:rStyle w:val="Code"/>
        </w:rPr>
        <w:t>&lt;lem&gt;</w:t>
      </w:r>
      <w:r>
        <w:t xml:space="preserve">, each </w:t>
      </w:r>
      <w:r>
        <w:rPr>
          <w:rStyle w:val="Code"/>
        </w:rPr>
        <w:t>&lt;app&gt;</w:t>
      </w:r>
      <w:r>
        <w:t xml:space="preserve"> element must normally contain at least one of the following</w:t>
      </w:r>
    </w:p>
    <w:p>
      <w:pPr>
        <w:pStyle w:val="Lista2"/>
      </w:pPr>
      <w:r>
        <w:t xml:space="preserve">one or more </w:t>
      </w:r>
      <w:r>
        <w:rPr>
          <w:rStyle w:val="Code"/>
        </w:rPr>
        <w:t>&lt;rdg&gt;</w:t>
      </w:r>
      <w:r>
        <w:t xml:space="preserve"> elements </w:t>
      </w:r>
      <w:r>
        <w:rPr>
          <w:noProof/>
        </w:rPr>
        <w:t>(</w:t>
      </w:r>
      <w:r>
        <w:t>one for each alternative reading/restoration/emendation), as per §</w:t>
      </w:r>
      <w:r>
        <w:fldChar w:fldCharType="begin"/>
      </w:r>
      <w:r>
        <w:instrText xml:space="preserve"> REF _Ref43989425 \w \h  \* MERGEFORMAT </w:instrText>
      </w:r>
      <w:r>
        <w:fldChar w:fldCharType="separate"/>
      </w:r>
      <w:r>
        <w:t>10.4</w:t>
      </w:r>
      <w:r>
        <w:fldChar w:fldCharType="end"/>
      </w:r>
      <w:r>
        <w:t xml:space="preserve"> below</w:t>
      </w:r>
    </w:p>
    <w:p>
      <w:pPr>
        <w:pStyle w:val="Lista2"/>
      </w:pPr>
      <w:r>
        <w:t xml:space="preserve">one or more </w:t>
      </w:r>
      <w:r>
        <w:rPr>
          <w:rStyle w:val="Code"/>
        </w:rPr>
        <w:t>&lt;note&gt;</w:t>
      </w:r>
      <w:r>
        <w:t xml:space="preserve"> elements containing a human-readable note in freeform text pertaining to that particular lemma, as per §</w:t>
      </w:r>
      <w:r>
        <w:fldChar w:fldCharType="begin"/>
      </w:r>
      <w:r>
        <w:instrText xml:space="preserve"> REF _Ref43988104 \w \h  \* MERGEFORMAT </w:instrText>
      </w:r>
      <w:r>
        <w:fldChar w:fldCharType="separate"/>
      </w:r>
      <w:r>
        <w:t>10.7</w:t>
      </w:r>
      <w:r>
        <w:fldChar w:fldCharType="end"/>
      </w:r>
      <w:r>
        <w:t xml:space="preserve"> below</w:t>
      </w:r>
    </w:p>
    <w:p>
      <w:pPr>
        <w:pStyle w:val="Lista"/>
      </w:pPr>
      <w:r>
        <w:t>a lemma without either a reading or a note may be used to credit a previous editor for a reading as per §</w:t>
      </w:r>
      <w:r>
        <w:fldChar w:fldCharType="begin"/>
      </w:r>
      <w:r>
        <w:instrText xml:space="preserve"> REF _Ref232167741 \r \h </w:instrText>
      </w:r>
      <w:r>
        <w:fldChar w:fldCharType="separate"/>
      </w:r>
      <w:r>
        <w:t>10.3.3</w:t>
      </w:r>
      <w:r>
        <w:fldChar w:fldCharType="end"/>
      </w:r>
    </w:p>
    <w:p>
      <w:pPr>
        <w:pStyle w:val="Lista"/>
      </w:pPr>
      <w:r>
        <w:t xml:space="preserve">the framework of the apparatus is illustrated in </w:t>
      </w:r>
      <w:r>
        <w:fldChar w:fldCharType="begin"/>
      </w:r>
      <w:r>
        <w:instrText xml:space="preserve"> REF _Ref232153771 \h </w:instrText>
      </w:r>
      <w:r>
        <w:fldChar w:fldCharType="separate"/>
      </w:r>
      <w:r>
        <w:t xml:space="preserve">Exhibit </w:t>
      </w:r>
      <w:r>
        <w:rPr>
          <w:noProof/>
        </w:rPr>
        <w:t>10.1</w:t>
      </w:r>
      <w:r>
        <w:t>.</w:t>
      </w:r>
      <w:r>
        <w:rPr>
          <w:noProof/>
        </w:rPr>
        <w:t>A</w:t>
      </w:r>
      <w:r>
        <w:fldChar w:fldCharType="end"/>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732" w:name="_Ref232153771"/>
            <w:r>
              <w:lastRenderedPageBreak/>
              <w:t xml:space="preserve">Exhibit </w:t>
            </w:r>
            <w:fldSimple w:instr=" STYLEREF 2 \s ">
              <w:r>
                <w:rPr>
                  <w:noProof/>
                </w:rPr>
                <w:t>10.1</w:t>
              </w:r>
            </w:fldSimple>
            <w:r>
              <w:t>.</w:t>
            </w:r>
            <w:fldSimple w:instr=" SEQ Exhibit \* ALPHABETIC \s 2 ">
              <w:r>
                <w:rPr>
                  <w:noProof/>
                </w:rPr>
                <w:t>A</w:t>
              </w:r>
            </w:fldSimple>
            <w:bookmarkEnd w:id="732"/>
            <w:r>
              <w:t>: example of a critical apparatus</w:t>
            </w:r>
          </w:p>
        </w:tc>
      </w:tr>
      <w:tr>
        <w:tc>
          <w:tcPr>
            <w:tcW w:w="5000" w:type="pct"/>
          </w:tcPr>
          <w:p>
            <w:pPr>
              <w:pStyle w:val="TableNote"/>
              <w:keepNext/>
              <w:rPr>
                <w:rStyle w:val="Code"/>
              </w:rPr>
            </w:pPr>
            <w:r>
              <w:t>a snippet from an edition</w:t>
            </w:r>
          </w:p>
        </w:tc>
      </w:tr>
      <w:tr>
        <w:tc>
          <w:tcPr>
            <w:tcW w:w="5000" w:type="pct"/>
          </w:tcPr>
          <w:p>
            <w:pPr>
              <w:pStyle w:val="CodeParagraph"/>
              <w:keepNext/>
              <w:rPr>
                <w:rStyle w:val="Code"/>
              </w:rPr>
            </w:pPr>
            <w:r>
              <w:rPr>
                <w:rStyle w:val="Code"/>
              </w:rPr>
              <w:t xml:space="preserve">&lt;div </w:t>
            </w:r>
            <w:r>
              <w:rPr>
                <w:rStyle w:val="Codeattribute"/>
              </w:rPr>
              <w:t>type</w:t>
            </w:r>
            <w:r>
              <w:rPr>
                <w:rStyle w:val="Code"/>
              </w:rPr>
              <w:t>=</w:t>
            </w:r>
            <w:r>
              <w:rPr>
                <w:rStyle w:val="Codevalue"/>
              </w:rPr>
              <w:t xml:space="preserve">"edition" </w:t>
            </w:r>
            <w:r>
              <w:rPr>
                <w:rStyle w:val="Codeattribute"/>
              </w:rPr>
              <w:t>xml:lang</w:t>
            </w:r>
            <w:r>
              <w:rPr>
                <w:rStyle w:val="Code"/>
              </w:rPr>
              <w:t>=</w:t>
            </w:r>
            <w:r>
              <w:rPr>
                <w:rStyle w:val="Codevalue"/>
              </w:rPr>
              <w:t>"san-Latn"</w:t>
            </w:r>
            <w:r>
              <w:rPr>
                <w:rStyle w:val="Code"/>
              </w:rPr>
              <w:t>&gt;</w:t>
            </w:r>
            <w:r>
              <w:rPr>
                <w:rStyle w:val="Codetext"/>
              </w:rPr>
              <w:br/>
              <w:t xml:space="preserve">  [...]</w:t>
            </w:r>
            <w:r>
              <w:rPr>
                <w:rStyle w:val="Codetext"/>
              </w:rPr>
              <w:br/>
            </w:r>
            <w:r>
              <w:rPr>
                <w:rStyle w:val="Code"/>
              </w:rPr>
              <w:t xml:space="preserve">  &lt;lg </w:t>
            </w:r>
            <w:r>
              <w:rPr>
                <w:rStyle w:val="Codeattribute"/>
              </w:rPr>
              <w:t>n=</w:t>
            </w:r>
            <w:r>
              <w:rPr>
                <w:rStyle w:val="Codevalue"/>
              </w:rPr>
              <w:t>"3"</w:t>
            </w:r>
            <w:r>
              <w:rPr>
                <w:rStyle w:val="Code"/>
              </w:rPr>
              <w:t xml:space="preserve"> </w:t>
            </w:r>
            <w:r>
              <w:rPr>
                <w:rStyle w:val="Codeattribute"/>
              </w:rPr>
              <w:t>met=</w:t>
            </w:r>
            <w:r>
              <w:rPr>
                <w:rStyle w:val="Codevalue"/>
              </w:rPr>
              <w:t>"anuṣṭubh"</w:t>
            </w:r>
            <w:r>
              <w:rPr>
                <w:rStyle w:val="Code"/>
              </w:rPr>
              <w:t>&gt;</w:t>
            </w:r>
          </w:p>
          <w:p>
            <w:pPr>
              <w:pStyle w:val="CodeParagraph"/>
              <w:keepNext/>
              <w:rPr>
                <w:rStyle w:val="Code"/>
              </w:rPr>
            </w:pPr>
            <w:r>
              <w:rPr>
                <w:rStyle w:val="Code"/>
              </w:rPr>
              <w:t xml:space="preserve">    &lt;l </w:t>
            </w:r>
            <w:r>
              <w:rPr>
                <w:rStyle w:val="Codeattribute"/>
              </w:rPr>
              <w:t>n=</w:t>
            </w:r>
            <w:r>
              <w:rPr>
                <w:rStyle w:val="Codevalue"/>
              </w:rPr>
              <w:t>"a"</w:t>
            </w:r>
            <w:r>
              <w:rPr>
                <w:rStyle w:val="Code"/>
              </w:rPr>
              <w:t>&gt;</w:t>
            </w:r>
            <w:r>
              <w:rPr>
                <w:rStyle w:val="Codetext"/>
              </w:rPr>
              <w:t>brahma-svan tu viṣa</w:t>
            </w:r>
            <w:r>
              <w:rPr>
                <w:rStyle w:val="Code"/>
              </w:rPr>
              <w:t xml:space="preserve">&lt;supplied </w:t>
            </w:r>
            <w:r>
              <w:rPr>
                <w:rStyle w:val="Codeattribute"/>
              </w:rPr>
              <w:t>reason=</w:t>
            </w:r>
            <w:r>
              <w:rPr>
                <w:rStyle w:val="Codevalue"/>
              </w:rPr>
              <w:t>"omitted"</w:t>
            </w:r>
            <w:r>
              <w:rPr>
                <w:rStyle w:val="Code"/>
              </w:rPr>
              <w:t>&gt;</w:t>
            </w:r>
            <w:r>
              <w:rPr>
                <w:rStyle w:val="Codetext"/>
              </w:rPr>
              <w:t>ṁ</w:t>
            </w:r>
            <w:r>
              <w:rPr>
                <w:rStyle w:val="Code"/>
              </w:rPr>
              <w:t>&lt;/supplied&gt;</w:t>
            </w:r>
            <w:r>
              <w:rPr>
                <w:rStyle w:val="Codetext"/>
              </w:rPr>
              <w:t xml:space="preserve"> ghora</w:t>
            </w:r>
            <w:r>
              <w:rPr>
                <w:rStyle w:val="Code"/>
              </w:rPr>
              <w:t xml:space="preserve">&lt;supplied </w:t>
            </w:r>
            <w:r>
              <w:rPr>
                <w:rStyle w:val="Codeattribute"/>
              </w:rPr>
              <w:t>reason=</w:t>
            </w:r>
            <w:r>
              <w:rPr>
                <w:rStyle w:val="Codevalue"/>
              </w:rPr>
              <w:t>"omitted"</w:t>
            </w:r>
            <w:r>
              <w:rPr>
                <w:rStyle w:val="Code"/>
              </w:rPr>
              <w:t>&gt;</w:t>
            </w:r>
            <w:r>
              <w:rPr>
                <w:rStyle w:val="Codetext"/>
              </w:rPr>
              <w:t>ṁ</w:t>
            </w:r>
            <w:r>
              <w:rPr>
                <w:rStyle w:val="Code"/>
              </w:rPr>
              <w:t>&lt;/supplied&gt;&lt;/l&gt;</w:t>
            </w:r>
          </w:p>
          <w:p>
            <w:pPr>
              <w:pStyle w:val="CodeParagraph"/>
              <w:keepNext/>
              <w:rPr>
                <w:rStyle w:val="Code"/>
              </w:rPr>
            </w:pPr>
            <w:r>
              <w:rPr>
                <w:rStyle w:val="Code"/>
              </w:rPr>
              <w:t xml:space="preserve">    &lt;l </w:t>
            </w:r>
            <w:r>
              <w:rPr>
                <w:rStyle w:val="Codeattribute"/>
              </w:rPr>
              <w:t>n=</w:t>
            </w:r>
            <w:r>
              <w:rPr>
                <w:rStyle w:val="Codevalue"/>
              </w:rPr>
              <w:t>"b"</w:t>
            </w:r>
            <w:r>
              <w:rPr>
                <w:rStyle w:val="Code"/>
              </w:rPr>
              <w:t>&gt;</w:t>
            </w:r>
            <w:r>
              <w:rPr>
                <w:rStyle w:val="Codetext"/>
              </w:rPr>
              <w:t>na viṣa</w:t>
            </w:r>
            <w:r>
              <w:rPr>
                <w:rStyle w:val="Code"/>
              </w:rPr>
              <w:t xml:space="preserve">&lt;supplied </w:t>
            </w:r>
            <w:r>
              <w:rPr>
                <w:rStyle w:val="Codeattribute"/>
              </w:rPr>
              <w:t>reason=</w:t>
            </w:r>
            <w:r>
              <w:rPr>
                <w:rStyle w:val="Codevalue"/>
              </w:rPr>
              <w:t>"omitted"</w:t>
            </w:r>
            <w:r>
              <w:rPr>
                <w:rStyle w:val="Code"/>
              </w:rPr>
              <w:t>&gt;</w:t>
            </w:r>
            <w:r>
              <w:rPr>
                <w:rStyle w:val="Codetext"/>
              </w:rPr>
              <w:t>ṁ</w:t>
            </w:r>
            <w:r>
              <w:rPr>
                <w:rStyle w:val="Code"/>
              </w:rPr>
              <w:t>&lt;/supplied&gt;</w:t>
            </w:r>
            <w:r>
              <w:rPr>
                <w:rStyle w:val="Codetext"/>
              </w:rPr>
              <w:t xml:space="preserve"> viṣam ucyate</w:t>
            </w:r>
            <w:r>
              <w:rPr>
                <w:rStyle w:val="Code"/>
              </w:rPr>
              <w:t>&lt;/l&gt;</w:t>
            </w:r>
          </w:p>
          <w:p>
            <w:pPr>
              <w:pStyle w:val="CodeParagraph"/>
              <w:keepNext/>
              <w:rPr>
                <w:rStyle w:val="Code"/>
              </w:rPr>
            </w:pPr>
            <w:r>
              <w:rPr>
                <w:rStyle w:val="Code"/>
              </w:rPr>
              <w:t xml:space="preserve">    &lt;l </w:t>
            </w:r>
            <w:r>
              <w:rPr>
                <w:rStyle w:val="Codeattribute"/>
              </w:rPr>
              <w:t>n=</w:t>
            </w:r>
            <w:r>
              <w:rPr>
                <w:rStyle w:val="Codevalue"/>
              </w:rPr>
              <w:t>"c"</w:t>
            </w:r>
            <w:r>
              <w:rPr>
                <w:rStyle w:val="Code"/>
              </w:rPr>
              <w:t>&gt;</w:t>
            </w:r>
            <w:r>
              <w:rPr>
                <w:rStyle w:val="Codetext"/>
              </w:rPr>
              <w:t>viṣa</w:t>
            </w:r>
            <w:r>
              <w:rPr>
                <w:rStyle w:val="Code"/>
              </w:rPr>
              <w:t xml:space="preserve">&lt;lb </w:t>
            </w:r>
            <w:r>
              <w:rPr>
                <w:rStyle w:val="Codeattribute"/>
              </w:rPr>
              <w:t>n=</w:t>
            </w:r>
            <w:r>
              <w:rPr>
                <w:rStyle w:val="Codevalue"/>
              </w:rPr>
              <w:t>"25"</w:t>
            </w:r>
            <w:r>
              <w:rPr>
                <w:rStyle w:val="Code"/>
              </w:rPr>
              <w:t xml:space="preserve"> </w:t>
            </w:r>
            <w:r>
              <w:rPr>
                <w:rStyle w:val="Codeattribute"/>
              </w:rPr>
              <w:t>break=</w:t>
            </w:r>
            <w:r>
              <w:rPr>
                <w:rStyle w:val="Codevalue"/>
              </w:rPr>
              <w:t>"no"</w:t>
            </w:r>
            <w:r>
              <w:rPr>
                <w:rStyle w:val="Code"/>
              </w:rPr>
              <w:t>/&gt;</w:t>
            </w:r>
            <w:r>
              <w:rPr>
                <w:rStyle w:val="Codetext"/>
              </w:rPr>
              <w:t xml:space="preserve">m </w:t>
            </w:r>
            <w:r>
              <w:rPr>
                <w:rStyle w:val="Code"/>
              </w:rPr>
              <w:t>&lt;unclear&gt;</w:t>
            </w:r>
            <w:r>
              <w:rPr>
                <w:rStyle w:val="Codetext"/>
              </w:rPr>
              <w:t>e</w:t>
            </w:r>
            <w:r>
              <w:rPr>
                <w:rStyle w:val="Code"/>
              </w:rPr>
              <w:t>&lt;/unclear&gt;</w:t>
            </w:r>
            <w:r>
              <w:rPr>
                <w:rStyle w:val="Codetext"/>
              </w:rPr>
              <w:t>kākin</w:t>
            </w:r>
            <w:r>
              <w:rPr>
                <w:rStyle w:val="Code"/>
              </w:rPr>
              <w:t>&lt;choice&gt;&lt;sic&gt;</w:t>
            </w:r>
            <w:r>
              <w:rPr>
                <w:rStyle w:val="Codetext"/>
              </w:rPr>
              <w:t>ā</w:t>
            </w:r>
            <w:r>
              <w:rPr>
                <w:rStyle w:val="Code"/>
              </w:rPr>
              <w:t>&lt;/sic&gt;&lt;corr&gt;</w:t>
            </w:r>
            <w:r>
              <w:rPr>
                <w:rStyle w:val="Codetext"/>
              </w:rPr>
              <w:t>a</w:t>
            </w:r>
            <w:r>
              <w:rPr>
                <w:rStyle w:val="Code"/>
              </w:rPr>
              <w:t>&lt;/corr&gt;&lt;/choice&gt;</w:t>
            </w:r>
            <w:r>
              <w:rPr>
                <w:rStyle w:val="Codetext"/>
              </w:rPr>
              <w:t>ṁ hanti</w:t>
            </w:r>
            <w:r>
              <w:rPr>
                <w:rStyle w:val="Code"/>
              </w:rPr>
              <w:t>&lt;/l&gt;</w:t>
            </w:r>
          </w:p>
          <w:p>
            <w:pPr>
              <w:pStyle w:val="CodeParagraph"/>
              <w:keepNext/>
              <w:rPr>
                <w:rStyle w:val="Code"/>
              </w:rPr>
            </w:pPr>
            <w:r>
              <w:rPr>
                <w:rStyle w:val="Code"/>
              </w:rPr>
              <w:t xml:space="preserve">    &lt;l </w:t>
            </w:r>
            <w:r>
              <w:rPr>
                <w:rStyle w:val="Codeattribute"/>
              </w:rPr>
              <w:t>n=</w:t>
            </w:r>
            <w:r>
              <w:rPr>
                <w:rStyle w:val="Codevalue"/>
              </w:rPr>
              <w:t>"d"</w:t>
            </w:r>
            <w:r>
              <w:rPr>
                <w:rStyle w:val="Code"/>
              </w:rPr>
              <w:t>&gt;</w:t>
            </w:r>
            <w:r>
              <w:rPr>
                <w:rStyle w:val="Codetext"/>
              </w:rPr>
              <w:t>brahma-svaM putra-p</w:t>
            </w:r>
            <w:r>
              <w:rPr>
                <w:rStyle w:val="Code"/>
              </w:rPr>
              <w:t>&lt;choice&gt;&lt;sic&gt;</w:t>
            </w:r>
            <w:r>
              <w:rPr>
                <w:rStyle w:val="Codetext"/>
              </w:rPr>
              <w:t>avi</w:t>
            </w:r>
            <w:r>
              <w:rPr>
                <w:rStyle w:val="Code"/>
              </w:rPr>
              <w:t>&lt;/sic&gt;&lt;corr&gt;</w:t>
            </w:r>
            <w:r>
              <w:rPr>
                <w:rStyle w:val="Codetext"/>
              </w:rPr>
              <w:t>au</w:t>
            </w:r>
            <w:r>
              <w:rPr>
                <w:rStyle w:val="Code"/>
              </w:rPr>
              <w:t>&lt;/corr&gt;&lt;/choice&gt;</w:t>
            </w:r>
            <w:r>
              <w:rPr>
                <w:rStyle w:val="Codetext"/>
              </w:rPr>
              <w:t>trikaM</w:t>
            </w:r>
            <w:r>
              <w:rPr>
                <w:rStyle w:val="Code"/>
              </w:rPr>
              <w:t>&lt;/l&gt;</w:t>
            </w:r>
          </w:p>
          <w:p>
            <w:pPr>
              <w:pStyle w:val="CodeParagraph"/>
              <w:keepNext/>
              <w:rPr>
                <w:rStyle w:val="Code"/>
              </w:rPr>
            </w:pPr>
            <w:r>
              <w:rPr>
                <w:rStyle w:val="Code"/>
              </w:rPr>
              <w:t xml:space="preserve">  &lt;/lg&gt;</w:t>
            </w:r>
          </w:p>
          <w:p>
            <w:pPr>
              <w:pStyle w:val="CodeParagraph"/>
              <w:keepNext/>
            </w:pPr>
            <w:r>
              <w:rPr>
                <w:rStyle w:val="Codetext"/>
              </w:rPr>
              <w:t xml:space="preserve">  [...]</w:t>
            </w:r>
            <w:r>
              <w:rPr>
                <w:rStyle w:val="Codetext"/>
              </w:rPr>
              <w:br/>
            </w:r>
            <w:r>
              <w:rPr>
                <w:rStyle w:val="Code"/>
              </w:rPr>
              <w:t>&lt;/div&gt;</w:t>
            </w:r>
          </w:p>
        </w:tc>
      </w:tr>
      <w:tr>
        <w:tc>
          <w:tcPr>
            <w:tcW w:w="5000" w:type="pct"/>
          </w:tcPr>
          <w:p>
            <w:pPr>
              <w:pStyle w:val="TableNote"/>
              <w:keepNext/>
              <w:rPr>
                <w:rStyle w:val="Code"/>
              </w:rPr>
            </w:pPr>
            <w:r>
              <w:t>and from the corresponding apparatus</w:t>
            </w:r>
          </w:p>
        </w:tc>
      </w:tr>
      <w:tr>
        <w:tc>
          <w:tcPr>
            <w:tcW w:w="5000" w:type="pct"/>
          </w:tcPr>
          <w:p>
            <w:pPr>
              <w:pStyle w:val="CodeParagraph"/>
              <w:rPr>
                <w:rStyle w:val="Code"/>
              </w:rPr>
            </w:pPr>
            <w:r>
              <w:rPr>
                <w:rStyle w:val="Code"/>
              </w:rPr>
              <w:t xml:space="preserve">&lt;div </w:t>
            </w:r>
            <w:r>
              <w:rPr>
                <w:rStyle w:val="Codeattribute"/>
              </w:rPr>
              <w:t>type</w:t>
            </w:r>
            <w:r>
              <w:rPr>
                <w:rStyle w:val="Code"/>
              </w:rPr>
              <w:t>=</w:t>
            </w:r>
            <w:r>
              <w:rPr>
                <w:rStyle w:val="Codevalue"/>
              </w:rPr>
              <w:t>"apparatus"</w:t>
            </w:r>
            <w:r>
              <w:rPr>
                <w:rStyle w:val="Code"/>
              </w:rPr>
              <w:t>&gt;</w:t>
            </w:r>
            <w:r>
              <w:rPr>
                <w:rStyle w:val="Codetext"/>
              </w:rPr>
              <w:br/>
            </w:r>
            <w:r>
              <w:rPr>
                <w:rStyle w:val="Code"/>
              </w:rPr>
              <w:t xml:space="preserve">  &lt;listApp&gt;</w:t>
            </w:r>
            <w:r>
              <w:rPr>
                <w:rStyle w:val="Codetext"/>
              </w:rPr>
              <w:br/>
              <w:t xml:space="preserve">    [...]</w:t>
            </w:r>
            <w:r>
              <w:rPr>
                <w:rStyle w:val="Codetext"/>
              </w:rPr>
              <w:br/>
            </w:r>
            <w:r>
              <w:rPr>
                <w:rStyle w:val="Code"/>
              </w:rPr>
              <w:t xml:space="preserve">    &lt;app </w:t>
            </w:r>
            <w:r>
              <w:rPr>
                <w:rStyle w:val="Codeattribute"/>
              </w:rPr>
              <w:t>loc=</w:t>
            </w:r>
            <w:r>
              <w:rPr>
                <w:rStyle w:val="Codevalue"/>
              </w:rPr>
              <w:t>"24"</w:t>
            </w:r>
            <w:r>
              <w:rPr>
                <w:rStyle w:val="Code"/>
              </w:rPr>
              <w:t>&gt;</w:t>
            </w:r>
          </w:p>
          <w:p>
            <w:pPr>
              <w:pStyle w:val="CodeParagraph"/>
              <w:rPr>
                <w:rStyle w:val="Code"/>
              </w:rPr>
            </w:pPr>
            <w:r>
              <w:rPr>
                <w:rStyle w:val="Code"/>
              </w:rPr>
              <w:t xml:space="preserve">      &lt;lem&gt;</w:t>
            </w:r>
            <w:r>
              <w:rPr>
                <w:rStyle w:val="Codetext"/>
              </w:rPr>
              <w:t>viṣa</w:t>
            </w:r>
            <w:r>
              <w:rPr>
                <w:rStyle w:val="Code"/>
              </w:rPr>
              <w:t xml:space="preserve">&lt;supplied </w:t>
            </w:r>
            <w:r>
              <w:rPr>
                <w:rStyle w:val="Codeattribute"/>
              </w:rPr>
              <w:t>reason=</w:t>
            </w:r>
            <w:r>
              <w:rPr>
                <w:rStyle w:val="Codevalue"/>
              </w:rPr>
              <w:t>"omitted"</w:t>
            </w:r>
            <w:r>
              <w:rPr>
                <w:rStyle w:val="Code"/>
              </w:rPr>
              <w:t>&gt;</w:t>
            </w:r>
            <w:r>
              <w:rPr>
                <w:rStyle w:val="Codetext"/>
              </w:rPr>
              <w:t>ṁ</w:t>
            </w:r>
            <w:r>
              <w:rPr>
                <w:rStyle w:val="Code"/>
              </w:rPr>
              <w:t>&lt;/supplied&gt;</w:t>
            </w:r>
            <w:r>
              <w:rPr>
                <w:rStyle w:val="Codetext"/>
              </w:rPr>
              <w:t xml:space="preserve"> viṣam</w:t>
            </w:r>
            <w:r>
              <w:rPr>
                <w:rStyle w:val="Code"/>
              </w:rPr>
              <w:t>&lt;/lem&gt;</w:t>
            </w:r>
          </w:p>
          <w:p>
            <w:pPr>
              <w:pStyle w:val="CodeParagraph"/>
              <w:rPr>
                <w:rStyle w:val="Code"/>
              </w:rPr>
            </w:pPr>
            <w:r>
              <w:rPr>
                <w:rStyle w:val="Code"/>
              </w:rPr>
              <w:t xml:space="preserve">      &lt;rdg </w:t>
            </w:r>
            <w:r>
              <w:rPr>
                <w:rStyle w:val="Codeattribute"/>
              </w:rPr>
              <w:t>source=</w:t>
            </w:r>
            <w:r>
              <w:rPr>
                <w:rStyle w:val="Codevalue"/>
              </w:rPr>
              <w:t>"bib:Gai1965-1966_01"</w:t>
            </w:r>
            <w:r>
              <w:rPr>
                <w:rStyle w:val="Code"/>
              </w:rPr>
              <w:t>&gt;</w:t>
            </w:r>
            <w:r>
              <w:rPr>
                <w:rStyle w:val="Codetext"/>
              </w:rPr>
              <w:t>viṣa</w:t>
            </w:r>
            <w:r>
              <w:rPr>
                <w:rStyle w:val="Code"/>
              </w:rPr>
              <w:t>&lt;unclear&gt;</w:t>
            </w:r>
            <w:r>
              <w:rPr>
                <w:rStyle w:val="Codetext"/>
              </w:rPr>
              <w:t>ṁ</w:t>
            </w:r>
            <w:r>
              <w:rPr>
                <w:rStyle w:val="Code"/>
              </w:rPr>
              <w:t>&lt;/unclear&gt;</w:t>
            </w:r>
            <w:r>
              <w:rPr>
                <w:rStyle w:val="Codetext"/>
              </w:rPr>
              <w:t xml:space="preserve"> viṣam</w:t>
            </w:r>
            <w:r>
              <w:rPr>
                <w:rStyle w:val="Code"/>
              </w:rPr>
              <w:t>&lt;/rdg&gt;</w:t>
            </w:r>
          </w:p>
          <w:p>
            <w:pPr>
              <w:pStyle w:val="CodeParagraph"/>
              <w:rPr>
                <w:rStyle w:val="Code"/>
              </w:rPr>
            </w:pPr>
            <w:r>
              <w:rPr>
                <w:rStyle w:val="Code"/>
              </w:rPr>
              <w:t xml:space="preserve">      &lt;rdg </w:t>
            </w:r>
            <w:r>
              <w:rPr>
                <w:rStyle w:val="Codeattribute"/>
              </w:rPr>
              <w:t>source=</w:t>
            </w:r>
            <w:r>
              <w:rPr>
                <w:rStyle w:val="Codevalue"/>
              </w:rPr>
              <w:t>"bib:Venkataramanayya1974_01"</w:t>
            </w:r>
            <w:r>
              <w:rPr>
                <w:rStyle w:val="Code"/>
              </w:rPr>
              <w:t>&gt;</w:t>
            </w:r>
            <w:r>
              <w:rPr>
                <w:rStyle w:val="Codetext"/>
              </w:rPr>
              <w:t>viṣa</w:t>
            </w:r>
            <w:r>
              <w:rPr>
                <w:rStyle w:val="Code"/>
              </w:rPr>
              <w:t xml:space="preserve">&lt;supplied </w:t>
            </w:r>
            <w:r>
              <w:rPr>
                <w:rStyle w:val="Codeattribute"/>
              </w:rPr>
              <w:t>reason=</w:t>
            </w:r>
            <w:r>
              <w:rPr>
                <w:rStyle w:val="Codevalue"/>
              </w:rPr>
              <w:t>"omitted"</w:t>
            </w:r>
            <w:r>
              <w:rPr>
                <w:rStyle w:val="Code"/>
              </w:rPr>
              <w:t>&gt;</w:t>
            </w:r>
            <w:r>
              <w:rPr>
                <w:rStyle w:val="Codetext"/>
              </w:rPr>
              <w:t>ṁ</w:t>
            </w:r>
            <w:r>
              <w:rPr>
                <w:rStyle w:val="Code"/>
              </w:rPr>
              <w:t>&lt;/supplied&gt;&lt;/rdg&gt;</w:t>
            </w:r>
          </w:p>
          <w:p>
            <w:pPr>
              <w:pStyle w:val="CodeParagraph"/>
              <w:rPr>
                <w:rStyle w:val="Code"/>
              </w:rPr>
            </w:pPr>
            <w:r>
              <w:rPr>
                <w:rStyle w:val="Code"/>
              </w:rPr>
              <w:t xml:space="preserve">    &lt;/app&gt;</w:t>
            </w:r>
          </w:p>
          <w:p>
            <w:pPr>
              <w:pStyle w:val="CodeParagraph"/>
              <w:rPr>
                <w:rStyle w:val="Code"/>
              </w:rPr>
            </w:pPr>
            <w:r>
              <w:rPr>
                <w:rStyle w:val="Code"/>
              </w:rPr>
              <w:t xml:space="preserve">    &lt;app </w:t>
            </w:r>
            <w:r>
              <w:rPr>
                <w:rStyle w:val="Codeattribute"/>
              </w:rPr>
              <w:t>loc=</w:t>
            </w:r>
            <w:r>
              <w:rPr>
                <w:rStyle w:val="Codevalue"/>
              </w:rPr>
              <w:t>"24"</w:t>
            </w:r>
            <w:r>
              <w:rPr>
                <w:rStyle w:val="Code"/>
              </w:rPr>
              <w:t>&gt;</w:t>
            </w:r>
          </w:p>
          <w:p>
            <w:pPr>
              <w:pStyle w:val="CodeParagraph"/>
              <w:rPr>
                <w:rStyle w:val="Code"/>
              </w:rPr>
            </w:pPr>
            <w:r>
              <w:rPr>
                <w:rStyle w:val="Code"/>
              </w:rPr>
              <w:t xml:space="preserve">      &lt;lem </w:t>
            </w:r>
            <w:r>
              <w:rPr>
                <w:rStyle w:val="Codeattribute"/>
              </w:rPr>
              <w:t>source=</w:t>
            </w:r>
            <w:r>
              <w:rPr>
                <w:rStyle w:val="Codevalue"/>
              </w:rPr>
              <w:t>"bib:Gai1965-1966_01"</w:t>
            </w:r>
            <w:r>
              <w:rPr>
                <w:rStyle w:val="Code"/>
              </w:rPr>
              <w:t>&gt;</w:t>
            </w:r>
            <w:r>
              <w:rPr>
                <w:rStyle w:val="Codetext"/>
              </w:rPr>
              <w:t>ucyate</w:t>
            </w:r>
            <w:r>
              <w:rPr>
                <w:rStyle w:val="Code"/>
              </w:rPr>
              <w:t>&lt;/lem&gt;</w:t>
            </w:r>
          </w:p>
          <w:p>
            <w:pPr>
              <w:pStyle w:val="CodeParagraph"/>
              <w:rPr>
                <w:rStyle w:val="Code"/>
              </w:rPr>
            </w:pPr>
            <w:r>
              <w:rPr>
                <w:rStyle w:val="Code"/>
              </w:rPr>
              <w:t xml:space="preserve">      &lt;rdg </w:t>
            </w:r>
            <w:r>
              <w:rPr>
                <w:rStyle w:val="Codeattribute"/>
              </w:rPr>
              <w:t>source=</w:t>
            </w:r>
            <w:r>
              <w:rPr>
                <w:rStyle w:val="Codevalue"/>
              </w:rPr>
              <w:t>"bib:Venkataramanayya1974_01"</w:t>
            </w:r>
            <w:r>
              <w:rPr>
                <w:rStyle w:val="Code"/>
              </w:rPr>
              <w:t>&gt;</w:t>
            </w:r>
            <w:r>
              <w:rPr>
                <w:rStyle w:val="Codetext"/>
              </w:rPr>
              <w:t>uc</w:t>
            </w:r>
            <w:r>
              <w:rPr>
                <w:rStyle w:val="Code"/>
              </w:rPr>
              <w:t>&lt;surplus&gt;</w:t>
            </w:r>
            <w:r>
              <w:rPr>
                <w:rStyle w:val="Codetext"/>
              </w:rPr>
              <w:t>c</w:t>
            </w:r>
            <w:r>
              <w:rPr>
                <w:rStyle w:val="Code"/>
              </w:rPr>
              <w:t>&lt;/surplus&gt;</w:t>
            </w:r>
            <w:r>
              <w:rPr>
                <w:rStyle w:val="Codetext"/>
              </w:rPr>
              <w:t>yate</w:t>
            </w:r>
            <w:r>
              <w:rPr>
                <w:rStyle w:val="Code"/>
              </w:rPr>
              <w:t>&lt;/rdg&gt;</w:t>
            </w:r>
          </w:p>
          <w:p>
            <w:pPr>
              <w:pStyle w:val="CodeParagraph"/>
              <w:rPr>
                <w:rStyle w:val="Code"/>
              </w:rPr>
            </w:pPr>
            <w:r>
              <w:rPr>
                <w:rStyle w:val="Code"/>
              </w:rPr>
              <w:t xml:space="preserve">    &lt;/app&gt;</w:t>
            </w:r>
          </w:p>
          <w:p>
            <w:pPr>
              <w:pStyle w:val="CodeParagraph"/>
              <w:rPr>
                <w:rStyle w:val="Code"/>
              </w:rPr>
            </w:pPr>
            <w:r>
              <w:rPr>
                <w:rStyle w:val="Code"/>
              </w:rPr>
              <w:t xml:space="preserve">    &lt;app </w:t>
            </w:r>
            <w:r>
              <w:rPr>
                <w:rStyle w:val="Codeattribute"/>
              </w:rPr>
              <w:t>loc=</w:t>
            </w:r>
            <w:r>
              <w:rPr>
                <w:rStyle w:val="Codevalue"/>
              </w:rPr>
              <w:t>"25"</w:t>
            </w:r>
            <w:r>
              <w:rPr>
                <w:rStyle w:val="Code"/>
              </w:rPr>
              <w:t>&gt;</w:t>
            </w:r>
          </w:p>
          <w:p>
            <w:pPr>
              <w:pStyle w:val="CodeParagraph"/>
              <w:rPr>
                <w:rStyle w:val="Code"/>
              </w:rPr>
            </w:pPr>
            <w:r>
              <w:rPr>
                <w:rStyle w:val="Code"/>
              </w:rPr>
              <w:t xml:space="preserve">      &lt;lem </w:t>
            </w:r>
            <w:r>
              <w:rPr>
                <w:rStyle w:val="Codeattribute"/>
              </w:rPr>
              <w:t>source=</w:t>
            </w:r>
            <w:r>
              <w:rPr>
                <w:rStyle w:val="Codevalue"/>
              </w:rPr>
              <w:t>"bib:Venkataramanayya1974_01"</w:t>
            </w:r>
            <w:r>
              <w:rPr>
                <w:rStyle w:val="Code"/>
              </w:rPr>
              <w:t>&gt;-</w:t>
            </w:r>
            <w:r>
              <w:rPr>
                <w:rStyle w:val="Codetext"/>
              </w:rPr>
              <w:t>p</w:t>
            </w:r>
            <w:r>
              <w:rPr>
                <w:rStyle w:val="Code"/>
              </w:rPr>
              <w:t>&lt;choice&gt;&lt;sic&gt;</w:t>
            </w:r>
            <w:r>
              <w:rPr>
                <w:rStyle w:val="Codetext"/>
              </w:rPr>
              <w:t>avi</w:t>
            </w:r>
            <w:r>
              <w:rPr>
                <w:rStyle w:val="Code"/>
              </w:rPr>
              <w:t>&lt;/sic&gt;&lt;corr&gt;</w:t>
            </w:r>
            <w:r>
              <w:rPr>
                <w:rStyle w:val="Codetext"/>
              </w:rPr>
              <w:t>au</w:t>
            </w:r>
            <w:r>
              <w:rPr>
                <w:rStyle w:val="Code"/>
              </w:rPr>
              <w:t>&lt;/corr&gt;&lt;/choice&gt;</w:t>
            </w:r>
            <w:r>
              <w:rPr>
                <w:rStyle w:val="Codetext"/>
              </w:rPr>
              <w:t>trikaM</w:t>
            </w:r>
            <w:r>
              <w:rPr>
                <w:rStyle w:val="Code"/>
              </w:rPr>
              <w:t>&lt;/lem&gt;</w:t>
            </w:r>
          </w:p>
          <w:p>
            <w:pPr>
              <w:pStyle w:val="CodeParagraph"/>
              <w:rPr>
                <w:rStyle w:val="Code"/>
              </w:rPr>
            </w:pPr>
            <w:r>
              <w:rPr>
                <w:rStyle w:val="Code"/>
              </w:rPr>
              <w:t xml:space="preserve">      &lt;rdg </w:t>
            </w:r>
            <w:r>
              <w:rPr>
                <w:rStyle w:val="Codeattribute"/>
              </w:rPr>
              <w:t>source=</w:t>
            </w:r>
            <w:r>
              <w:rPr>
                <w:rStyle w:val="Codevalue"/>
              </w:rPr>
              <w:t>"bib:Gai1965-1966_01"</w:t>
            </w:r>
            <w:r>
              <w:rPr>
                <w:rStyle w:val="Code"/>
              </w:rPr>
              <w:t>&gt;-</w:t>
            </w:r>
            <w:r>
              <w:rPr>
                <w:rStyle w:val="Codetext"/>
              </w:rPr>
              <w:t>p</w:t>
            </w:r>
            <w:r>
              <w:rPr>
                <w:rStyle w:val="Code"/>
              </w:rPr>
              <w:t>&lt;choice&gt;&lt;sic&gt;</w:t>
            </w:r>
            <w:r>
              <w:rPr>
                <w:rStyle w:val="Codetext"/>
              </w:rPr>
              <w:t>avi</w:t>
            </w:r>
            <w:r>
              <w:rPr>
                <w:rStyle w:val="Code"/>
              </w:rPr>
              <w:t>&lt;/sic&gt;&lt;corr&gt;</w:t>
            </w:r>
            <w:r>
              <w:rPr>
                <w:rStyle w:val="Codetext"/>
              </w:rPr>
              <w:t>au</w:t>
            </w:r>
            <w:r>
              <w:rPr>
                <w:rStyle w:val="Code"/>
              </w:rPr>
              <w:t>&lt;/corr&gt;&lt;/choice&gt;</w:t>
            </w:r>
            <w:r>
              <w:rPr>
                <w:rStyle w:val="Codetext"/>
              </w:rPr>
              <w:t>tr</w:t>
            </w:r>
            <w:r>
              <w:rPr>
                <w:rStyle w:val="Code"/>
              </w:rPr>
              <w:t>&lt;choice&gt;&lt;orig&gt;</w:t>
            </w:r>
            <w:r>
              <w:rPr>
                <w:rStyle w:val="Codetext"/>
              </w:rPr>
              <w:t>i</w:t>
            </w:r>
            <w:r>
              <w:rPr>
                <w:rStyle w:val="Code"/>
              </w:rPr>
              <w:t>&lt;/orig&gt;&lt;reg&gt;</w:t>
            </w:r>
            <w:r>
              <w:rPr>
                <w:rStyle w:val="Codetext"/>
              </w:rPr>
              <w:t>a</w:t>
            </w:r>
            <w:r>
              <w:rPr>
                <w:rStyle w:val="Code"/>
              </w:rPr>
              <w:t>&lt;/reg&gt;&lt;/choice&gt;</w:t>
            </w:r>
            <w:r>
              <w:rPr>
                <w:rStyle w:val="Codetext"/>
              </w:rPr>
              <w:t>kaM</w:t>
            </w:r>
            <w:r>
              <w:rPr>
                <w:rStyle w:val="Code"/>
              </w:rPr>
              <w:t>&lt;/rdg&gt;</w:t>
            </w:r>
          </w:p>
          <w:p>
            <w:pPr>
              <w:pStyle w:val="CodeParagraph"/>
              <w:rPr>
                <w:rStyle w:val="Code"/>
              </w:rPr>
            </w:pPr>
            <w:r>
              <w:rPr>
                <w:rStyle w:val="Code"/>
              </w:rPr>
              <w:t xml:space="preserve">      &lt;note&gt;</w:t>
            </w:r>
            <w:r>
              <w:rPr>
                <w:rStyle w:val="Codetext"/>
              </w:rPr>
              <w:t xml:space="preserve">I prefer the normalisation </w:t>
            </w:r>
            <w:r>
              <w:rPr>
                <w:rStyle w:val="Code"/>
              </w:rPr>
              <w:t>&lt;foreign&gt;</w:t>
            </w:r>
            <w:r>
              <w:rPr>
                <w:rStyle w:val="Codetext"/>
              </w:rPr>
              <w:t>pautrikam</w:t>
            </w:r>
            <w:r>
              <w:rPr>
                <w:rStyle w:val="Code"/>
              </w:rPr>
              <w:t>&lt;/foreign</w:t>
            </w:r>
            <w:r>
              <w:rPr>
                <w:rStyle w:val="Codetext"/>
              </w:rPr>
              <w:t xml:space="preserve">&gt;; I moreover wonder if the intent was not </w:t>
            </w:r>
            <w:r>
              <w:rPr>
                <w:rStyle w:val="Code"/>
              </w:rPr>
              <w:t>&lt;foreign&gt;</w:t>
            </w:r>
            <w:r>
              <w:rPr>
                <w:rStyle w:val="Codetext"/>
              </w:rPr>
              <w:t>paitr̥kam</w:t>
            </w:r>
            <w:r>
              <w:rPr>
                <w:rStyle w:val="Code"/>
              </w:rPr>
              <w:t>&lt;/foreign&gt;</w:t>
            </w:r>
            <w:r>
              <w:rPr>
                <w:rStyle w:val="Codetext"/>
              </w:rPr>
              <w:t>.</w:t>
            </w:r>
            <w:r>
              <w:rPr>
                <w:rStyle w:val="Code"/>
              </w:rPr>
              <w:t>&lt;/note&gt;</w:t>
            </w:r>
          </w:p>
          <w:p>
            <w:pPr>
              <w:pStyle w:val="CodeParagraph"/>
              <w:rPr>
                <w:rStyle w:val="Code"/>
              </w:rPr>
            </w:pPr>
            <w:r>
              <w:rPr>
                <w:rStyle w:val="Code"/>
              </w:rPr>
              <w:t xml:space="preserve">    &lt;/app&gt;</w:t>
            </w:r>
          </w:p>
          <w:p>
            <w:pPr>
              <w:pStyle w:val="CodeParagraph"/>
              <w:rPr>
                <w:rStyle w:val="Code"/>
              </w:rPr>
            </w:pPr>
            <w:r>
              <w:rPr>
                <w:rStyle w:val="Codetext"/>
              </w:rPr>
              <w:t xml:space="preserve">    [...]</w:t>
            </w:r>
            <w:r>
              <w:rPr>
                <w:rStyle w:val="Codetext"/>
              </w:rPr>
              <w:br/>
            </w:r>
            <w:r>
              <w:rPr>
                <w:rStyle w:val="Code"/>
              </w:rPr>
              <w:t xml:space="preserve">  &lt;/listApp&gt;</w:t>
            </w:r>
            <w:r>
              <w:rPr>
                <w:rStyle w:val="Codetext"/>
              </w:rPr>
              <w:br/>
            </w:r>
            <w:r>
              <w:rPr>
                <w:rStyle w:val="Code"/>
              </w:rPr>
              <w:t>&lt;/div&gt;</w:t>
            </w:r>
          </w:p>
        </w:tc>
      </w:tr>
    </w:tbl>
    <w:p>
      <w:pPr>
        <w:pStyle w:val="Cmsor3"/>
      </w:pPr>
      <w:bookmarkStart w:id="733" w:name="_ylrtvcd6yrbu" w:colFirst="0" w:colLast="0"/>
      <w:bookmarkStart w:id="734" w:name="_Ref43989464"/>
      <w:bookmarkStart w:id="735" w:name="_Ref43978538"/>
      <w:bookmarkStart w:id="736" w:name="_Toc242976683"/>
      <w:bookmarkEnd w:id="733"/>
      <w:r>
        <w:t>Textpart divisions in the apparatus</w:t>
      </w:r>
      <w:bookmarkEnd w:id="734"/>
      <w:bookmarkEnd w:id="736"/>
    </w:p>
    <w:p>
      <w:pPr>
        <w:pStyle w:val="Lista"/>
      </w:pPr>
      <w:r>
        <w:t xml:space="preserve">if your edition includes boxlike partitions </w:t>
      </w:r>
      <w:r>
        <w:rPr>
          <w:noProof/>
        </w:rPr>
        <w:t>(</w:t>
      </w:r>
      <w:r>
        <w:t>§</w:t>
      </w:r>
      <w:r>
        <w:fldChar w:fldCharType="begin"/>
      </w:r>
      <w:r>
        <w:instrText xml:space="preserve"> REF _Ref225778181 \r \h </w:instrText>
      </w:r>
      <w:r>
        <w:fldChar w:fldCharType="separate"/>
      </w:r>
      <w:r>
        <w:t>4.2</w:t>
      </w:r>
      <w:r>
        <w:fldChar w:fldCharType="end"/>
      </w:r>
      <w:r>
        <w:t>), then all corresponding textpart divisions must be replicated within the apparatus</w:t>
      </w:r>
    </w:p>
    <w:p>
      <w:pPr>
        <w:pStyle w:val="Lista"/>
      </w:pPr>
      <w:r>
        <w:t xml:space="preserve">inside </w:t>
      </w:r>
      <w:r>
        <w:rPr>
          <w:rStyle w:val="Code"/>
        </w:rPr>
        <w:t xml:space="preserve">&lt;div </w:t>
      </w:r>
      <w:r>
        <w:rPr>
          <w:rStyle w:val="Codeattribute"/>
        </w:rPr>
        <w:t>type</w:t>
      </w:r>
      <w:r>
        <w:rPr>
          <w:rStyle w:val="Code"/>
        </w:rPr>
        <w:t>=</w:t>
      </w:r>
      <w:r>
        <w:rPr>
          <w:rStyle w:val="Codevalue"/>
        </w:rPr>
        <w:t>"apparatus"</w:t>
      </w:r>
      <w:r>
        <w:rPr>
          <w:rStyle w:val="Code"/>
        </w:rPr>
        <w:t>&gt;</w:t>
      </w:r>
      <w:r>
        <w:t xml:space="preserve">, create as many </w:t>
      </w:r>
      <w:r>
        <w:rPr>
          <w:rStyle w:val="Code"/>
        </w:rPr>
        <w:t xml:space="preserve">&lt;div </w:t>
      </w:r>
      <w:r>
        <w:rPr>
          <w:rStyle w:val="Codeattribute"/>
        </w:rPr>
        <w:t>type</w:t>
      </w:r>
      <w:r>
        <w:rPr>
          <w:rStyle w:val="Code"/>
        </w:rPr>
        <w:t>=</w:t>
      </w:r>
      <w:r>
        <w:rPr>
          <w:rStyle w:val="Codevalue"/>
        </w:rPr>
        <w:t>"textpart"</w:t>
      </w:r>
      <w:r>
        <w:rPr>
          <w:rStyle w:val="Code"/>
        </w:rPr>
        <w:t>&gt;</w:t>
      </w:r>
      <w:r>
        <w:t xml:space="preserve"> elements as there are in the </w:t>
      </w:r>
      <w:r>
        <w:rPr>
          <w:rStyle w:val="Code"/>
        </w:rPr>
        <w:t xml:space="preserve">&lt;div </w:t>
      </w:r>
      <w:r>
        <w:rPr>
          <w:rStyle w:val="Codeattribute"/>
        </w:rPr>
        <w:t>type</w:t>
      </w:r>
      <w:r>
        <w:rPr>
          <w:rStyle w:val="Code"/>
        </w:rPr>
        <w:t>=</w:t>
      </w:r>
      <w:r>
        <w:rPr>
          <w:rStyle w:val="Codevalue"/>
        </w:rPr>
        <w:t>"edition"</w:t>
      </w:r>
      <w:r>
        <w:rPr>
          <w:rStyle w:val="Code"/>
        </w:rPr>
        <w:t>&gt;</w:t>
      </w:r>
    </w:p>
    <w:p>
      <w:pPr>
        <w:pStyle w:val="Lista2"/>
      </w:pPr>
      <w:r>
        <w:t xml:space="preserve">in the start-tag of these replicated divisions, include the same attributes </w:t>
      </w:r>
      <w:r>
        <w:rPr>
          <w:noProof/>
        </w:rPr>
        <w:t>(</w:t>
      </w:r>
      <w:r>
        <w:rPr>
          <w:rStyle w:val="Codeattribute"/>
        </w:rPr>
        <w:t>@subtype</w:t>
      </w:r>
      <w:r>
        <w:t xml:space="preserve"> and </w:t>
      </w:r>
      <w:r>
        <w:rPr>
          <w:rStyle w:val="Codeattribute"/>
        </w:rPr>
        <w:t>@n</w:t>
      </w:r>
      <w:r>
        <w:t xml:space="preserve"> as applicable) with the same value that they have in the edition division</w:t>
      </w:r>
    </w:p>
    <w:p>
      <w:pPr>
        <w:pStyle w:val="Lista2"/>
      </w:pPr>
      <w:r>
        <w:t xml:space="preserve">if your edition’s textpart divisions have </w:t>
      </w:r>
      <w:r>
        <w:rPr>
          <w:rStyle w:val="Code"/>
        </w:rPr>
        <w:t>&lt;head&gt;</w:t>
      </w:r>
      <w:r>
        <w:t xml:space="preserve"> elements, likewise replicate these in the apparatus, immediately after the start-tag of each textpart division</w:t>
      </w:r>
    </w:p>
    <w:p>
      <w:pPr>
        <w:pStyle w:val="Lista3"/>
      </w:pPr>
      <w:r>
        <w:t xml:space="preserve">the </w:t>
      </w:r>
      <w:r>
        <w:rPr>
          <w:rStyle w:val="Codeattribute"/>
        </w:rPr>
        <w:t>@xml:lang</w:t>
      </w:r>
      <w:r>
        <w:t xml:space="preserve"> attribute of the </w:t>
      </w:r>
      <w:r>
        <w:rPr>
          <w:rStyle w:val="Code"/>
        </w:rPr>
        <w:t>&lt;head&gt;</w:t>
      </w:r>
      <w:r>
        <w:t xml:space="preserve"> element is not necessary within the apparatus (because the apparatus division, along with all its children, inherit the English language from the TEI container of the document), but copy-pasting the head and retaining the attribute does no harm</w:t>
      </w:r>
    </w:p>
    <w:p>
      <w:pPr>
        <w:pStyle w:val="Lista"/>
      </w:pPr>
      <w:r>
        <w:t xml:space="preserve">the apparatus container </w:t>
      </w:r>
      <w:r>
        <w:rPr>
          <w:rStyle w:val="Code"/>
        </w:rPr>
        <w:t>&lt;listApp&gt;</w:t>
      </w:r>
      <w:r>
        <w:t xml:space="preserve"> must in this case be enclosed within each </w:t>
      </w:r>
      <w:r>
        <w:rPr>
          <w:rStyle w:val="Code"/>
        </w:rPr>
        <w:t xml:space="preserve">&lt;div </w:t>
      </w:r>
      <w:r>
        <w:rPr>
          <w:rStyle w:val="Codeattribute"/>
        </w:rPr>
        <w:t>type</w:t>
      </w:r>
      <w:r>
        <w:rPr>
          <w:rStyle w:val="Code"/>
        </w:rPr>
        <w:t>=</w:t>
      </w:r>
      <w:r>
        <w:rPr>
          <w:rStyle w:val="Codevalue"/>
        </w:rPr>
        <w:t>"textpart"</w:t>
      </w:r>
      <w:r>
        <w:rPr>
          <w:rStyle w:val="Code"/>
        </w:rPr>
        <w:t>&gt;</w:t>
      </w:r>
    </w:p>
    <w:p>
      <w:pPr>
        <w:pStyle w:val="Lista2"/>
      </w:pPr>
      <w:r>
        <w:t xml:space="preserve">if you have apparatus entries for more than one textpart, then create a </w:t>
      </w:r>
      <w:r>
        <w:rPr>
          <w:rStyle w:val="Code"/>
        </w:rPr>
        <w:t>&lt;listApp&gt;</w:t>
      </w:r>
      <w:r>
        <w:t xml:space="preserve"> within each textpart to wrap the </w:t>
      </w:r>
      <w:r>
        <w:rPr>
          <w:rStyle w:val="Code"/>
        </w:rPr>
        <w:t>&lt;app&gt;</w:t>
      </w:r>
      <w:r>
        <w:t xml:space="preserve"> elements belonging to that textpart as in </w:t>
      </w:r>
      <w:r>
        <w:fldChar w:fldCharType="begin"/>
      </w:r>
      <w:r>
        <w:instrText xml:space="preserve"> REF _Ref232172735 \h </w:instrText>
      </w:r>
      <w:r>
        <w:fldChar w:fldCharType="separate"/>
      </w:r>
      <w:r>
        <w:t xml:space="preserve">Exhibit </w:t>
      </w:r>
      <w:r>
        <w:rPr>
          <w:noProof/>
        </w:rPr>
        <w:t>10.1</w:t>
      </w:r>
      <w:r>
        <w:t>.</w:t>
      </w:r>
      <w:r>
        <w:rPr>
          <w:noProof/>
        </w:rPr>
        <w:t>B</w:t>
      </w:r>
      <w:r>
        <w:fldChar w:fldCharType="end"/>
      </w:r>
    </w:p>
    <w:p>
      <w:pPr>
        <w:pStyle w:val="Lista2"/>
      </w:pPr>
      <w:r>
        <w:t xml:space="preserve">if one or more textparts have no pertaining apparatus entries, then the textpart division </w:t>
      </w:r>
      <w:r>
        <w:rPr>
          <w:noProof/>
        </w:rPr>
        <w:t>(</w:t>
      </w:r>
      <w:r>
        <w:t xml:space="preserve">with attributes) must still be created for these in the apparatus, but that division shall not contain anything </w:t>
      </w:r>
      <w:r>
        <w:rPr>
          <w:noProof/>
        </w:rPr>
        <w:lastRenderedPageBreak/>
        <w:t>(</w:t>
      </w:r>
      <w:r>
        <w:t xml:space="preserve">except, if applicable, </w:t>
      </w:r>
      <w:r>
        <w:rPr>
          <w:rStyle w:val="Code"/>
        </w:rPr>
        <w:t>&lt;head&gt;</w:t>
      </w:r>
      <w:r>
        <w:t xml:space="preserve">), i.e. there should not be a </w:t>
      </w:r>
      <w:r>
        <w:rPr>
          <w:rStyle w:val="Code"/>
        </w:rPr>
        <w:t>&lt;listApp&gt;</w:t>
      </w:r>
      <w:r>
        <w:t xml:space="preserve"> wrapper, nor any </w:t>
      </w:r>
      <w:r>
        <w:rPr>
          <w:rStyle w:val="Code"/>
        </w:rPr>
        <w:t>&lt;app&gt;</w:t>
      </w:r>
      <w:r>
        <w:t xml:space="preserve"> items there, as in </w:t>
      </w:r>
      <w:r>
        <w:fldChar w:fldCharType="begin"/>
      </w:r>
      <w:r>
        <w:instrText xml:space="preserve"> REF _Ref232172736 \h </w:instrText>
      </w:r>
      <w:r>
        <w:fldChar w:fldCharType="separate"/>
      </w:r>
      <w:r>
        <w:t xml:space="preserve">Exhibit </w:t>
      </w:r>
      <w:r>
        <w:rPr>
          <w:noProof/>
        </w:rPr>
        <w:t>10.1</w:t>
      </w:r>
      <w:r>
        <w:t>.</w:t>
      </w:r>
      <w:r>
        <w:rPr>
          <w:noProof/>
        </w:rPr>
        <w:t>C</w:t>
      </w:r>
      <w:r>
        <w:fldChar w:fldCharType="end"/>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737" w:name="_Ref232172735"/>
            <w:r>
              <w:t xml:space="preserve">Exhibit </w:t>
            </w:r>
            <w:fldSimple w:instr=" STYLEREF 2 \s ">
              <w:r>
                <w:rPr>
                  <w:noProof/>
                </w:rPr>
                <w:t>10.1</w:t>
              </w:r>
            </w:fldSimple>
            <w:r>
              <w:t>.</w:t>
            </w:r>
            <w:fldSimple w:instr=" SEQ Exhibit \* ALPHABETIC \s 2 ">
              <w:r>
                <w:rPr>
                  <w:noProof/>
                </w:rPr>
                <w:t>B</w:t>
              </w:r>
            </w:fldSimple>
            <w:bookmarkEnd w:id="737"/>
            <w:r>
              <w:t>: critical apparatus with more than one textpart, each with content</w:t>
            </w:r>
          </w:p>
        </w:tc>
      </w:tr>
      <w:tr>
        <w:tc>
          <w:tcPr>
            <w:tcW w:w="5000" w:type="pct"/>
          </w:tcPr>
          <w:p>
            <w:pPr>
              <w:pStyle w:val="CodeParagraph"/>
            </w:pPr>
            <w:r>
              <w:rPr>
                <w:rStyle w:val="Code"/>
              </w:rPr>
              <w:t xml:space="preserve">&lt;div </w:t>
            </w:r>
            <w:r>
              <w:rPr>
                <w:rStyle w:val="Codeattribute"/>
              </w:rPr>
              <w:t>type</w:t>
            </w:r>
            <w:r>
              <w:rPr>
                <w:rStyle w:val="Code"/>
              </w:rPr>
              <w:t>=</w:t>
            </w:r>
            <w:r>
              <w:rPr>
                <w:rStyle w:val="Codevalue"/>
              </w:rPr>
              <w:t>"apparatus"</w:t>
            </w:r>
            <w:r>
              <w:rPr>
                <w:rStyle w:val="Code"/>
              </w:rPr>
              <w:t>&gt;</w:t>
            </w:r>
            <w:r>
              <w:rPr>
                <w:rStyle w:val="Codetext"/>
              </w:rPr>
              <w:br/>
              <w:t xml:space="preserve"> </w:t>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r>
              <w:rPr>
                <w:rStyle w:val="Code"/>
              </w:rPr>
              <w:t xml:space="preserve">&lt;head </w:t>
            </w:r>
            <w:r>
              <w:rPr>
                <w:rStyle w:val="Codeattribute"/>
              </w:rPr>
              <w:t>xml:lang</w:t>
            </w:r>
            <w:r>
              <w:rPr>
                <w:rStyle w:val="Code"/>
              </w:rPr>
              <w:t>=</w:t>
            </w:r>
            <w:r>
              <w:rPr>
                <w:rStyle w:val="Codevalue"/>
              </w:rPr>
              <w:t>"eng"</w:t>
            </w:r>
            <w:r>
              <w:rPr>
                <w:rStyle w:val="Code"/>
              </w:rPr>
              <w:t>&gt;</w:t>
            </w:r>
            <w:r>
              <w:rPr>
                <w:rStyle w:val="Codetext"/>
              </w:rPr>
              <w:t>Seal</w:t>
            </w:r>
            <w:r>
              <w:rPr>
                <w:rStyle w:val="Code"/>
              </w:rPr>
              <w:t>&lt;/head&gt;</w:t>
            </w:r>
            <w:r>
              <w:rPr>
                <w:rStyle w:val="Codetext"/>
              </w:rPr>
              <w:br/>
              <w:t xml:space="preserve">  </w:t>
            </w:r>
            <w:r>
              <w:rPr>
                <w:rStyle w:val="Code"/>
              </w:rPr>
              <w:t>&lt;listApp&gt;</w:t>
            </w:r>
            <w:r>
              <w:rPr>
                <w:rStyle w:val="Codetext"/>
              </w:rPr>
              <w:br/>
              <w:t xml:space="preserve">   </w:t>
            </w:r>
            <w:r>
              <w:rPr>
                <w:rStyle w:val="Code"/>
              </w:rPr>
              <w:t xml:space="preserve">&lt;app </w:t>
            </w:r>
            <w:r>
              <w:rPr>
                <w:rStyle w:val="Codeattribute"/>
              </w:rPr>
              <w:t>loc</w:t>
            </w:r>
            <w:r>
              <w:rPr>
                <w:rStyle w:val="Code"/>
              </w:rPr>
              <w:t>=</w:t>
            </w:r>
            <w:r>
              <w:rPr>
                <w:rStyle w:val="Codevalue"/>
              </w:rPr>
              <w:t>"1"</w:t>
            </w:r>
            <w:r>
              <w:rPr>
                <w:rStyle w:val="Code"/>
              </w:rPr>
              <w:t>&gt;</w:t>
            </w:r>
            <w:r>
              <w:rPr>
                <w:rStyle w:val="Codetext"/>
              </w:rPr>
              <w:br/>
              <w:t xml:space="preserve">    </w:t>
            </w:r>
            <w:r>
              <w:rPr>
                <w:rStyle w:val="Code"/>
              </w:rPr>
              <w:t>&lt;lem&gt;</w:t>
            </w:r>
            <w:r>
              <w:rPr>
                <w:rStyle w:val="Codetext"/>
              </w:rPr>
              <w:t>ku</w:t>
            </w:r>
            <w:r>
              <w:rPr>
                <w:rStyle w:val="Code"/>
              </w:rPr>
              <w:t>&lt;unclear&gt;</w:t>
            </w:r>
            <w:r>
              <w:rPr>
                <w:rStyle w:val="Codetext"/>
              </w:rPr>
              <w:t>mā</w:t>
            </w:r>
            <w:r>
              <w:rPr>
                <w:rStyle w:val="Code"/>
              </w:rPr>
              <w:t>&lt;/unclear&gt;</w:t>
            </w:r>
            <w:r>
              <w:rPr>
                <w:rStyle w:val="Codetext"/>
              </w:rPr>
              <w:t>rāmātyādhikaraṇasya</w:t>
            </w:r>
            <w:r>
              <w:rPr>
                <w:rStyle w:val="Code"/>
              </w:rPr>
              <w:t>&lt;/lem&gt;</w:t>
            </w:r>
            <w:r>
              <w:rPr>
                <w:rStyle w:val="Codetext"/>
              </w:rPr>
              <w:br/>
              <w:t xml:space="preserve">    </w:t>
            </w:r>
            <w:r>
              <w:rPr>
                <w:rStyle w:val="Code"/>
              </w:rPr>
              <w:t>&lt;note&gt;</w:t>
            </w:r>
            <w:r>
              <w:rPr>
                <w:rStyle w:val="Codetext"/>
              </w:rPr>
              <w:t xml:space="preserve">Our restitution ... </w:t>
            </w:r>
            <w:r>
              <w:rPr>
                <w:rStyle w:val="Code"/>
              </w:rPr>
              <w:t>&lt;/note&gt;</w:t>
            </w:r>
            <w:r>
              <w:rPr>
                <w:rStyle w:val="Codetext"/>
              </w:rPr>
              <w:br/>
              <w:t xml:space="preserve">   </w:t>
            </w:r>
            <w:r>
              <w:rPr>
                <w:rStyle w:val="Code"/>
              </w:rPr>
              <w:t>&lt;/app&gt;</w:t>
            </w:r>
            <w:r>
              <w:rPr>
                <w:rStyle w:val="Codetext"/>
              </w:rPr>
              <w:br/>
              <w:t xml:space="preserve">  </w:t>
            </w:r>
            <w:r>
              <w:rPr>
                <w:rStyle w:val="Code"/>
              </w:rPr>
              <w:t>&lt;/listApp&gt;</w:t>
            </w:r>
            <w:r>
              <w:rPr>
                <w:rStyle w:val="Codetext"/>
              </w:rPr>
              <w:br/>
              <w:t xml:space="preserve"> </w:t>
            </w:r>
            <w:r>
              <w:rPr>
                <w:rStyle w:val="Code"/>
              </w:rPr>
              <w:t>&lt;/div&gt;</w:t>
            </w:r>
            <w:r>
              <w:rPr>
                <w:rStyle w:val="Codetext"/>
              </w:rPr>
              <w:t xml:space="preserve">        </w:t>
            </w:r>
            <w:r>
              <w:rPr>
                <w:rStyle w:val="Codetext"/>
              </w:rPr>
              <w:tab/>
              <w:t xml:space="preserve"> </w:t>
            </w:r>
            <w:r>
              <w:rPr>
                <w:rStyle w:val="Codetext"/>
              </w:rPr>
              <w:br/>
              <w:t xml:space="preserve"> </w:t>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&gt;</w:t>
            </w:r>
            <w:r>
              <w:rPr>
                <w:rStyle w:val="Codetext"/>
              </w:rPr>
              <w:br/>
              <w:t xml:space="preserve">  </w:t>
            </w:r>
            <w:r>
              <w:rPr>
                <w:rStyle w:val="Code"/>
              </w:rPr>
              <w:t xml:space="preserve">&lt;head </w:t>
            </w:r>
            <w:r>
              <w:rPr>
                <w:rStyle w:val="Codeattribute"/>
              </w:rPr>
              <w:t>xml:lang</w:t>
            </w:r>
            <w:r>
              <w:rPr>
                <w:rStyle w:val="Code"/>
              </w:rPr>
              <w:t>=</w:t>
            </w:r>
            <w:r>
              <w:rPr>
                <w:rStyle w:val="Codevalue"/>
              </w:rPr>
              <w:t>"eng"</w:t>
            </w:r>
            <w:r>
              <w:rPr>
                <w:rStyle w:val="Code"/>
              </w:rPr>
              <w:t>&gt;</w:t>
            </w:r>
            <w:r>
              <w:rPr>
                <w:rStyle w:val="Codetext"/>
              </w:rPr>
              <w:t>Plate</w:t>
            </w:r>
            <w:r>
              <w:rPr>
                <w:rStyle w:val="Code"/>
              </w:rPr>
              <w:t>&lt;/head&gt;</w:t>
            </w:r>
            <w:r>
              <w:rPr>
                <w:rStyle w:val="Codetext"/>
              </w:rPr>
              <w:br/>
              <w:t xml:space="preserve">  </w:t>
            </w:r>
            <w:r>
              <w:rPr>
                <w:rStyle w:val="Code"/>
              </w:rPr>
              <w:t>&lt;listApp&gt;</w:t>
            </w:r>
            <w:r>
              <w:rPr>
                <w:rStyle w:val="Codetext"/>
              </w:rPr>
              <w:br/>
              <w:t xml:space="preserve">   </w:t>
            </w:r>
            <w:r>
              <w:rPr>
                <w:rStyle w:val="Code"/>
              </w:rPr>
              <w:t xml:space="preserve">&lt;app </w:t>
            </w:r>
            <w:r>
              <w:rPr>
                <w:rStyle w:val="Codeattribute"/>
              </w:rPr>
              <w:t>loc</w:t>
            </w:r>
            <w:r>
              <w:rPr>
                <w:rStyle w:val="Code"/>
              </w:rPr>
              <w:t>=</w:t>
            </w:r>
            <w:r>
              <w:rPr>
                <w:rStyle w:val="Codevalue"/>
              </w:rPr>
              <w:t>"2"</w:t>
            </w:r>
            <w:r>
              <w:rPr>
                <w:rStyle w:val="Code"/>
              </w:rPr>
              <w:t>&gt;</w:t>
            </w:r>
            <w:r>
              <w:rPr>
                <w:rStyle w:val="Codetext"/>
              </w:rPr>
              <w:br/>
              <w:t xml:space="preserve">    </w:t>
            </w:r>
            <w:r>
              <w:rPr>
                <w:rStyle w:val="Code"/>
              </w:rPr>
              <w:t>&lt;lem&gt;</w:t>
            </w:r>
            <w:r>
              <w:rPr>
                <w:rStyle w:val="Codetext"/>
              </w:rPr>
              <w:t>°bhi</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ḥ</w:t>
            </w:r>
            <w:r>
              <w:rPr>
                <w:rStyle w:val="Code"/>
              </w:rPr>
              <w:t>&lt;/supplied&gt;</w:t>
            </w:r>
            <w:r>
              <w:rPr>
                <w:rStyle w:val="Codetext"/>
              </w:rPr>
              <w:t xml:space="preserve"> mekhalayā</w:t>
            </w:r>
            <w:r>
              <w:rPr>
                <w:rStyle w:val="Code"/>
              </w:rPr>
              <w:t>&lt;/lem&gt;</w:t>
            </w:r>
            <w:r>
              <w:rPr>
                <w:rStyle w:val="Codetext"/>
              </w:rPr>
              <w:br/>
              <w:t xml:space="preserve">    </w:t>
            </w:r>
            <w:r>
              <w:rPr>
                <w:rStyle w:val="Code"/>
              </w:rPr>
              <w:t>&lt;note&gt;</w:t>
            </w:r>
            <w:r>
              <w:rPr>
                <w:rStyle w:val="Codetext"/>
              </w:rPr>
              <w:t xml:space="preserve">Absence of doubling ... </w:t>
            </w:r>
            <w:r>
              <w:rPr>
                <w:rStyle w:val="Code"/>
              </w:rPr>
              <w:t>&lt;/note&gt;</w:t>
            </w:r>
            <w:r>
              <w:rPr>
                <w:rStyle w:val="Codetext"/>
              </w:rPr>
              <w:br/>
              <w:t xml:space="preserve">   </w:t>
            </w:r>
            <w:r>
              <w:rPr>
                <w:rStyle w:val="Code"/>
              </w:rPr>
              <w:t>&lt;/app&gt;</w:t>
            </w:r>
            <w:r>
              <w:rPr>
                <w:rStyle w:val="Codetext"/>
              </w:rPr>
              <w:br/>
              <w:t xml:space="preserve">   ...</w:t>
            </w:r>
            <w:r>
              <w:rPr>
                <w:rStyle w:val="Codetext"/>
              </w:rPr>
              <w:br/>
              <w:t xml:space="preserve">  </w:t>
            </w:r>
            <w:r>
              <w:rPr>
                <w:rStyle w:val="Code"/>
              </w:rPr>
              <w:t>&lt;/listApp&gt;</w:t>
            </w:r>
            <w:r>
              <w:rPr>
                <w:rStyle w:val="Codetext"/>
              </w:rPr>
              <w:br/>
              <w:t xml:space="preserve"> </w:t>
            </w:r>
            <w:r>
              <w:rPr>
                <w:rStyle w:val="Code"/>
              </w:rPr>
              <w:t>&lt;/div&gt;</w:t>
            </w:r>
            <w:r>
              <w:rPr>
                <w:rStyle w:val="Codetext"/>
              </w:rPr>
              <w:br/>
            </w:r>
            <w:r>
              <w:rPr>
                <w:rStyle w:val="Code"/>
              </w:rPr>
              <w:t>&lt;/div&gt;</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738" w:name="_Ref232172736"/>
            <w:r>
              <w:t xml:space="preserve">Exhibit </w:t>
            </w:r>
            <w:fldSimple w:instr=" STYLEREF 2 \s ">
              <w:r>
                <w:rPr>
                  <w:noProof/>
                </w:rPr>
                <w:t>10.1</w:t>
              </w:r>
            </w:fldSimple>
            <w:r>
              <w:t>.</w:t>
            </w:r>
            <w:fldSimple w:instr=" SEQ Exhibit \* ALPHABETIC \s 2 ">
              <w:r>
                <w:rPr>
                  <w:noProof/>
                </w:rPr>
                <w:t>C</w:t>
              </w:r>
            </w:fldSimple>
            <w:bookmarkEnd w:id="738"/>
            <w:r>
              <w:t>: critical apparatus with more than one textpart, one without content</w:t>
            </w:r>
          </w:p>
        </w:tc>
      </w:tr>
      <w:tr>
        <w:tc>
          <w:tcPr>
            <w:tcW w:w="5000" w:type="pct"/>
          </w:tcPr>
          <w:p>
            <w:pPr>
              <w:pStyle w:val="CodeParagraph"/>
              <w:rPr>
                <w:rStyle w:val="Code"/>
              </w:rPr>
            </w:pPr>
            <w:r>
              <w:rPr>
                <w:rStyle w:val="Code"/>
              </w:rPr>
              <w:t xml:space="preserve">&lt;div </w:t>
            </w:r>
            <w:r>
              <w:rPr>
                <w:rStyle w:val="Codeattribute"/>
              </w:rPr>
              <w:t>type</w:t>
            </w:r>
            <w:r>
              <w:rPr>
                <w:rStyle w:val="Code"/>
              </w:rPr>
              <w:t>=</w:t>
            </w:r>
            <w:r>
              <w:rPr>
                <w:rStyle w:val="Codevalue"/>
              </w:rPr>
              <w:t>"apparatus"</w:t>
            </w:r>
            <w:r>
              <w:rPr>
                <w:rStyle w:val="Code"/>
              </w:rPr>
              <w:t>&gt;</w:t>
            </w:r>
            <w:r>
              <w:rPr>
                <w:rStyle w:val="Codetext"/>
              </w:rPr>
              <w:br/>
              <w:t xml:space="preserve"> </w:t>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&gt;</w:t>
            </w:r>
          </w:p>
          <w:p>
            <w:pPr>
              <w:pStyle w:val="CodeParagraph"/>
              <w:rPr>
                <w:rStyle w:val="Codetext"/>
              </w:rPr>
            </w:pPr>
            <w:r>
              <w:rPr>
                <w:rStyle w:val="Code"/>
              </w:rPr>
              <w:t xml:space="preserve">  &lt;head </w:t>
            </w:r>
            <w:r>
              <w:rPr>
                <w:rStyle w:val="Codeattribute"/>
              </w:rPr>
              <w:t>xml:lang</w:t>
            </w:r>
            <w:r>
              <w:rPr>
                <w:rStyle w:val="Code"/>
              </w:rPr>
              <w:t>=</w:t>
            </w:r>
            <w:r>
              <w:rPr>
                <w:rStyle w:val="Codevalue"/>
              </w:rPr>
              <w:t>"eng"</w:t>
            </w:r>
            <w:r>
              <w:rPr>
                <w:rStyle w:val="Code"/>
              </w:rPr>
              <w:t>&gt;</w:t>
            </w:r>
            <w:r>
              <w:rPr>
                <w:rStyle w:val="Codetext"/>
              </w:rPr>
              <w:t>Seal</w:t>
            </w:r>
            <w:r>
              <w:rPr>
                <w:rStyle w:val="Code"/>
              </w:rPr>
              <w:t>&lt;/head&gt;</w:t>
            </w:r>
            <w:r>
              <w:rPr>
                <w:rStyle w:val="Codecomment"/>
              </w:rPr>
              <w:t>&lt;!--Empty textpart.--&gt;</w:t>
            </w:r>
            <w:r>
              <w:rPr>
                <w:rStyle w:val="Codetext"/>
              </w:rPr>
              <w:br/>
              <w:t xml:space="preserve"> </w:t>
            </w:r>
            <w:r>
              <w:rPr>
                <w:rStyle w:val="Code"/>
              </w:rPr>
              <w:t>&lt;/div&gt;</w:t>
            </w:r>
            <w:r>
              <w:rPr>
                <w:rStyle w:val="Codetext"/>
              </w:rPr>
              <w:br/>
              <w:t xml:space="preserve"> </w:t>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Plates</w:t>
            </w:r>
            <w:r>
              <w:rPr>
                <w:rStyle w:val="Code"/>
              </w:rPr>
              <w:t>&lt;/head&gt;</w:t>
            </w:r>
            <w:r>
              <w:rPr>
                <w:rStyle w:val="Codetext"/>
              </w:rPr>
              <w:br/>
              <w:t xml:space="preserve">  </w:t>
            </w:r>
            <w:r>
              <w:rPr>
                <w:rStyle w:val="Code"/>
              </w:rPr>
              <w:t>&lt;listApp&gt;</w:t>
            </w:r>
            <w:r>
              <w:rPr>
                <w:rStyle w:val="Codetext"/>
              </w:rPr>
              <w:br/>
              <w:t xml:space="preserve">   </w:t>
            </w:r>
            <w:r>
              <w:rPr>
                <w:rStyle w:val="Code"/>
              </w:rPr>
              <w:t xml:space="preserve">&lt;app </w:t>
            </w:r>
            <w:r>
              <w:rPr>
                <w:rStyle w:val="Codeattribute"/>
              </w:rPr>
              <w:t>loc</w:t>
            </w:r>
            <w:r>
              <w:rPr>
                <w:rStyle w:val="Code"/>
              </w:rPr>
              <w:t>=</w:t>
            </w:r>
            <w:r>
              <w:rPr>
                <w:rStyle w:val="Codevalue"/>
              </w:rPr>
              <w:t>"6"</w:t>
            </w:r>
            <w:r>
              <w:rPr>
                <w:rStyle w:val="Code"/>
              </w:rPr>
              <w:t>&gt;</w:t>
            </w:r>
            <w:r>
              <w:rPr>
                <w:rStyle w:val="Codetext"/>
              </w:rPr>
              <w:br/>
              <w:t xml:space="preserve">    </w:t>
            </w:r>
            <w:r>
              <w:rPr>
                <w:rStyle w:val="Code"/>
              </w:rPr>
              <w:t>&lt;lem&gt;</w:t>
            </w:r>
            <w:r>
              <w:rPr>
                <w:rStyle w:val="Codetext"/>
              </w:rPr>
              <w:t>-pu</w:t>
            </w:r>
            <w:r>
              <w:rPr>
                <w:rStyle w:val="Code"/>
              </w:rPr>
              <w:t xml:space="preserve">&lt;unclear </w:t>
            </w:r>
            <w:r>
              <w:rPr>
                <w:rStyle w:val="Codeattribute"/>
              </w:rPr>
              <w:t>reason</w:t>
            </w:r>
            <w:r>
              <w:rPr>
                <w:rStyle w:val="Code"/>
              </w:rPr>
              <w:t>=</w:t>
            </w:r>
            <w:r>
              <w:rPr>
                <w:rStyle w:val="Codevalue"/>
              </w:rPr>
              <w:t>"eccentric_ductus"</w:t>
            </w:r>
            <w:r>
              <w:rPr>
                <w:rStyle w:val="Code"/>
              </w:rPr>
              <w:t>&gt;</w:t>
            </w:r>
            <w:r>
              <w:rPr>
                <w:rStyle w:val="Codetext"/>
              </w:rPr>
              <w:t>ñja</w:t>
            </w:r>
            <w:r>
              <w:rPr>
                <w:rStyle w:val="Code"/>
              </w:rPr>
              <w:t>&lt;/unclear&gt;&lt;/lem&gt;</w:t>
            </w:r>
            <w:r>
              <w:rPr>
                <w:rStyle w:val="Codetext"/>
              </w:rPr>
              <w:br/>
              <w:t xml:space="preserve">    </w:t>
            </w:r>
            <w:r>
              <w:rPr>
                <w:rStyle w:val="Code"/>
              </w:rPr>
              <w:t>&lt;note&gt;</w:t>
            </w:r>
            <w:r>
              <w:rPr>
                <w:rStyle w:val="Codetext"/>
              </w:rPr>
              <w:t xml:space="preserve">While </w:t>
            </w:r>
            <w:r>
              <w:rPr>
                <w:rStyle w:val="Code"/>
              </w:rPr>
              <w:t>&lt;foreign&gt;</w:t>
            </w:r>
            <w:r>
              <w:rPr>
                <w:rStyle w:val="Codetext"/>
              </w:rPr>
              <w:t>puñja</w:t>
            </w:r>
            <w:r>
              <w:rPr>
                <w:rStyle w:val="Code"/>
              </w:rPr>
              <w:t>&lt;/foreign&gt;</w:t>
            </w:r>
            <w:r>
              <w:rPr>
                <w:rStyle w:val="Codetext"/>
              </w:rPr>
              <w:t xml:space="preserve"> must have been intended ... </w:t>
            </w:r>
            <w:r>
              <w:rPr>
                <w:rStyle w:val="Code"/>
              </w:rPr>
              <w:t>&lt;/note&gt;</w:t>
            </w:r>
            <w:r>
              <w:rPr>
                <w:rStyle w:val="Codetext"/>
              </w:rPr>
              <w:br/>
              <w:t xml:space="preserve">   </w:t>
            </w:r>
            <w:r>
              <w:rPr>
                <w:rStyle w:val="Code"/>
              </w:rPr>
              <w:t>&lt;/app&gt;</w:t>
            </w:r>
            <w:r>
              <w:rPr>
                <w:rStyle w:val="Codetext"/>
              </w:rPr>
              <w:br/>
              <w:t xml:space="preserve">   ...</w:t>
            </w:r>
            <w:r>
              <w:rPr>
                <w:rStyle w:val="Codetext"/>
              </w:rPr>
              <w:br/>
              <w:t xml:space="preserve">  </w:t>
            </w:r>
            <w:r>
              <w:rPr>
                <w:rStyle w:val="Code"/>
              </w:rPr>
              <w:t>&lt;/listApp&gt;</w:t>
            </w:r>
            <w:r>
              <w:rPr>
                <w:rStyle w:val="Codetext"/>
              </w:rPr>
              <w:br/>
              <w:t xml:space="preserve"> </w:t>
            </w:r>
            <w:r>
              <w:rPr>
                <w:rStyle w:val="Code"/>
              </w:rPr>
              <w:t>&lt;/div&gt;</w:t>
            </w:r>
          </w:p>
          <w:p>
            <w:pPr>
              <w:pStyle w:val="CodeParagraph"/>
            </w:pPr>
            <w:r>
              <w:rPr>
                <w:rStyle w:val="Code"/>
              </w:rPr>
              <w:t>&lt;/div&gt;</w:t>
            </w:r>
          </w:p>
        </w:tc>
      </w:tr>
    </w:tbl>
    <w:p>
      <w:pPr>
        <w:pStyle w:val="Cmsor2"/>
      </w:pPr>
      <w:r>
        <w:t>Indicating location</w:t>
      </w:r>
      <w:bookmarkEnd w:id="735"/>
      <w:r>
        <w:t xml:space="preserve"> in apparatus entries</w:t>
      </w:r>
    </w:p>
    <w:p>
      <w:r>
        <w:t xml:space="preserve">The value of the attribute </w:t>
      </w:r>
      <w:r>
        <w:rPr>
          <w:rStyle w:val="Codeattribute"/>
        </w:rPr>
        <w:t>@loc</w:t>
      </w:r>
      <w:r>
        <w:t xml:space="preserve"> must unambiguously specify the line to which the apparatus entry pertains. The primary purpose of this value is to be intelligible to a human reader, but some degree of machine-actionability may be desired in the future, therefore we adopt rigorous rules.</w:t>
      </w:r>
    </w:p>
    <w:p>
      <w:pPr>
        <w:pStyle w:val="Lista"/>
      </w:pPr>
      <w:r>
        <w:t xml:space="preserve">locations shall normally be identified as epigraphic lines, using line numbers as reference, because they are </w:t>
      </w:r>
      <w:r>
        <w:rPr>
          <w:noProof/>
        </w:rPr>
        <w:t>(</w:t>
      </w:r>
      <w:r>
        <w:t>almost) ubiquitous in our editions and unique within each edition</w:t>
      </w:r>
    </w:p>
    <w:p>
      <w:pPr>
        <w:pStyle w:val="Lista2"/>
      </w:pPr>
      <w:r>
        <w:t xml:space="preserve">therefore, the value of </w:t>
      </w:r>
      <w:r>
        <w:rPr>
          <w:rStyle w:val="Codeattribute"/>
        </w:rPr>
        <w:t>@loc</w:t>
      </w:r>
      <w:r>
        <w:t xml:space="preserve"> shall normally be the line number, i.e. the value of the </w:t>
      </w:r>
      <w:r>
        <w:rPr>
          <w:rStyle w:val="Codeattribute"/>
        </w:rPr>
        <w:t>@n</w:t>
      </w:r>
      <w:r>
        <w:t xml:space="preserve"> attribute of the </w:t>
      </w:r>
      <w:r>
        <w:rPr>
          <w:rStyle w:val="Code"/>
        </w:rPr>
        <w:t>&lt;lb/&gt;</w:t>
      </w:r>
      <w:r>
        <w:t xml:space="preserve"> element representing the beginning of the target line</w:t>
      </w:r>
    </w:p>
    <w:p>
      <w:pPr>
        <w:pStyle w:val="Lista3"/>
      </w:pPr>
      <w:r>
        <w:t xml:space="preserve">if the entry refers to a segment of text that extends across a line break, then </w:t>
      </w:r>
      <w:r>
        <w:rPr>
          <w:rStyle w:val="Codeattribute"/>
        </w:rPr>
        <w:t>@loc</w:t>
      </w:r>
      <w:r>
        <w:t xml:space="preserve"> shall be the number of the line in which the segment begins</w:t>
      </w:r>
    </w:p>
    <w:p>
      <w:pPr>
        <w:pStyle w:val="Lista4"/>
      </w:pPr>
      <w:r>
        <w:t>see also §</w:t>
      </w:r>
      <w:r>
        <w:fldChar w:fldCharType="begin"/>
      </w:r>
      <w:r>
        <w:instrText xml:space="preserve"> REF _Ref43989517 \w \h  \* MERGEFORMAT </w:instrText>
      </w:r>
      <w:r>
        <w:fldChar w:fldCharType="separate"/>
      </w:r>
      <w:r>
        <w:t>10.6</w:t>
      </w:r>
      <w:r>
        <w:fldChar w:fldCharType="end"/>
      </w:r>
      <w:r>
        <w:t xml:space="preserve"> below about the inclusion of line </w:t>
      </w:r>
      <w:r>
        <w:rPr>
          <w:noProof/>
        </w:rPr>
        <w:t>(</w:t>
      </w:r>
      <w:r>
        <w:t>and other) beginning tags in a lemma</w:t>
      </w:r>
    </w:p>
    <w:p>
      <w:pPr>
        <w:pStyle w:val="Lista"/>
      </w:pPr>
      <w:r>
        <w:t xml:space="preserve">the sole exception to the ubiquitous presence of line numbers in our editions is forme work </w:t>
      </w:r>
      <w:r>
        <w:rPr>
          <w:noProof/>
        </w:rPr>
        <w:t>(</w:t>
      </w:r>
      <w:r>
        <w:t>§</w:t>
      </w:r>
      <w:r>
        <w:fldChar w:fldCharType="begin"/>
      </w:r>
      <w:r>
        <w:instrText xml:space="preserve"> REF _Ref43984607 \w \h  \* MERGEFORMAT </w:instrText>
      </w:r>
      <w:r>
        <w:fldChar w:fldCharType="separate"/>
      </w:r>
      <w:r>
        <w:t>4.7.2</w:t>
      </w:r>
      <w:r>
        <w:fldChar w:fldCharType="end"/>
      </w:r>
      <w:r>
        <w:t>)</w:t>
      </w:r>
    </w:p>
    <w:p>
      <w:pPr>
        <w:pStyle w:val="Lista2"/>
      </w:pPr>
      <w:r>
        <w:t>it is therefore not possible to refer to the contents of forme work using line numbers</w:t>
      </w:r>
    </w:p>
    <w:p>
      <w:pPr>
        <w:pStyle w:val="Lista2"/>
      </w:pPr>
      <w:r>
        <w:lastRenderedPageBreak/>
        <w:t xml:space="preserve">should you need to add an apparatus entry for a forme work item, the value of </w:t>
      </w:r>
      <w:r>
        <w:rPr>
          <w:rStyle w:val="Codeattribute"/>
        </w:rPr>
        <w:t>@loc</w:t>
      </w:r>
      <w:r>
        <w:t xml:space="preserve"> shall be the number of the forme work item prefixed with the letters “</w:t>
      </w:r>
      <w:proofErr w:type="spellStart"/>
      <w:r>
        <w:t>fw</w:t>
      </w:r>
      <w:proofErr w:type="spellEnd"/>
      <w:r>
        <w:t xml:space="preserve">”, e.g. </w:t>
      </w:r>
      <w:r>
        <w:rPr>
          <w:rStyle w:val="Code"/>
        </w:rPr>
        <w:t xml:space="preserve">&lt;app </w:t>
      </w:r>
      <w:r>
        <w:rPr>
          <w:rStyle w:val="Codeattribute"/>
        </w:rPr>
        <w:t>loc</w:t>
      </w:r>
      <w:r>
        <w:rPr>
          <w:rStyle w:val="Code"/>
        </w:rPr>
        <w:t>=</w:t>
      </w:r>
      <w:r>
        <w:rPr>
          <w:rStyle w:val="Codevalue"/>
        </w:rPr>
        <w:t>"fw2r"</w:t>
      </w:r>
      <w:r>
        <w:rPr>
          <w:rStyle w:val="Code"/>
        </w:rPr>
        <w:t>&gt;</w:t>
      </w:r>
      <w:r>
        <w:t xml:space="preserve"> to refer to the forme work element with the number 2r</w:t>
      </w:r>
    </w:p>
    <w:p>
      <w:pPr>
        <w:pStyle w:val="Lista"/>
      </w:pPr>
      <w:r>
        <w:t xml:space="preserve">the sole exceptions to the uniqueness of line numbers are editions comprised of textpart divisions </w:t>
      </w:r>
      <w:r>
        <w:rPr>
          <w:noProof/>
        </w:rPr>
        <w:t>(</w:t>
      </w:r>
      <w:r>
        <w:t>§</w:t>
      </w:r>
      <w:r>
        <w:fldChar w:fldCharType="begin"/>
      </w:r>
      <w:r>
        <w:instrText xml:space="preserve"> REF _Ref225778181 \r \h </w:instrText>
      </w:r>
      <w:r>
        <w:fldChar w:fldCharType="separate"/>
      </w:r>
      <w:r>
        <w:t>4.2</w:t>
      </w:r>
      <w:r>
        <w:fldChar w:fldCharType="end"/>
      </w:r>
      <w:r>
        <w:t>), where line numbers are restarted in each division</w:t>
      </w:r>
    </w:p>
    <w:p>
      <w:pPr>
        <w:pStyle w:val="Lista2"/>
      </w:pPr>
      <w:r>
        <w:t xml:space="preserve">however, since the apparatus division of the document must replicate the textpart divisions of the edition division, </w:t>
      </w:r>
      <w:r>
        <w:rPr>
          <w:rStyle w:val="Codeattribute"/>
        </w:rPr>
        <w:t>@loc</w:t>
      </w:r>
      <w:r>
        <w:t xml:space="preserve"> references in the apparatus still only need to include the </w:t>
      </w:r>
      <w:r>
        <w:rPr>
          <w:rStyle w:val="Codeattribute"/>
        </w:rPr>
        <w:t>@n</w:t>
      </w:r>
      <w:r>
        <w:t xml:space="preserve"> of the target line and will remain unambiguous</w:t>
      </w:r>
    </w:p>
    <w:p>
      <w:pPr>
        <w:pStyle w:val="Lista"/>
      </w:pPr>
      <w:r>
        <w:t>although some of us may be used to referring to stanza numbers in apparatus entries, we have chosen not to allow this in order to reduce the complexity of referencing</w:t>
      </w:r>
    </w:p>
    <w:p>
      <w:pPr>
        <w:pStyle w:val="Lista2"/>
      </w:pPr>
      <w:r>
        <w:t>apparatus entries for lemmas in verse shall be referred to by line number like those in prose</w:t>
      </w:r>
    </w:p>
    <w:p>
      <w:pPr>
        <w:pStyle w:val="Lista2"/>
      </w:pPr>
      <w:r>
        <w:t>notes concerning entire stanzas shall be added to the commentary (§</w:t>
      </w:r>
      <w:r>
        <w:fldChar w:fldCharType="begin"/>
      </w:r>
      <w:r>
        <w:instrText xml:space="preserve"> REF _Ref181352286 \r \h </w:instrText>
      </w:r>
      <w:r>
        <w:fldChar w:fldCharType="separate"/>
      </w:r>
      <w:r>
        <w:t>12</w:t>
      </w:r>
      <w:r>
        <w:fldChar w:fldCharType="end"/>
      </w:r>
      <w:r>
        <w:t>), not to the apparatus</w:t>
      </w:r>
    </w:p>
    <w:p>
      <w:pPr>
        <w:pStyle w:val="Cmsor2"/>
      </w:pPr>
      <w:bookmarkStart w:id="739" w:name="_h4ndd3ziflyd" w:colFirst="0" w:colLast="0"/>
      <w:bookmarkStart w:id="740" w:name="_Ref61250887"/>
      <w:bookmarkEnd w:id="739"/>
      <w:r>
        <w:t>Lemmas</w:t>
      </w:r>
      <w:bookmarkEnd w:id="740"/>
    </w:p>
    <w:p>
      <w:r>
        <w:t xml:space="preserve">The exact locus </w:t>
      </w:r>
      <w:r>
        <w:rPr>
          <w:noProof/>
        </w:rPr>
        <w:t>(</w:t>
      </w:r>
      <w:r>
        <w:t xml:space="preserve">i.e. segment of text) to which an apparatus entry pertains is specified by a lemma, tagged with the XML element </w:t>
      </w:r>
      <w:r>
        <w:rPr>
          <w:rStyle w:val="Code"/>
        </w:rPr>
        <w:t>&lt;lem&gt;</w:t>
      </w:r>
      <w:r>
        <w:t xml:space="preserve">. </w:t>
      </w:r>
    </w:p>
    <w:p>
      <w:pPr>
        <w:pStyle w:val="Cmsor3"/>
      </w:pPr>
      <w:bookmarkStart w:id="741" w:name="_Ref232168409"/>
      <w:bookmarkStart w:id="742" w:name="_Toc242976684"/>
      <w:r>
        <w:t>The extent of lemma</w:t>
      </w:r>
      <w:bookmarkEnd w:id="741"/>
      <w:r>
        <w:t>s</w:t>
      </w:r>
      <w:bookmarkEnd w:id="742"/>
    </w:p>
    <w:p>
      <w:r>
        <w:t xml:space="preserve">There are no strict rules for the extent of your lemmas. As with any critical apparatus, lemmas should be large enough to make them unambiguous within the line referred to in the </w:t>
      </w:r>
      <w:r>
        <w:rPr>
          <w:rStyle w:val="Codeattribute"/>
        </w:rPr>
        <w:t>@loc</w:t>
      </w:r>
      <w:r>
        <w:t xml:space="preserve"> attribute and small enough to remain concise.</w:t>
      </w:r>
    </w:p>
    <w:p>
      <w:pPr>
        <w:pStyle w:val="Lista"/>
      </w:pPr>
      <w:r>
        <w:t>lemmas should preferably consist of whole words separated in the edition by an editorial space</w:t>
      </w:r>
    </w:p>
    <w:p>
      <w:pPr>
        <w:pStyle w:val="Lista2"/>
      </w:pPr>
      <w:r>
        <w:t>deviate from this only when such a lemma is not practicable, for instance because of long compounds, long words merged in vowel sandhi, or because the lemma needs to target a specific fixed morpheme or specific characters</w:t>
      </w:r>
    </w:p>
    <w:p>
      <w:pPr>
        <w:pStyle w:val="Lista2"/>
      </w:pPr>
      <w:r>
        <w:t>in the latter case, the fact that the lemma is not a whole word shall be indicated with editorial hyphenation (TG §7.3.5) or truncation (TG §7.4) as follows</w:t>
      </w:r>
    </w:p>
    <w:p>
      <w:pPr>
        <w:pStyle w:val="Lista"/>
      </w:pPr>
      <w:r>
        <w:t>if your lemma is only a part of a non-compound word</w:t>
      </w:r>
    </w:p>
    <w:p>
      <w:pPr>
        <w:pStyle w:val="Lista2"/>
      </w:pPr>
      <w:r>
        <w:t xml:space="preserve">use the character ° </w:t>
      </w:r>
      <w:r>
        <w:rPr>
          <w:noProof/>
        </w:rPr>
        <w:t>to indicate truncation</w:t>
      </w:r>
    </w:p>
    <w:p>
      <w:pPr>
        <w:pStyle w:val="Lista2"/>
      </w:pPr>
      <w:r>
        <w:t xml:space="preserve">e.g. text </w:t>
      </w:r>
      <w:r>
        <w:rPr>
          <w:rStyle w:val="Foreign"/>
        </w:rPr>
        <w:t>jāyate</w:t>
      </w:r>
      <w:r>
        <w:t xml:space="preserve">; lemma </w:t>
      </w:r>
      <w:r>
        <w:rPr>
          <w:rStyle w:val="Foreign"/>
        </w:rPr>
        <w:t>°yate</w:t>
      </w:r>
      <w:r>
        <w:t xml:space="preserve"> </w:t>
      </w:r>
    </w:p>
    <w:p>
      <w:pPr>
        <w:pStyle w:val="Lista"/>
      </w:pPr>
      <w:r>
        <w:t>when a boundary between independent words or compound members is obscured by sandhi</w:t>
      </w:r>
    </w:p>
    <w:p>
      <w:pPr>
        <w:pStyle w:val="Lista2"/>
      </w:pPr>
      <w:r>
        <w:t>use the character ° to indicate truncation and cite the lemma as in the text (without resolving sandhi)</w:t>
      </w:r>
    </w:p>
    <w:p>
      <w:pPr>
        <w:pStyle w:val="Lista2"/>
      </w:pPr>
      <w:r>
        <w:t xml:space="preserve">e.g. text </w:t>
      </w:r>
      <w:r>
        <w:rPr>
          <w:rStyle w:val="Foreign"/>
        </w:rPr>
        <w:t>yathāsmābhiḥ</w:t>
      </w:r>
      <w:r>
        <w:t xml:space="preserve">; lemmas </w:t>
      </w:r>
      <w:r>
        <w:rPr>
          <w:rStyle w:val="Foreign"/>
        </w:rPr>
        <w:t>yathā°</w:t>
      </w:r>
      <w:r>
        <w:t xml:space="preserve"> or </w:t>
      </w:r>
      <w:r>
        <w:rPr>
          <w:rStyle w:val="Foreign"/>
        </w:rPr>
        <w:t>°āsmābhiḥ</w:t>
      </w:r>
      <w:r>
        <w:t xml:space="preserve"> (not </w:t>
      </w:r>
      <w:r>
        <w:rPr>
          <w:rStyle w:val="Foreign"/>
        </w:rPr>
        <w:t>°asmābhiḥ</w:t>
      </w:r>
      <w:r>
        <w:t>)</w:t>
      </w:r>
    </w:p>
    <w:p>
      <w:pPr>
        <w:pStyle w:val="Lista"/>
      </w:pPr>
      <w:r>
        <w:t>when a boundary between compound members is not obscured by sandhi</w:t>
      </w:r>
    </w:p>
    <w:p>
      <w:pPr>
        <w:pStyle w:val="Lista2"/>
      </w:pPr>
      <w:r>
        <w:t>if the compound is not hyphenated in your edition, use the character ° to indicate truncation</w:t>
      </w:r>
    </w:p>
    <w:p>
      <w:pPr>
        <w:pStyle w:val="Lista3"/>
      </w:pPr>
      <w:r>
        <w:t xml:space="preserve">e.g. text </w:t>
      </w:r>
      <w:r>
        <w:rPr>
          <w:rStyle w:val="Foreign"/>
        </w:rPr>
        <w:t>śrīpolekeśivallabhasya</w:t>
      </w:r>
      <w:r>
        <w:t xml:space="preserve">; lemmas </w:t>
      </w:r>
      <w:r>
        <w:rPr>
          <w:rStyle w:val="Foreign"/>
        </w:rPr>
        <w:t>śrī°</w:t>
      </w:r>
      <w:r>
        <w:t xml:space="preserve"> or </w:t>
      </w:r>
      <w:r>
        <w:rPr>
          <w:rStyle w:val="Foreign"/>
        </w:rPr>
        <w:t xml:space="preserve">°polekeśi° </w:t>
      </w:r>
      <w:r>
        <w:t xml:space="preserve"> or </w:t>
      </w:r>
      <w:r>
        <w:rPr>
          <w:rStyle w:val="Foreign"/>
        </w:rPr>
        <w:t>°vallabhasya</w:t>
      </w:r>
    </w:p>
    <w:p>
      <w:pPr>
        <w:pStyle w:val="Lista2"/>
      </w:pPr>
      <w:r>
        <w:t>if the compound is hyphenated in your edition, include the hyphen in your lemma to indicate that it is in compound</w:t>
      </w:r>
    </w:p>
    <w:p>
      <w:pPr>
        <w:pStyle w:val="Lista3"/>
      </w:pPr>
      <w:r>
        <w:t xml:space="preserve">e.g. text </w:t>
      </w:r>
      <w:r>
        <w:rPr>
          <w:rStyle w:val="Foreign"/>
        </w:rPr>
        <w:t>śrī-polekeśi-vallabhasya</w:t>
      </w:r>
      <w:r>
        <w:t xml:space="preserve">; lemmas </w:t>
      </w:r>
      <w:r>
        <w:rPr>
          <w:rStyle w:val="Foreign"/>
        </w:rPr>
        <w:t>śrī-</w:t>
      </w:r>
      <w:r>
        <w:t xml:space="preserve"> or </w:t>
      </w:r>
      <w:r>
        <w:rPr>
          <w:rStyle w:val="Foreign"/>
        </w:rPr>
        <w:t>-polekeśi-</w:t>
      </w:r>
      <w:r>
        <w:t xml:space="preserve"> or </w:t>
      </w:r>
      <w:r>
        <w:rPr>
          <w:rStyle w:val="Foreign"/>
        </w:rPr>
        <w:t>-vallabhasya</w:t>
      </w:r>
    </w:p>
    <w:p>
      <w:pPr>
        <w:pStyle w:val="Lista3"/>
      </w:pPr>
      <w:r>
        <w:t>bear in mind that when a compound boundary coincides with a line break, the editorial hyphen must be placed in the edition at the beginning of the next line (§</w:t>
      </w:r>
      <w:r>
        <w:fldChar w:fldCharType="begin"/>
      </w:r>
      <w:r>
        <w:instrText xml:space="preserve"> REF _Ref232156818 \r \h </w:instrText>
      </w:r>
      <w:r>
        <w:fldChar w:fldCharType="separate"/>
      </w:r>
      <w:r>
        <w:t>7.8.2</w:t>
      </w:r>
      <w:r>
        <w:fldChar w:fldCharType="end"/>
      </w:r>
      <w:r>
        <w:t>)</w:t>
      </w:r>
    </w:p>
    <w:p>
      <w:pPr>
        <w:pStyle w:val="Lista3"/>
      </w:pPr>
      <w:r>
        <w:t>such a hyphen must still be included in your lemma, but this does not necessitate incorporating the encoded line break in the lemma (as you would for lemmas stretching across line breaks, §</w:t>
      </w:r>
      <w:r>
        <w:fldChar w:fldCharType="begin"/>
      </w:r>
      <w:r>
        <w:instrText xml:space="preserve"> REF _Ref43989517 \r \h </w:instrText>
      </w:r>
      <w:r>
        <w:fldChar w:fldCharType="separate"/>
      </w:r>
      <w:r>
        <w:t>10.6</w:t>
      </w:r>
      <w:r>
        <w:fldChar w:fldCharType="end"/>
      </w:r>
      <w:r>
        <w:t>)</w:t>
      </w:r>
    </w:p>
    <w:p>
      <w:pPr>
        <w:pStyle w:val="Lista"/>
      </w:pPr>
      <w:r>
        <w:t>avoid very long lemmas, if possible, by breaking them up into several smaller ones</w:t>
      </w:r>
    </w:p>
    <w:p>
      <w:pPr>
        <w:pStyle w:val="Lista"/>
      </w:pPr>
      <w:r>
        <w:t xml:space="preserve">long lemmas that cannot be split up in this way may be abbreviated  by replacing a section of them with </w:t>
      </w:r>
      <w:r>
        <w:rPr>
          <w:rStyle w:val="Code"/>
        </w:rPr>
        <w:t xml:space="preserve">&lt;gap </w:t>
      </w:r>
      <w:r>
        <w:rPr>
          <w:rStyle w:val="Codeattribute"/>
        </w:rPr>
        <w:t>reason</w:t>
      </w:r>
      <w:r>
        <w:rPr>
          <w:rStyle w:val="Code"/>
        </w:rPr>
        <w:t>=</w:t>
      </w:r>
      <w:r>
        <w:rPr>
          <w:rStyle w:val="Codevalue"/>
        </w:rPr>
        <w:t>"ellipsis"</w:t>
      </w:r>
      <w:r>
        <w:rPr>
          <w:rStyle w:val="Code"/>
        </w:rPr>
        <w:t>/&gt;</w:t>
      </w:r>
    </w:p>
    <w:p>
      <w:pPr>
        <w:pStyle w:val="Cmsor3"/>
      </w:pPr>
      <w:bookmarkStart w:id="743" w:name="_Toc242976685"/>
      <w:r>
        <w:t>The content of lemmas</w:t>
      </w:r>
      <w:bookmarkEnd w:id="743"/>
    </w:p>
    <w:p>
      <w:pPr>
        <w:pStyle w:val="Lista"/>
      </w:pPr>
      <w:r>
        <w:t>the text within your lemma should replicate the text in your edition accurately, including editorial markup</w:t>
      </w:r>
    </w:p>
    <w:p>
      <w:pPr>
        <w:pStyle w:val="Lista2"/>
      </w:pPr>
      <w:r>
        <w:lastRenderedPageBreak/>
        <w:t>see §</w:t>
      </w:r>
      <w:r>
        <w:fldChar w:fldCharType="begin"/>
      </w:r>
      <w:r>
        <w:instrText xml:space="preserve"> REF _Ref43989517 \w \h  \* MERGEFORMAT </w:instrText>
      </w:r>
      <w:r>
        <w:fldChar w:fldCharType="separate"/>
      </w:r>
      <w:r>
        <w:t>10.6</w:t>
      </w:r>
      <w:r>
        <w:fldChar w:fldCharType="end"/>
      </w:r>
      <w:r>
        <w:t xml:space="preserve"> for some concerns pertaining to the use of markup in lemmas</w:t>
      </w:r>
    </w:p>
    <w:p>
      <w:pPr>
        <w:pStyle w:val="Lista2"/>
      </w:pPr>
      <w:r>
        <w:t>do not add any markup to the lemma that is not present in the edition</w:t>
      </w:r>
    </w:p>
    <w:p>
      <w:pPr>
        <w:pStyle w:val="Lista"/>
      </w:pPr>
      <w:r>
        <w:t>when you revise the text of your digital edition, take care to check whether any of the revised text has been cited in the apparatus and revise lemmas accordingly</w:t>
      </w:r>
    </w:p>
    <w:p>
      <w:pPr>
        <w:pStyle w:val="Cmsor3"/>
      </w:pPr>
      <w:bookmarkStart w:id="744" w:name="_Ref232167741"/>
      <w:bookmarkStart w:id="745" w:name="_Ref233625530"/>
      <w:bookmarkStart w:id="746" w:name="_Toc242976686"/>
      <w:r>
        <w:t>The source of lemma</w:t>
      </w:r>
      <w:bookmarkEnd w:id="744"/>
      <w:r>
        <w:t>s</w:t>
      </w:r>
      <w:bookmarkEnd w:id="745"/>
      <w:bookmarkEnd w:id="746"/>
    </w:p>
    <w:p>
      <w:pPr>
        <w:pStyle w:val="Lista"/>
      </w:pPr>
      <w:r>
        <w:rPr>
          <w:rStyle w:val="Code"/>
        </w:rPr>
        <w:t>&lt;lem&gt;</w:t>
      </w:r>
      <w:r>
        <w:t xml:space="preserve"> may take the attribute </w:t>
      </w:r>
      <w:r>
        <w:rPr>
          <w:rStyle w:val="Codeattribute"/>
        </w:rPr>
        <w:t>@source</w:t>
      </w:r>
      <w:r>
        <w:t xml:space="preserve"> to show that a previous edition has a reading identical to that adopted in your edition</w:t>
      </w:r>
    </w:p>
    <w:p>
      <w:pPr>
        <w:pStyle w:val="Lista2"/>
      </w:pPr>
      <w:r>
        <w:t>the value of this attribute must be a bibliographic identifier as set out in §</w:t>
      </w:r>
      <w:r>
        <w:fldChar w:fldCharType="begin"/>
      </w:r>
      <w:r>
        <w:instrText xml:space="preserve"> REF _Ref43989551 \w \h  \* MERGEFORMAT </w:instrText>
      </w:r>
      <w:r>
        <w:fldChar w:fldCharType="separate"/>
      </w:r>
      <w:r>
        <w:t>14.6.2</w:t>
      </w:r>
      <w:r>
        <w:fldChar w:fldCharType="end"/>
      </w:r>
    </w:p>
    <w:p>
      <w:pPr>
        <w:pStyle w:val="Lista3"/>
      </w:pPr>
      <w:r>
        <w:t xml:space="preserve">whenever you use </w:t>
      </w:r>
      <w:r>
        <w:rPr>
          <w:rStyle w:val="Codeattribute"/>
        </w:rPr>
        <w:t>@source</w:t>
      </w:r>
      <w:r>
        <w:t xml:space="preserve"> on a lemma, the bibliographic citation of that publication in your bibliography division must include an encoded siglum for use in the apparatus, as per §</w:t>
      </w:r>
      <w:r>
        <w:fldChar w:fldCharType="begin"/>
      </w:r>
      <w:r>
        <w:instrText xml:space="preserve"> REF _Ref43989610 \w \h  \* MERGEFORMAT </w:instrText>
      </w:r>
      <w:r>
        <w:fldChar w:fldCharType="separate"/>
      </w:r>
      <w:r>
        <w:t>13.3.2</w:t>
      </w:r>
      <w:r>
        <w:fldChar w:fldCharType="end"/>
      </w:r>
    </w:p>
    <w:p>
      <w:pPr>
        <w:pStyle w:val="Lista2"/>
      </w:pPr>
      <w:r>
        <w:t>see §</w:t>
      </w:r>
      <w:r>
        <w:fldChar w:fldCharType="begin"/>
      </w:r>
      <w:r>
        <w:instrText xml:space="preserve"> REF _Ref43989583 \w \h  \* MERGEFORMAT </w:instrText>
      </w:r>
      <w:r>
        <w:fldChar w:fldCharType="separate"/>
      </w:r>
      <w:r>
        <w:t>10.5</w:t>
      </w:r>
      <w:r>
        <w:fldChar w:fldCharType="end"/>
      </w:r>
      <w:r>
        <w:t xml:space="preserve"> below for guidance on the degree of similarity that counts identical</w:t>
      </w:r>
    </w:p>
    <w:p>
      <w:pPr>
        <w:pStyle w:val="Lista"/>
      </w:pPr>
      <w:r>
        <w:t>if an apparatus entry contains alternative readings, then any previous editors who agree with the lemma (i.e. with your preferred reading) must be credited in this way</w:t>
      </w:r>
    </w:p>
    <w:p>
      <w:pPr>
        <w:pStyle w:val="Lista"/>
      </w:pPr>
      <w:r>
        <w:t xml:space="preserve">if an apparatus entry contains only a note, but no alternative readings, then </w:t>
      </w:r>
      <w:r>
        <w:rPr>
          <w:rStyle w:val="Codeattribute"/>
        </w:rPr>
        <w:t>@source</w:t>
      </w:r>
      <w:r>
        <w:t xml:space="preserve"> need not be indicated on the lemma (since in this case you and any previous editors agree on the reading)</w:t>
      </w:r>
    </w:p>
    <w:p>
      <w:pPr>
        <w:pStyle w:val="Lista2"/>
      </w:pPr>
      <w:r>
        <w:t xml:space="preserve">nonetheless, you may choose to add </w:t>
      </w:r>
      <w:r>
        <w:rPr>
          <w:rStyle w:val="Codeattribute"/>
        </w:rPr>
        <w:t>@source</w:t>
      </w:r>
      <w:r>
        <w:t xml:space="preserve"> in order to credit a particular previous editor for a difficult reading or an ingenious restoration</w:t>
      </w:r>
    </w:p>
    <w:p>
      <w:pPr>
        <w:pStyle w:val="Lista"/>
      </w:pPr>
      <w:r>
        <w:t>an apparatus lemma may be created for the sole purpose of crediting a previous editor for a difficult reading or an ingenious restoration</w:t>
      </w:r>
    </w:p>
    <w:p>
      <w:pPr>
        <w:pStyle w:val="Lista2"/>
      </w:pPr>
      <w:r>
        <w:t xml:space="preserve">in this case the </w:t>
      </w:r>
      <w:r>
        <w:rPr>
          <w:rStyle w:val="Code"/>
        </w:rPr>
        <w:t>&lt;app&gt;</w:t>
      </w:r>
      <w:r>
        <w:t xml:space="preserve"> element need contain neither </w:t>
      </w:r>
      <w:r>
        <w:rPr>
          <w:rStyle w:val="Code"/>
        </w:rPr>
        <w:t>&lt;rdg&gt;</w:t>
      </w:r>
      <w:r>
        <w:t xml:space="preserve"> nor </w:t>
      </w:r>
      <w:r>
        <w:rPr>
          <w:rStyle w:val="Code"/>
        </w:rPr>
        <w:t>&lt;note&gt;</w:t>
      </w:r>
      <w:r>
        <w:t xml:space="preserve">, but </w:t>
      </w:r>
      <w:r>
        <w:rPr>
          <w:rStyle w:val="Codeattribute"/>
        </w:rPr>
        <w:t>@source</w:t>
      </w:r>
      <w:r>
        <w:t xml:space="preserve"> must be present on the lemma</w:t>
      </w:r>
    </w:p>
    <w:p>
      <w:pPr>
        <w:pStyle w:val="Lista2"/>
      </w:pPr>
      <w:r>
        <w:t>such apparatus entries will be rare; only create them if you feel they are necessary</w:t>
      </w:r>
    </w:p>
    <w:p>
      <w:pPr>
        <w:pStyle w:val="Cmsor2"/>
      </w:pPr>
      <w:bookmarkStart w:id="747" w:name="_b7x6ivkmyvqo" w:colFirst="0" w:colLast="0"/>
      <w:bookmarkStart w:id="748" w:name="_Ref43989425"/>
      <w:bookmarkEnd w:id="747"/>
      <w:r>
        <w:t>Alternative readings, restorations and emendations</w:t>
      </w:r>
      <w:bookmarkEnd w:id="748"/>
    </w:p>
    <w:p>
      <w:r>
        <w:t xml:space="preserve">Alternatives to your edited text offered by other editors shall be recorded in </w:t>
      </w:r>
      <w:r>
        <w:rPr>
          <w:rStyle w:val="Code"/>
        </w:rPr>
        <w:t>&lt;rdg&gt;</w:t>
      </w:r>
      <w:r>
        <w:t xml:space="preserve"> elements within an apparatus entry.</w:t>
      </w:r>
    </w:p>
    <w:p>
      <w:pPr>
        <w:pStyle w:val="Cmsor3"/>
      </w:pPr>
      <w:bookmarkStart w:id="749" w:name="_Ref242886455"/>
      <w:bookmarkStart w:id="750" w:name="_Toc242976687"/>
      <w:r>
        <w:t>The extent of alternative readings</w:t>
      </w:r>
      <w:bookmarkEnd w:id="749"/>
      <w:bookmarkEnd w:id="750"/>
    </w:p>
    <w:p>
      <w:r>
        <w:t>The text segments cited as alternative readings must always correspond exactly to the extent of the lemma</w:t>
      </w:r>
    </w:p>
    <w:p>
      <w:pPr>
        <w:pStyle w:val="Lista"/>
      </w:pPr>
      <w:r>
        <w:t>as described in §</w:t>
      </w:r>
      <w:r>
        <w:fldChar w:fldCharType="begin"/>
      </w:r>
      <w:r>
        <w:instrText xml:space="preserve"> REF _Ref232168409 \r \h </w:instrText>
      </w:r>
      <w:r>
        <w:fldChar w:fldCharType="separate"/>
      </w:r>
      <w:r>
        <w:t>10.3.1</w:t>
      </w:r>
      <w:r>
        <w:fldChar w:fldCharType="end"/>
      </w:r>
      <w:r>
        <w:t xml:space="preserve"> for lemmas, use ° or a hyphen at the beginning or end of a reading if its boundary does not coincide with the boundary of an independent word of the text</w:t>
      </w:r>
    </w:p>
    <w:p>
      <w:pPr>
        <w:pStyle w:val="Lista"/>
      </w:pPr>
      <w:r>
        <w:t xml:space="preserve">if a previous edition shows nothing </w:t>
      </w:r>
      <w:r>
        <w:rPr>
          <w:noProof/>
        </w:rPr>
        <w:t>(</w:t>
      </w:r>
      <w:r>
        <w:t xml:space="preserve">i.e. not even a lacuna) at a locus where your edition has content </w:t>
      </w:r>
      <w:r>
        <w:rPr>
          <w:noProof/>
        </w:rPr>
        <w:t>(</w:t>
      </w:r>
      <w:r>
        <w:t>including a tentative reading or a lacuna), the reading of that edition may be represented by an empty element</w:t>
      </w:r>
    </w:p>
    <w:p>
      <w:pPr>
        <w:pStyle w:val="Lista2"/>
      </w:pPr>
      <w:r>
        <w:t xml:space="preserve">e.g. </w:t>
      </w:r>
      <w:r>
        <w:rPr>
          <w:rStyle w:val="Code"/>
        </w:rPr>
        <w:t xml:space="preserve">&lt;rdg </w:t>
      </w:r>
      <w:r>
        <w:rPr>
          <w:rStyle w:val="Codeattribute"/>
        </w:rPr>
        <w:t>source</w:t>
      </w:r>
      <w:r>
        <w:rPr>
          <w:rStyle w:val="Code"/>
        </w:rPr>
        <w:t>=</w:t>
      </w:r>
      <w:r>
        <w:rPr>
          <w:rStyle w:val="Codevalue"/>
        </w:rPr>
        <w:t>"bib:VenkatasubbaAyyar1943_01"</w:t>
      </w:r>
      <w:r>
        <w:rPr>
          <w:rStyle w:val="Code"/>
        </w:rPr>
        <w:t>/&gt;</w:t>
      </w:r>
    </w:p>
    <w:p>
      <w:pPr>
        <w:pStyle w:val="Cmsor3"/>
      </w:pPr>
      <w:bookmarkStart w:id="751" w:name="_Ref233988136"/>
      <w:bookmarkStart w:id="752" w:name="_Toc242976688"/>
      <w:r>
        <w:t>The content of alternative readings</w:t>
      </w:r>
      <w:bookmarkEnd w:id="751"/>
      <w:bookmarkEnd w:id="752"/>
    </w:p>
    <w:p>
      <w:pPr>
        <w:pStyle w:val="Lista"/>
      </w:pPr>
      <w:r>
        <w:t xml:space="preserve">text cited within </w:t>
      </w:r>
      <w:r>
        <w:rPr>
          <w:rStyle w:val="Code"/>
        </w:rPr>
        <w:t>&lt;rdg&gt;</w:t>
      </w:r>
      <w:r>
        <w:t xml:space="preserve"> must be Romanised according to the DHARMA transliteration scheme regardless of what transliteration system or script the cited edition employed</w:t>
      </w:r>
    </w:p>
    <w:p>
      <w:pPr>
        <w:pStyle w:val="Lista2"/>
      </w:pPr>
      <w:r>
        <w:t xml:space="preserve">if an earlier editor uses </w:t>
      </w:r>
      <w:r>
        <w:rPr>
          <w:rStyle w:val="Foreign"/>
        </w:rPr>
        <w:t>ś</w:t>
      </w:r>
      <w:r>
        <w:t xml:space="preserve"> to transliterate both Grantha </w:t>
      </w:r>
      <w:r>
        <w:rPr>
          <w:rStyle w:val="Foreign"/>
        </w:rPr>
        <w:t>ś</w:t>
      </w:r>
      <w:r>
        <w:t xml:space="preserve"> and Tamil </w:t>
      </w:r>
      <w:r>
        <w:rPr>
          <w:rStyle w:val="Foreign"/>
        </w:rPr>
        <w:t>c</w:t>
      </w:r>
      <w:r>
        <w:t xml:space="preserve">, and you are unable to determine which is meant, choose in </w:t>
      </w:r>
      <w:r>
        <w:rPr>
          <w:rStyle w:val="Code"/>
        </w:rPr>
        <w:t>&lt;lem&gt;</w:t>
      </w:r>
      <w:r>
        <w:t xml:space="preserve"> the interpretation you favour and add a </w:t>
      </w:r>
      <w:r>
        <w:rPr>
          <w:rStyle w:val="Code"/>
        </w:rPr>
        <w:t>&lt;note&gt;</w:t>
      </w:r>
      <w:r>
        <w:t xml:space="preserve"> to the </w:t>
      </w:r>
      <w:r>
        <w:rPr>
          <w:rStyle w:val="Code"/>
        </w:rPr>
        <w:t>&lt;app&gt;</w:t>
      </w:r>
      <w:r>
        <w:t xml:space="preserve">, such as “The original editor’s reading could also be interpreted as …” (specifying the original editor by name if the </w:t>
      </w:r>
      <w:r>
        <w:rPr>
          <w:rStyle w:val="Code"/>
        </w:rPr>
        <w:t>&lt;app&gt;</w:t>
      </w:r>
      <w:r>
        <w:t xml:space="preserve"> contains several </w:t>
      </w:r>
      <w:r>
        <w:rPr>
          <w:rStyle w:val="Code"/>
        </w:rPr>
        <w:t>&lt;rdg&gt;</w:t>
      </w:r>
      <w:r>
        <w:t>)</w:t>
      </w:r>
    </w:p>
    <w:p>
      <w:pPr>
        <w:pStyle w:val="Lista2"/>
      </w:pPr>
      <w:r>
        <w:t>if an earlier editor’s transliteration scheme represents certain details of the script less accurately than ours, make reasonable effort to normalise their reading to the more accurate DHARMA system, e.g.</w:t>
      </w:r>
    </w:p>
    <w:p>
      <w:pPr>
        <w:pStyle w:val="Lista3"/>
      </w:pPr>
      <w:r>
        <w:t>in particular, initial vowels and final consonants to the uppercase letters used in our transliteration, even if the earlier editor does not indicate these in any way (e.g. by using = adjacent to non-initial vowels and non-final consonants)</w:t>
      </w:r>
    </w:p>
    <w:p>
      <w:pPr>
        <w:pStyle w:val="Lista3"/>
      </w:pPr>
      <w:r>
        <w:rPr>
          <w:rStyle w:val="Foreign"/>
        </w:rPr>
        <w:lastRenderedPageBreak/>
        <w:t>ḥ</w:t>
      </w:r>
      <w:r>
        <w:t xml:space="preserve"> to </w:t>
      </w:r>
      <w:r>
        <w:rPr>
          <w:rStyle w:val="Foreign"/>
        </w:rPr>
        <w:t>ḫ</w:t>
      </w:r>
      <w:r>
        <w:t xml:space="preserve"> or </w:t>
      </w:r>
      <w:r>
        <w:rPr>
          <w:rStyle w:val="Foreign"/>
        </w:rPr>
        <w:t>ẖ</w:t>
      </w:r>
      <w:r>
        <w:t xml:space="preserve"> as applicable, if an earlier editor does not (consistently) distinguish </w:t>
      </w:r>
      <w:r>
        <w:rPr>
          <w:rStyle w:val="Foreign"/>
        </w:rPr>
        <w:t>upadhmānīya</w:t>
      </w:r>
      <w:r>
        <w:t xml:space="preserve"> and </w:t>
      </w:r>
      <w:r>
        <w:rPr>
          <w:rStyle w:val="Foreign"/>
        </w:rPr>
        <w:t>jihvāmūlīya</w:t>
      </w:r>
      <w:r>
        <w:t xml:space="preserve"> from </w:t>
      </w:r>
      <w:r>
        <w:rPr>
          <w:rStyle w:val="Foreign"/>
        </w:rPr>
        <w:t>visarga</w:t>
      </w:r>
    </w:p>
    <w:p>
      <w:pPr>
        <w:pStyle w:val="Lista"/>
      </w:pPr>
      <w:r>
        <w:t>text within this element must be marked up with XML tags to clearly indicate what the cited editor deemed unclear, emended or supplied</w:t>
      </w:r>
    </w:p>
    <w:p>
      <w:pPr>
        <w:pStyle w:val="Lista2"/>
      </w:pPr>
      <w:r>
        <w:t>that is to say, convert the original editor’s markup and/or additional explanation into XML tags endorsed by this guide as best possible</w:t>
      </w:r>
    </w:p>
    <w:p>
      <w:pPr>
        <w:pStyle w:val="Lista2"/>
      </w:pPr>
      <w:r>
        <w:t>since the markup found in many printed editions is less expressive and/or less rigorously consistent than our EpiDoc conventions, you may need to interpret the intention of the original editor and mark up alternatives accordingly, for instance by distinguishing correction from normalisation</w:t>
      </w:r>
    </w:p>
    <w:p>
      <w:pPr>
        <w:pStyle w:val="Lista"/>
      </w:pPr>
      <w:r>
        <w:t xml:space="preserve">never retain any traditional editorial markup </w:t>
      </w:r>
      <w:r>
        <w:rPr>
          <w:noProof/>
        </w:rPr>
        <w:t>(</w:t>
      </w:r>
      <w:r>
        <w:t>such as brackets or asterisks)</w:t>
      </w:r>
    </w:p>
    <w:p>
      <w:pPr>
        <w:pStyle w:val="Lista2"/>
      </w:pPr>
      <w:r>
        <w:t>if you are unable to interpret the intent of an earlier editor, discuss it in an apparatus note instead of citing it as a reading</w:t>
      </w:r>
    </w:p>
    <w:p>
      <w:pPr>
        <w:pStyle w:val="Lista2"/>
      </w:pPr>
      <w:r>
        <w:t>see also §</w:t>
      </w:r>
      <w:r>
        <w:fldChar w:fldCharType="begin"/>
      </w:r>
      <w:r>
        <w:instrText xml:space="preserve"> REF _Ref43989517 \w \h  \* MERGEFORMAT </w:instrText>
      </w:r>
      <w:r>
        <w:fldChar w:fldCharType="separate"/>
      </w:r>
      <w:r>
        <w:t>10.6</w:t>
      </w:r>
      <w:r>
        <w:fldChar w:fldCharType="end"/>
      </w:r>
      <w:r>
        <w:t xml:space="preserve"> for some concerns pertaining to the use of XML tags in readings, in particular about the encoding of line breaks within a reading</w:t>
      </w:r>
    </w:p>
    <w:p>
      <w:pPr>
        <w:pStyle w:val="Lista"/>
      </w:pPr>
      <w:r>
        <w:t>feel free to silently correct obvious typographic errors and transliteration inconsistencies when citing an earlier editor’s reading</w:t>
      </w:r>
    </w:p>
    <w:p>
      <w:pPr>
        <w:pStyle w:val="Lista2"/>
      </w:pPr>
      <w:r>
        <w:t>but when there is any doubt as to whether you are dealing with a typo or an erroneous reading, it is better to assume the latter</w:t>
      </w:r>
    </w:p>
    <w:p>
      <w:pPr>
        <w:pStyle w:val="Lista"/>
      </w:pPr>
      <w:r>
        <w:t xml:space="preserve">keep in mind that all markup within </w:t>
      </w:r>
      <w:r>
        <w:rPr>
          <w:rStyle w:val="Code"/>
        </w:rPr>
        <w:t>&lt;rdg&gt;</w:t>
      </w:r>
      <w:r>
        <w:t xml:space="preserve"> must represent the cited editor’s markup, not your markup pertaining to the cited edition; thus,</w:t>
      </w:r>
    </w:p>
    <w:p>
      <w:pPr>
        <w:pStyle w:val="Lista2"/>
      </w:pPr>
      <w:r>
        <w:t>if your copy of the edition is unclear or illegible, this can be indicated in a note, but not with XML markup for unclear text or a lacuna</w:t>
      </w:r>
    </w:p>
    <w:p>
      <w:pPr>
        <w:pStyle w:val="Lista2"/>
      </w:pPr>
      <w:r>
        <w:t xml:space="preserve">if the previous editor omits some text, this can be indicated by an empty </w:t>
      </w:r>
      <w:r>
        <w:rPr>
          <w:rStyle w:val="Code"/>
        </w:rPr>
        <w:t>&lt;rdg&gt;</w:t>
      </w:r>
      <w:r>
        <w:t xml:space="preserve"> as above (§</w:t>
      </w:r>
      <w:r>
        <w:fldChar w:fldCharType="begin"/>
      </w:r>
      <w:r>
        <w:instrText xml:space="preserve"> REF _Ref242886455 \r \h </w:instrText>
      </w:r>
      <w:r>
        <w:fldChar w:fldCharType="separate"/>
      </w:r>
      <w:r>
        <w:t>10.4.1</w:t>
      </w:r>
      <w:r>
        <w:fldChar w:fldCharType="end"/>
      </w:r>
      <w:r>
        <w:t>), or by choosing a broader lemma that includes some text adjacent to the omission</w:t>
      </w:r>
    </w:p>
    <w:p>
      <w:pPr>
        <w:pStyle w:val="Cmsor3"/>
      </w:pPr>
      <w:bookmarkStart w:id="753" w:name="_Ref233625579"/>
      <w:bookmarkStart w:id="754" w:name="_Toc242976689"/>
      <w:r>
        <w:t>The source of alternative readings</w:t>
      </w:r>
      <w:bookmarkEnd w:id="753"/>
      <w:bookmarkEnd w:id="754"/>
    </w:p>
    <w:p>
      <w:pPr>
        <w:pStyle w:val="Lista"/>
      </w:pPr>
      <w:r>
        <w:t>alternative readings must always be credited to the editor</w:t>
      </w:r>
      <w:r>
        <w:rPr>
          <w:noProof/>
        </w:rPr>
        <w:t>(</w:t>
      </w:r>
      <w:r>
        <w:t xml:space="preserve">s) who proposed or endorsed them, using the attribute </w:t>
      </w:r>
      <w:r>
        <w:rPr>
          <w:rStyle w:val="Codeattribute"/>
        </w:rPr>
        <w:t>@source</w:t>
      </w:r>
      <w:r>
        <w:t xml:space="preserve"> on </w:t>
      </w:r>
      <w:r>
        <w:rPr>
          <w:rStyle w:val="Code"/>
        </w:rPr>
        <w:t>&lt;rdg&gt;</w:t>
      </w:r>
    </w:p>
    <w:p>
      <w:pPr>
        <w:pStyle w:val="Lista2"/>
      </w:pPr>
      <w:r>
        <w:t>the value of this attribute must be a bibliographic identifier as set out in §</w:t>
      </w:r>
      <w:r>
        <w:fldChar w:fldCharType="begin"/>
      </w:r>
      <w:r>
        <w:instrText xml:space="preserve"> REF _Ref43989551 \w \h  \* MERGEFORMAT </w:instrText>
      </w:r>
      <w:r>
        <w:fldChar w:fldCharType="separate"/>
      </w:r>
      <w:r>
        <w:t>14.6.2</w:t>
      </w:r>
      <w:r>
        <w:fldChar w:fldCharType="end"/>
      </w:r>
    </w:p>
    <w:p>
      <w:pPr>
        <w:pStyle w:val="Lista2"/>
      </w:pPr>
      <w:r>
        <w:t>the bibliographic citation of the relevant publication in your bibliography division must include an encoded siglum for use in the apparatus, as per §</w:t>
      </w:r>
      <w:r>
        <w:fldChar w:fldCharType="begin"/>
      </w:r>
      <w:r>
        <w:instrText xml:space="preserve"> REF _Ref43989610 \w \h  \* MERGEFORMAT </w:instrText>
      </w:r>
      <w:r>
        <w:fldChar w:fldCharType="separate"/>
      </w:r>
      <w:r>
        <w:t>13.3.2</w:t>
      </w:r>
      <w:r>
        <w:fldChar w:fldCharType="end"/>
      </w:r>
    </w:p>
    <w:p>
      <w:pPr>
        <w:pStyle w:val="Lista2"/>
      </w:pPr>
      <w:r>
        <w:t>see §</w:t>
      </w:r>
      <w:r>
        <w:fldChar w:fldCharType="begin"/>
      </w:r>
      <w:r>
        <w:instrText xml:space="preserve"> REF _Ref43989583 \w \h  \* MERGEFORMAT </w:instrText>
      </w:r>
      <w:r>
        <w:fldChar w:fldCharType="separate"/>
      </w:r>
      <w:r>
        <w:t>10.5</w:t>
      </w:r>
      <w:r>
        <w:fldChar w:fldCharType="end"/>
      </w:r>
      <w:r>
        <w:t xml:space="preserve"> below for guidance on deciding when two editors’ readings may be deemed identical</w:t>
      </w:r>
    </w:p>
    <w:p>
      <w:pPr>
        <w:pStyle w:val="Lista"/>
      </w:pPr>
      <w:r>
        <w:t>if your apparatus includes at least one lemma with alternative readings and you have consulted more than one previous editor, then your apparatus entries must always be formulated as a positive apparatus</w:t>
      </w:r>
    </w:p>
    <w:p>
      <w:pPr>
        <w:pStyle w:val="Lista2"/>
      </w:pPr>
      <w:r>
        <w:t xml:space="preserve">for any lemma with one or more alternative readings, clearly indicate </w:t>
      </w:r>
      <w:r>
        <w:rPr>
          <w:noProof/>
        </w:rPr>
        <w:t>(</w:t>
      </w:r>
      <w:r>
        <w:t>either under the lemma or under one of the alternative readings) what the readings of all previous editors were</w:t>
      </w:r>
    </w:p>
    <w:p>
      <w:pPr>
        <w:pStyle w:val="Lista2"/>
      </w:pPr>
      <w:r>
        <w:t xml:space="preserve">however, keep in mind that your apparatus does not have to list every minor divergence from or between previous editions </w:t>
      </w:r>
      <w:r>
        <w:rPr>
          <w:noProof/>
        </w:rPr>
        <w:t>(</w:t>
      </w:r>
      <w:r>
        <w:t>§</w:t>
      </w:r>
      <w:r>
        <w:fldChar w:fldCharType="begin"/>
      </w:r>
      <w:r>
        <w:instrText xml:space="preserve"> REF _Ref43978773 \r \h </w:instrText>
      </w:r>
      <w:r>
        <w:fldChar w:fldCharType="separate"/>
      </w:r>
      <w:r>
        <w:t>10</w:t>
      </w:r>
      <w:r>
        <w:fldChar w:fldCharType="end"/>
      </w:r>
      <w:r>
        <w:t>)</w:t>
      </w:r>
    </w:p>
    <w:p>
      <w:pPr>
        <w:pStyle w:val="Cmsor2"/>
      </w:pPr>
      <w:bookmarkStart w:id="755" w:name="_wlnr5yx14afg" w:colFirst="0" w:colLast="0"/>
      <w:bookmarkStart w:id="756" w:name="_Ref43989583"/>
      <w:bookmarkEnd w:id="755"/>
      <w:r>
        <w:t>Identical lemmas, identical readings</w:t>
      </w:r>
      <w:bookmarkEnd w:id="756"/>
    </w:p>
    <w:p>
      <w:pPr>
        <w:pStyle w:val="Lista"/>
      </w:pPr>
      <w:r>
        <w:t>in setting up your apparatus, you will need to judge whether two given readings are to be recognised as different or can be treated as identical</w:t>
      </w:r>
    </w:p>
    <w:p>
      <w:pPr>
        <w:pStyle w:val="Lista2"/>
      </w:pPr>
      <w:r>
        <w:t>to decide whether a given previous editor’s reading agrees with yours or must be shown as an alternative reading</w:t>
      </w:r>
    </w:p>
    <w:p>
      <w:pPr>
        <w:pStyle w:val="Lista2"/>
      </w:pPr>
      <w:r>
        <w:t>to decide whether a given previous editor’s reading agrees with that of another previous editor or must be shown as an additional alternative reading</w:t>
      </w:r>
    </w:p>
    <w:p>
      <w:pPr>
        <w:pStyle w:val="Lista"/>
      </w:pPr>
      <w:r>
        <w:t>in this process, you should primarily consider the actual text shown in each edition, as read by each editor; thus,</w:t>
      </w:r>
    </w:p>
    <w:p>
      <w:pPr>
        <w:pStyle w:val="Lista2"/>
      </w:pPr>
      <w:r>
        <w:t>ignore differences limited to the transliteration system (see also §</w:t>
      </w:r>
      <w:r>
        <w:fldChar w:fldCharType="begin"/>
      </w:r>
      <w:r>
        <w:instrText xml:space="preserve"> REF _Ref233988136 \r \h </w:instrText>
      </w:r>
      <w:r>
        <w:fldChar w:fldCharType="separate"/>
      </w:r>
      <w:r>
        <w:t>10.4.2</w:t>
      </w:r>
      <w:r>
        <w:fldChar w:fldCharType="end"/>
      </w:r>
      <w:r>
        <w:t xml:space="preserve"> above)</w:t>
      </w:r>
    </w:p>
    <w:p>
      <w:pPr>
        <w:pStyle w:val="Lista3"/>
      </w:pPr>
      <w:r>
        <w:lastRenderedPageBreak/>
        <w:t xml:space="preserve">if an earlier editor does not distinguish initial vowels from dependent ones, or final consonants from those in </w:t>
      </w:r>
      <w:r>
        <w:rPr>
          <w:rStyle w:val="Foreign"/>
        </w:rPr>
        <w:t>akṣara</w:t>
      </w:r>
      <w:r>
        <w:rPr>
          <w:rStyle w:val="Foreign"/>
          <w:i w:val="0"/>
          <w:iCs w:val="0"/>
        </w:rPr>
        <w:t>s</w:t>
      </w:r>
      <w:r>
        <w:t>, you must still consider the readings identical</w:t>
      </w:r>
    </w:p>
    <w:p>
      <w:pPr>
        <w:pStyle w:val="Lista2"/>
      </w:pPr>
      <w:r>
        <w:t>feel free to ignore minor orthographic mistakes that do not affect the meaning and that may well be typographic errors in a previous edition</w:t>
      </w:r>
    </w:p>
    <w:p>
      <w:pPr>
        <w:pStyle w:val="Lista3"/>
      </w:pPr>
      <w:r>
        <w:t>but when there is any doubt as to whether you are dealing with a typo or an erroneous reading, it is better to assume the latter and show it as different from the reading you deem correct</w:t>
      </w:r>
    </w:p>
    <w:p>
      <w:pPr>
        <w:pStyle w:val="Lista2"/>
      </w:pPr>
      <w:r>
        <w:t>ignore differences that consist only in the presence or absence of markup for unclear or restored characters</w:t>
      </w:r>
    </w:p>
    <w:p>
      <w:pPr>
        <w:pStyle w:val="Lista3"/>
      </w:pPr>
      <w:r>
        <w:t xml:space="preserve">if one reading is </w:t>
      </w:r>
      <w:r>
        <w:rPr>
          <w:rStyle w:val="Codetext"/>
        </w:rPr>
        <w:t>ya</w:t>
      </w:r>
      <w:r>
        <w:rPr>
          <w:rStyle w:val="Code"/>
        </w:rPr>
        <w:t>&lt;unclear&gt;</w:t>
      </w:r>
      <w:r>
        <w:rPr>
          <w:rStyle w:val="Codetext"/>
        </w:rPr>
        <w:t>thā</w:t>
      </w:r>
      <w:r>
        <w:rPr>
          <w:rStyle w:val="Code"/>
        </w:rPr>
        <w:t>&lt;/unclear&gt;</w:t>
      </w:r>
      <w:r>
        <w:rPr>
          <w:rStyle w:val="Codetext"/>
        </w:rPr>
        <w:t>smābhiḥ</w:t>
      </w:r>
      <w:r>
        <w:t xml:space="preserve"> and another is </w:t>
      </w:r>
      <w:r>
        <w:rPr>
          <w:rStyle w:val="Codetext"/>
        </w:rPr>
        <w:t>yathāsmābhiḥ</w:t>
      </w:r>
      <w:r>
        <w:t xml:space="preserve"> without any markup, then the two readings shall be deemed identical</w:t>
      </w:r>
    </w:p>
    <w:p>
      <w:pPr>
        <w:pStyle w:val="Lista3"/>
      </w:pPr>
      <w:r>
        <w:t xml:space="preserve">if one reading is </w:t>
      </w:r>
      <w:r>
        <w:rPr>
          <w:rStyle w:val="Codetext"/>
        </w:rPr>
        <w:t>yathā</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smābhiḥ</w:t>
      </w:r>
      <w:r>
        <w:rPr>
          <w:rStyle w:val="Code"/>
        </w:rPr>
        <w:t>&lt;/supplied&gt;</w:t>
      </w:r>
      <w:r>
        <w:t xml:space="preserve"> and another is </w:t>
      </w:r>
      <w:r>
        <w:rPr>
          <w:rStyle w:val="Codetext"/>
        </w:rPr>
        <w:t>yathāsmābhiḥ</w:t>
      </w:r>
      <w:r>
        <w:t xml:space="preserve"> without any markup, then the two readings may be deemed identical unless you consider it important to show that part of the text was apparently visible to one editor but lost when the document was studied by another</w:t>
      </w:r>
    </w:p>
    <w:p>
      <w:pPr>
        <w:pStyle w:val="Lista2"/>
      </w:pPr>
      <w:r>
        <w:t>ignore the presence or absence of spaces, which are usually not indicated in printed editions</w:t>
      </w:r>
    </w:p>
    <w:p>
      <w:pPr>
        <w:pStyle w:val="Lista2"/>
      </w:pPr>
      <w:r>
        <w:t>ignore previous editors’ emendations or normalisations if they do not affect the interpretation of the text</w:t>
      </w:r>
    </w:p>
    <w:p>
      <w:pPr>
        <w:pStyle w:val="Lista3"/>
      </w:pPr>
      <w:r>
        <w:t xml:space="preserve">thus, if you </w:t>
      </w:r>
      <w:r>
        <w:rPr>
          <w:noProof/>
        </w:rPr>
        <w:t>(</w:t>
      </w:r>
      <w:r>
        <w:t>or another editor) have chosen only to flag a phenomenon as erroneous or non-standard, or chosen to ignore one, whereas a previous editor reads the same received text but emends or normalises it, then the readings are still to be deemed as identical</w:t>
      </w:r>
    </w:p>
    <w:p>
      <w:pPr>
        <w:pStyle w:val="Lista3"/>
      </w:pPr>
      <w:r>
        <w:t>meaningful or text-critically significant differences in emendation (or lack thereof) must, however, be recorded in the apparatus</w:t>
      </w:r>
    </w:p>
    <w:p>
      <w:pPr>
        <w:pStyle w:val="Lista2"/>
      </w:pPr>
      <w:r>
        <w:t>ignore differences in the strategy (or inconsistency) of editorial spacing and hyphenation unless they affect the interpretation of the text</w:t>
      </w:r>
    </w:p>
    <w:p>
      <w:pPr>
        <w:pStyle w:val="Lista3"/>
      </w:pPr>
      <w:r>
        <w:t>thus, if a previous edition hyphenates a suffix, prints a clitic without a space between it and the adjacent word, this is not a reason to recognise their reading as different</w:t>
      </w:r>
    </w:p>
    <w:p>
      <w:pPr>
        <w:pStyle w:val="Lista3"/>
      </w:pPr>
      <w:r>
        <w:t>meaningful differences (e.g. treating a word as in compound or free-standing) must, however, be recorded in the apparatus</w:t>
      </w:r>
    </w:p>
    <w:p>
      <w:pPr>
        <w:pStyle w:val="Lista"/>
      </w:pPr>
      <w:r>
        <w:t>in all of the above cases, the recommendation of ignoring minor differences may be overridden for highly problematic spots of text, where you may find it best to faithfully reproduce each previous editor’s reading down to the last detail</w:t>
      </w:r>
    </w:p>
    <w:p>
      <w:pPr>
        <w:pStyle w:val="Lista"/>
      </w:pPr>
      <w:r>
        <w:t>keep in mind that whenever multiple editions are cited as sources for a lemma, their citations must be listed within a single</w:t>
      </w:r>
      <w:r>
        <w:rPr>
          <w:b/>
          <w:bCs/>
        </w:rPr>
        <w:t xml:space="preserve"> </w:t>
      </w:r>
      <w:r>
        <w:rPr>
          <w:rStyle w:val="Codeattribute"/>
        </w:rPr>
        <w:t>@source</w:t>
      </w:r>
      <w:r>
        <w:t xml:space="preserve"> attribute in chronological order </w:t>
      </w:r>
      <w:r>
        <w:rPr>
          <w:noProof/>
        </w:rPr>
        <w:t>(§</w:t>
      </w:r>
      <w:r>
        <w:rPr>
          <w:noProof/>
        </w:rPr>
        <w:fldChar w:fldCharType="begin"/>
      </w:r>
      <w:r>
        <w:rPr>
          <w:noProof/>
        </w:rPr>
        <w:instrText xml:space="preserve"> REF _Ref44490119 \r \h </w:instrText>
      </w:r>
      <w:r>
        <w:rPr>
          <w:noProof/>
        </w:rPr>
      </w:r>
      <w:r>
        <w:rPr>
          <w:noProof/>
        </w:rPr>
        <w:fldChar w:fldCharType="separate"/>
      </w:r>
      <w:r>
        <w:rPr>
          <w:noProof/>
        </w:rPr>
        <w:t>14.6.2</w:t>
      </w:r>
      <w:r>
        <w:rPr>
          <w:noProof/>
        </w:rPr>
        <w:fldChar w:fldCharType="end"/>
      </w:r>
      <w:r>
        <w:t>)</w:t>
      </w:r>
    </w:p>
    <w:p>
      <w:pPr>
        <w:pStyle w:val="Lista"/>
      </w:pPr>
      <w:r>
        <w:t>when more than one previous editor supports a reading, but the readings of these editors differ from one another in minor details you ignore as per the above guidelines, by preference show the reading as featured in the first of the cited editions</w:t>
      </w:r>
    </w:p>
    <w:p>
      <w:pPr>
        <w:pStyle w:val="Cmsor2"/>
      </w:pPr>
      <w:bookmarkStart w:id="757" w:name="_qb0qotwuz8be" w:colFirst="0" w:colLast="0"/>
      <w:bookmarkStart w:id="758" w:name="_Ref43989517"/>
      <w:bookmarkStart w:id="759" w:name="_Ref233640654"/>
      <w:bookmarkEnd w:id="757"/>
      <w:r>
        <w:t>XML markup within lemmas</w:t>
      </w:r>
      <w:bookmarkEnd w:id="758"/>
      <w:r>
        <w:t xml:space="preserve"> and readings</w:t>
      </w:r>
      <w:bookmarkEnd w:id="759"/>
    </w:p>
    <w:p>
      <w:r>
        <w:t>When creating lemmas by copying and pasting text from your edition, you must make sure that encoding pertaining to these text snippets is correctly preserved. For readings cited from printed editions, applicable XML encoding must be created by you on the basis of the text-based markup in the editions.</w:t>
      </w:r>
    </w:p>
    <w:p>
      <w:pPr>
        <w:pStyle w:val="Lista"/>
      </w:pPr>
      <w:r>
        <w:t xml:space="preserve">tags of block-level containers for intrinsic structure </w:t>
      </w:r>
      <w:r>
        <w:rPr>
          <w:noProof/>
        </w:rPr>
        <w:t>(§</w:t>
      </w:r>
      <w:r>
        <w:rPr>
          <w:noProof/>
        </w:rPr>
        <w:fldChar w:fldCharType="begin"/>
      </w:r>
      <w:r>
        <w:rPr>
          <w:noProof/>
        </w:rPr>
        <w:instrText xml:space="preserve"> REF _Ref225500627 \r \h </w:instrText>
      </w:r>
      <w:r>
        <w:rPr>
          <w:noProof/>
        </w:rPr>
      </w:r>
      <w:r>
        <w:rPr>
          <w:noProof/>
        </w:rPr>
        <w:fldChar w:fldCharType="separate"/>
      </w:r>
      <w:r>
        <w:rPr>
          <w:noProof/>
        </w:rPr>
        <w:t>3.2</w:t>
      </w:r>
      <w:r>
        <w:rPr>
          <w:noProof/>
        </w:rPr>
        <w:fldChar w:fldCharType="end"/>
      </w:r>
      <w:r>
        <w:t>) must never be included in lemmas or readings</w:t>
      </w:r>
    </w:p>
    <w:p>
      <w:pPr>
        <w:pStyle w:val="Lista2"/>
      </w:pPr>
      <w:r>
        <w:t>for a problematic locus extending across a boundary between such containers, preferably create separate lemmas</w:t>
      </w:r>
    </w:p>
    <w:p>
      <w:pPr>
        <w:pStyle w:val="Lista2"/>
      </w:pPr>
      <w:r>
        <w:t xml:space="preserve">if separate lemmas do not seem appropriate, then simply delete from your lemma the </w:t>
      </w:r>
      <w:r>
        <w:rPr>
          <w:noProof/>
        </w:rPr>
        <w:t>(</w:t>
      </w:r>
      <w:r>
        <w:t>start and end) tags belonging to such an element, i.e. cite the text as if the boundary of intrinsic structure were not present</w:t>
      </w:r>
    </w:p>
    <w:p>
      <w:pPr>
        <w:pStyle w:val="Lista"/>
      </w:pPr>
      <w:r>
        <w:t xml:space="preserve">milestone elements for extrinsic structure </w:t>
      </w:r>
      <w:r>
        <w:rPr>
          <w:noProof/>
        </w:rPr>
        <w:t>(§</w:t>
      </w:r>
      <w:r>
        <w:rPr>
          <w:noProof/>
        </w:rPr>
        <w:fldChar w:fldCharType="begin"/>
      </w:r>
      <w:r>
        <w:rPr>
          <w:noProof/>
        </w:rPr>
        <w:instrText xml:space="preserve"> REF _Ref225327729 \r \h </w:instrText>
      </w:r>
      <w:r>
        <w:rPr>
          <w:noProof/>
        </w:rPr>
      </w:r>
      <w:r>
        <w:rPr>
          <w:noProof/>
        </w:rPr>
        <w:fldChar w:fldCharType="separate"/>
      </w:r>
      <w:r>
        <w:rPr>
          <w:noProof/>
        </w:rPr>
        <w:t>4.3</w:t>
      </w:r>
      <w:r>
        <w:rPr>
          <w:noProof/>
        </w:rPr>
        <w:fldChar w:fldCharType="end"/>
      </w:r>
      <w:r>
        <w:rPr>
          <w:noProof/>
        </w:rPr>
        <w:t>; including line and page breaks</w:t>
      </w:r>
      <w:r>
        <w:t>) shall, however, be included in both lemmas and readings</w:t>
      </w:r>
    </w:p>
    <w:p>
      <w:pPr>
        <w:pStyle w:val="Lista2"/>
      </w:pPr>
      <w:r>
        <w:lastRenderedPageBreak/>
        <w:t xml:space="preserve">the purpose of this is primarily to show the fact that such a transition is present </w:t>
      </w:r>
      <w:r>
        <w:rPr>
          <w:noProof/>
        </w:rPr>
        <w:t>(</w:t>
      </w:r>
      <w:r>
        <w:t>or was indicated as present, not necessarily always in the right place, by a previous edition)</w:t>
      </w:r>
    </w:p>
    <w:p>
      <w:pPr>
        <w:pStyle w:val="Lista2"/>
      </w:pPr>
      <w:r>
        <w:t>attributes of these elements present in the edition must be retained in the lemma</w:t>
      </w:r>
    </w:p>
    <w:p>
      <w:pPr>
        <w:pStyle w:val="Lista2"/>
      </w:pPr>
      <w:r>
        <w:t xml:space="preserve">remember that when a lemma extends across a line boundary, the </w:t>
      </w:r>
      <w:r>
        <w:rPr>
          <w:rStyle w:val="Codeattribute"/>
        </w:rPr>
        <w:t>@loc</w:t>
      </w:r>
      <w:r>
        <w:t xml:space="preserve"> of the apparatus entry must be the number of the line where the lemma begins</w:t>
      </w:r>
    </w:p>
    <w:p>
      <w:pPr>
        <w:pStyle w:val="Lista"/>
      </w:pPr>
      <w:r>
        <w:t>forme work (§</w:t>
      </w:r>
      <w:r>
        <w:fldChar w:fldCharType="begin"/>
      </w:r>
      <w:r>
        <w:instrText xml:space="preserve"> REF _Ref43984607 \r \h </w:instrText>
      </w:r>
      <w:r>
        <w:fldChar w:fldCharType="separate"/>
      </w:r>
      <w:r>
        <w:t>4.7.2</w:t>
      </w:r>
      <w:r>
        <w:fldChar w:fldCharType="end"/>
      </w:r>
      <w:r>
        <w:t>) must not be included in lemmas</w:t>
      </w:r>
    </w:p>
    <w:p>
      <w:pPr>
        <w:pStyle w:val="Lista2"/>
      </w:pPr>
      <w:r>
        <w:t xml:space="preserve">if an </w:t>
      </w:r>
      <w:r>
        <w:rPr>
          <w:rStyle w:val="Code"/>
        </w:rPr>
        <w:t>&lt;fw&gt;</w:t>
      </w:r>
      <w:r>
        <w:t xml:space="preserve"> element is present after a page break that intervenes in your lemma, then delete it (along with its contents) from the contents of the lemma pasted from your edition</w:t>
      </w:r>
    </w:p>
    <w:p>
      <w:pPr>
        <w:pStyle w:val="Lista2"/>
      </w:pPr>
      <w:r>
        <w:t xml:space="preserve">for lemmas </w:t>
      </w:r>
      <w:r>
        <w:rPr>
          <w:i/>
          <w:iCs/>
        </w:rPr>
        <w:t>within</w:t>
      </w:r>
      <w:r>
        <w:t xml:space="preserve"> forme work, see §</w:t>
      </w:r>
      <w:r>
        <w:fldChar w:fldCharType="begin"/>
      </w:r>
      <w:r>
        <w:instrText xml:space="preserve"> REF _Ref43978538 \r \h </w:instrText>
      </w:r>
      <w:r>
        <w:fldChar w:fldCharType="separate"/>
      </w:r>
      <w:r>
        <w:t>10.1.1</w:t>
      </w:r>
      <w:r>
        <w:fldChar w:fldCharType="end"/>
      </w:r>
    </w:p>
    <w:p>
      <w:pPr>
        <w:pStyle w:val="Lista"/>
      </w:pPr>
      <w:r>
        <w:t>philological markup (§</w:t>
      </w:r>
      <w:r>
        <w:fldChar w:fldCharType="begin"/>
      </w:r>
      <w:r>
        <w:instrText xml:space="preserve"> REF _Ref232171176 \r \h </w:instrText>
      </w:r>
      <w:r>
        <w:fldChar w:fldCharType="separate"/>
      </w:r>
      <w:r>
        <w:t>5</w:t>
      </w:r>
      <w:r>
        <w:fldChar w:fldCharType="end"/>
      </w:r>
      <w:r>
        <w:t xml:space="preserve"> to §</w:t>
      </w:r>
      <w:r>
        <w:fldChar w:fldCharType="begin"/>
      </w:r>
      <w:r>
        <w:instrText xml:space="preserve"> REF _Ref43978565 \r \h </w:instrText>
      </w:r>
      <w:r>
        <w:fldChar w:fldCharType="separate"/>
      </w:r>
      <w:r>
        <w:t>7</w:t>
      </w:r>
      <w:r>
        <w:fldChar w:fldCharType="end"/>
      </w:r>
      <w:r>
        <w:t>) must, as a rule, be retained in lemmas as it appears in your edition, and created in readings to represent the intent of the editor cited as far as possible</w:t>
      </w:r>
    </w:p>
    <w:p>
      <w:pPr>
        <w:pStyle w:val="Lista2"/>
      </w:pPr>
      <w:r>
        <w:t>the start-tag or end-tag of such an element may be outside the range of your locus copied and pasted from your edition, but must be present in the lemma, so take care to</w:t>
      </w:r>
    </w:p>
    <w:p>
      <w:pPr>
        <w:pStyle w:val="Lista3"/>
      </w:pPr>
      <w:r>
        <w:t>add the start-tag for markup commencing before and ending inside your lemma</w:t>
      </w:r>
    </w:p>
    <w:p>
      <w:pPr>
        <w:pStyle w:val="Lista3"/>
      </w:pPr>
      <w:r>
        <w:t>add the end-tag for markup commencing inside your lemma and ending after it</w:t>
      </w:r>
    </w:p>
    <w:p>
      <w:pPr>
        <w:pStyle w:val="Lista3"/>
      </w:pPr>
      <w:r>
        <w:t>add start and end-tags for a lemma snipped from within a longer stretch of phrase-level markup</w:t>
      </w:r>
    </w:p>
    <w:p>
      <w:pPr>
        <w:pStyle w:val="Lista"/>
      </w:pPr>
      <w:r>
        <w:t>phrase-level markup that encodes additional information (§</w:t>
      </w:r>
      <w:r>
        <w:fldChar w:fldCharType="begin"/>
      </w:r>
      <w:r>
        <w:instrText xml:space="preserve"> REF _Ref122447347 \r \h </w:instrText>
      </w:r>
      <w:r>
        <w:fldChar w:fldCharType="separate"/>
      </w:r>
      <w:r>
        <w:t>14.2.4</w:t>
      </w:r>
      <w:r>
        <w:fldChar w:fldCharType="end"/>
      </w:r>
      <w:r>
        <w:t xml:space="preserve"> and §</w:t>
      </w:r>
      <w:r>
        <w:fldChar w:fldCharType="begin"/>
      </w:r>
      <w:r>
        <w:instrText xml:space="preserve"> REF _Ref232002354 \r \h </w:instrText>
      </w:r>
      <w:r>
        <w:fldChar w:fldCharType="separate"/>
      </w:r>
      <w:r>
        <w:t>9</w:t>
      </w:r>
      <w:r>
        <w:fldChar w:fldCharType="end"/>
      </w:r>
      <w:r>
        <w:t>) is indifferent for the purposes of the apparatus; thus:</w:t>
      </w:r>
    </w:p>
    <w:p>
      <w:pPr>
        <w:pStyle w:val="Lista2"/>
      </w:pPr>
      <w:r>
        <w:t>it is recommended that you delete any such markup from your lemma in order to reduce code clutter</w:t>
      </w:r>
    </w:p>
    <w:p>
      <w:pPr>
        <w:pStyle w:val="Lista2"/>
      </w:pPr>
      <w:r>
        <w:t>but feel free to leave such markup in a copied and pasted lemma if this is more convenient for you, provided that you pay attention to start-tags and end-tags as above</w:t>
      </w:r>
    </w:p>
    <w:p>
      <w:pPr>
        <w:pStyle w:val="Cmsor2"/>
      </w:pPr>
      <w:bookmarkStart w:id="760" w:name="_1khg88862vrq" w:colFirst="0" w:colLast="0"/>
      <w:bookmarkStart w:id="761" w:name="_Ref43988104"/>
      <w:bookmarkEnd w:id="760"/>
      <w:r>
        <w:t>Freeform apparatus notes</w:t>
      </w:r>
      <w:bookmarkEnd w:id="761"/>
    </w:p>
    <w:p>
      <w:pPr>
        <w:pStyle w:val="Lista"/>
      </w:pPr>
      <w:r>
        <w:t xml:space="preserve">if you find the encoding within </w:t>
      </w:r>
      <w:r>
        <w:rPr>
          <w:rStyle w:val="Code"/>
        </w:rPr>
        <w:t>&lt;lem&gt;</w:t>
      </w:r>
      <w:r>
        <w:t xml:space="preserve"> and/or </w:t>
      </w:r>
      <w:r>
        <w:rPr>
          <w:rStyle w:val="Code"/>
        </w:rPr>
        <w:t>&lt;rdg&gt;</w:t>
      </w:r>
      <w:r>
        <w:t xml:space="preserve"> insufficient for recording certain details about your base reading or a cited alternative, add a </w:t>
      </w:r>
      <w:r>
        <w:rPr>
          <w:rStyle w:val="Code"/>
        </w:rPr>
        <w:t>&lt;note&gt;</w:t>
      </w:r>
      <w:r>
        <w:t xml:space="preserve"> element as the last child element of the relevant </w:t>
      </w:r>
      <w:r>
        <w:rPr>
          <w:rStyle w:val="Code"/>
        </w:rPr>
        <w:t>&lt;app&gt;</w:t>
      </w:r>
      <w:r>
        <w:t xml:space="preserve"> entry</w:t>
      </w:r>
    </w:p>
    <w:p>
      <w:pPr>
        <w:pStyle w:val="Lista2"/>
      </w:pPr>
      <w:r>
        <w:t>see §</w:t>
      </w:r>
      <w:r>
        <w:fldChar w:fldCharType="begin"/>
      </w:r>
      <w:r>
        <w:instrText xml:space="preserve"> REF _Ref43989684 \w \h  \* MERGEFORMAT </w:instrText>
      </w:r>
      <w:r>
        <w:fldChar w:fldCharType="separate"/>
      </w:r>
      <w:r>
        <w:t>14.5</w:t>
      </w:r>
      <w:r>
        <w:fldChar w:fldCharType="end"/>
      </w:r>
      <w:r>
        <w:t xml:space="preserve"> for general guidance on notes</w:t>
      </w:r>
    </w:p>
    <w:p>
      <w:pPr>
        <w:pStyle w:val="Lista"/>
      </w:pPr>
      <w:r>
        <w:t>editorial notes concerning a segment of text that cannot be conveniently identified by a line number and lemma should be placed in the commentary, not the apparatus</w:t>
      </w:r>
    </w:p>
    <w:p>
      <w:pPr>
        <w:pStyle w:val="Lista"/>
      </w:pPr>
      <w:r>
        <w:t>if you feel the need to create more than one note to a single apparatus entry, you may do so, but</w:t>
      </w:r>
    </w:p>
    <w:p>
      <w:pPr>
        <w:pStyle w:val="Lista2"/>
      </w:pPr>
      <w:r>
        <w:t>all notes must be at the end of the apparatus entry</w:t>
      </w:r>
    </w:p>
    <w:p>
      <w:pPr>
        <w:pStyle w:val="Lista2"/>
      </w:pPr>
      <w:r>
        <w:t>a note cannot be nested within another note</w:t>
      </w:r>
    </w:p>
    <w:p>
      <w:pPr>
        <w:pStyle w:val="Cmsor1"/>
      </w:pPr>
      <w:bookmarkStart w:id="762" w:name="_1vsssow7ypzu" w:colFirst="0" w:colLast="0"/>
      <w:bookmarkStart w:id="763" w:name="_pn0gltowrfhw" w:colFirst="0" w:colLast="0"/>
      <w:bookmarkStart w:id="764" w:name="_95bkq7g4grjl" w:colFirst="0" w:colLast="0"/>
      <w:bookmarkStart w:id="765" w:name="_Ref43978780"/>
      <w:bookmarkEnd w:id="762"/>
      <w:bookmarkEnd w:id="763"/>
      <w:bookmarkEnd w:id="764"/>
      <w:r>
        <w:lastRenderedPageBreak/>
        <w:t>The translation</w:t>
      </w:r>
      <w:bookmarkEnd w:id="765"/>
    </w:p>
    <w:p>
      <w:bookmarkStart w:id="766" w:name="_pvxrutfvtymm" w:colFirst="0" w:colLast="0"/>
      <w:bookmarkEnd w:id="766"/>
      <w:r>
        <w:t>Whenever possible, a translation should be included in your XML document along with your edition. Ideally, texts (re-)edited for DHARMA should be accompanied by a fresh translation; however, previously published translations may be optionally encoded in your file as per §</w:t>
      </w:r>
      <w:r>
        <w:fldChar w:fldCharType="begin"/>
      </w:r>
      <w:r>
        <w:instrText xml:space="preserve"> REF _Ref43990725 \r \h </w:instrText>
      </w:r>
      <w:r>
        <w:fldChar w:fldCharType="separate"/>
      </w:r>
      <w:r>
        <w:t>11.5</w:t>
      </w:r>
      <w:r>
        <w:fldChar w:fldCharType="end"/>
      </w:r>
      <w:r>
        <w:t>. Previous translations may be included in addition to a new translation, when such a translation is of particular interest for some reason (e.g. because of its relevance to the history of the scholarly understanding of the text), or used instead of a new translation, when your edition is not a substantive revision of an earlier edition accompanied by a satisfactory published translation.</w:t>
      </w:r>
    </w:p>
    <w:p>
      <w:pPr>
        <w:pStyle w:val="Normlbehzs"/>
      </w:pPr>
      <w:r>
        <w:t>A new translation created for DHARMA should be a convenient representation of the intent of the original. Translate as literally as seems useful, but as freely as seems appropriate. Your translation must reflect the text as you have edited it, including restorations and emendations. Feel free to ignore the original’s superficial irregularities/oddities of punctuation and spelling and in particular, normalise the spelling of original personal names, toponyms and terms.</w:t>
      </w:r>
    </w:p>
    <w:p>
      <w:pPr>
        <w:pStyle w:val="Cmsor2"/>
      </w:pPr>
      <w:bookmarkStart w:id="767" w:name="_Ref233722818"/>
      <w:r>
        <w:t>Encoding the translation</w:t>
      </w:r>
      <w:bookmarkEnd w:id="767"/>
    </w:p>
    <w:p>
      <w:pPr>
        <w:pStyle w:val="Lista"/>
      </w:pPr>
      <w:r>
        <w:t xml:space="preserve">the translation must be wrapped in </w:t>
      </w:r>
      <w:r>
        <w:rPr>
          <w:rStyle w:val="Code"/>
        </w:rPr>
        <w:t xml:space="preserve">&lt;div </w:t>
      </w:r>
      <w:r>
        <w:rPr>
          <w:rStyle w:val="Codeattribute"/>
        </w:rPr>
        <w:t>type</w:t>
      </w:r>
      <w:r>
        <w:rPr>
          <w:rStyle w:val="Code"/>
        </w:rPr>
        <w:t>=</w:t>
      </w:r>
      <w:r>
        <w:rPr>
          <w:rStyle w:val="Codevalue"/>
        </w:rPr>
        <w:t>"translation"</w:t>
      </w:r>
      <w:r>
        <w:rPr>
          <w:rStyle w:val="Code"/>
        </w:rPr>
        <w:t>&gt;</w:t>
      </w:r>
      <w:r>
        <w:t>, with the following attributes</w:t>
      </w:r>
    </w:p>
    <w:p>
      <w:pPr>
        <w:pStyle w:val="Lista2"/>
      </w:pPr>
      <w:r>
        <w:t xml:space="preserve">as applicable, </w:t>
      </w:r>
      <w:r>
        <w:rPr>
          <w:rStyle w:val="Codeattribute"/>
        </w:rPr>
        <w:t>@xml:lang</w:t>
      </w:r>
      <w:r>
        <w:t xml:space="preserve"> (as per §</w:t>
      </w:r>
      <w:r>
        <w:fldChar w:fldCharType="begin"/>
      </w:r>
      <w:r>
        <w:instrText xml:space="preserve"> REF _Ref233727317 \r \h </w:instrText>
      </w:r>
      <w:r>
        <w:fldChar w:fldCharType="separate"/>
      </w:r>
      <w:r>
        <w:t>14.4.1</w:t>
      </w:r>
      <w:r>
        <w:fldChar w:fldCharType="end"/>
      </w:r>
      <w:r>
        <w:t>) to encode the target language of translations into a language other than English</w:t>
      </w:r>
    </w:p>
    <w:p>
      <w:pPr>
        <w:pStyle w:val="Lista3"/>
      </w:pPr>
      <w:r>
        <w:t xml:space="preserve">translations into English do not need and should not carry this attribute, since they by default inherit the English language from the </w:t>
      </w:r>
      <w:r>
        <w:rPr>
          <w:rStyle w:val="Codevalue"/>
        </w:rPr>
        <w:t>&lt;TEI&gt;</w:t>
      </w:r>
      <w:r>
        <w:t xml:space="preserve"> root element</w:t>
      </w:r>
    </w:p>
    <w:p>
      <w:pPr>
        <w:pStyle w:val="Lista2"/>
      </w:pPr>
      <w:r>
        <w:t xml:space="preserve">mandatorily, either </w:t>
      </w:r>
      <w:r>
        <w:rPr>
          <w:rStyle w:val="Codeattribute"/>
        </w:rPr>
        <w:t>@source</w:t>
      </w:r>
      <w:r>
        <w:t xml:space="preserve"> </w:t>
      </w:r>
      <w:r>
        <w:rPr>
          <w:noProof/>
        </w:rPr>
        <w:t xml:space="preserve">or </w:t>
      </w:r>
      <w:r>
        <w:rPr>
          <w:rStyle w:val="Codeattribute"/>
        </w:rPr>
        <w:t>@resp</w:t>
      </w:r>
      <w:r>
        <w:t xml:space="preserve"> to encode the author of the translation as per §</w:t>
      </w:r>
      <w:r>
        <w:fldChar w:fldCharType="begin"/>
      </w:r>
      <w:r>
        <w:instrText xml:space="preserve"> REF _Ref233276652 \r \h </w:instrText>
      </w:r>
      <w:r>
        <w:fldChar w:fldCharType="separate"/>
      </w:r>
      <w:r>
        <w:t>11.1.2</w:t>
      </w:r>
      <w:r>
        <w:fldChar w:fldCharType="end"/>
      </w:r>
    </w:p>
    <w:p>
      <w:pPr>
        <w:pStyle w:val="Lista"/>
      </w:pPr>
      <w:r>
        <w:t>this division follows the edition division and the apparatus division and is already present in our template for editions</w:t>
      </w:r>
    </w:p>
    <w:p>
      <w:pPr>
        <w:pStyle w:val="Lista2"/>
      </w:pPr>
      <w:r>
        <w:t>if your edition division includes boxlike partitions (§</w:t>
      </w:r>
      <w:r>
        <w:fldChar w:fldCharType="begin"/>
      </w:r>
      <w:r>
        <w:instrText xml:space="preserve"> REF _Ref225778181 \r \h </w:instrText>
      </w:r>
      <w:r>
        <w:fldChar w:fldCharType="separate"/>
      </w:r>
      <w:r>
        <w:t>4.2</w:t>
      </w:r>
      <w:r>
        <w:fldChar w:fldCharType="end"/>
      </w:r>
      <w:r>
        <w:t xml:space="preserve">), then all corresponding textpart divisions must be replicated within the </w:t>
      </w:r>
      <w:r>
        <w:rPr>
          <w:rStyle w:val="Code"/>
        </w:rPr>
        <w:t xml:space="preserve">&lt;div </w:t>
      </w:r>
      <w:r>
        <w:rPr>
          <w:rStyle w:val="Codeattribute"/>
        </w:rPr>
        <w:t>type</w:t>
      </w:r>
      <w:r>
        <w:rPr>
          <w:rStyle w:val="Code"/>
        </w:rPr>
        <w:t>=</w:t>
      </w:r>
      <w:r>
        <w:rPr>
          <w:rStyle w:val="Codevalue"/>
        </w:rPr>
        <w:t>"translation"</w:t>
      </w:r>
      <w:r>
        <w:rPr>
          <w:rStyle w:val="Code"/>
        </w:rPr>
        <w:t>&gt;</w:t>
      </w:r>
      <w:r>
        <w:t xml:space="preserve"> as described in §</w:t>
      </w:r>
      <w:r>
        <w:fldChar w:fldCharType="begin"/>
      </w:r>
      <w:r>
        <w:instrText xml:space="preserve"> REF _Ref233277694 \r \h </w:instrText>
      </w:r>
      <w:r>
        <w:fldChar w:fldCharType="separate"/>
      </w:r>
      <w:r>
        <w:t>11.1.1</w:t>
      </w:r>
      <w:r>
        <w:fldChar w:fldCharType="end"/>
      </w:r>
    </w:p>
    <w:p>
      <w:pPr>
        <w:pStyle w:val="Lista2"/>
      </w:pPr>
      <w:r>
        <w:t>unlike the other content divisions in our files, the translation division may be iterated several times (one after the other) to accommodate multiple translations as per §</w:t>
      </w:r>
      <w:r>
        <w:fldChar w:fldCharType="begin"/>
      </w:r>
      <w:r>
        <w:instrText xml:space="preserve"> REF _Ref233297230 \r \h </w:instrText>
      </w:r>
      <w:r>
        <w:fldChar w:fldCharType="separate"/>
      </w:r>
      <w:r>
        <w:t>11.1.3</w:t>
      </w:r>
      <w:r>
        <w:fldChar w:fldCharType="end"/>
      </w:r>
    </w:p>
    <w:p>
      <w:pPr>
        <w:pStyle w:val="Lista"/>
      </w:pPr>
      <w:r>
        <w:t xml:space="preserve">the translation division (or its textpart divisions when applicable) normally contains one or more </w:t>
      </w:r>
      <w:r>
        <w:rPr>
          <w:rStyle w:val="Code"/>
        </w:rPr>
        <w:t>&lt;p&gt;</w:t>
      </w:r>
      <w:r>
        <w:t xml:space="preserve"> elements, which in turn contain the text of the translation</w:t>
      </w:r>
    </w:p>
    <w:p>
      <w:pPr>
        <w:pStyle w:val="Lista2"/>
      </w:pPr>
      <w:r>
        <w:t>see §</w:t>
      </w:r>
      <w:r>
        <w:fldChar w:fldCharType="begin"/>
      </w:r>
      <w:r>
        <w:instrText xml:space="preserve"> REF _Ref233278822 \r \h </w:instrText>
      </w:r>
      <w:r>
        <w:fldChar w:fldCharType="separate"/>
      </w:r>
      <w:r>
        <w:t>11.1.3</w:t>
      </w:r>
      <w:r>
        <w:fldChar w:fldCharType="end"/>
      </w:r>
      <w:r>
        <w:t xml:space="preserve"> for further instructions on structuring the content</w:t>
      </w:r>
    </w:p>
    <w:p>
      <w:pPr>
        <w:pStyle w:val="Cmsor3"/>
      </w:pPr>
      <w:bookmarkStart w:id="768" w:name="_Ref233277694"/>
      <w:bookmarkStart w:id="769" w:name="_Toc242976690"/>
      <w:r>
        <w:t>Textpart divisions in the translation</w:t>
      </w:r>
      <w:bookmarkEnd w:id="768"/>
      <w:bookmarkEnd w:id="769"/>
    </w:p>
    <w:p>
      <w:pPr>
        <w:pStyle w:val="Lista"/>
      </w:pPr>
      <w:r>
        <w:t xml:space="preserve">if your edition includes boxlike partitions </w:t>
      </w:r>
      <w:r>
        <w:rPr>
          <w:noProof/>
        </w:rPr>
        <w:t>(</w:t>
      </w:r>
      <w:r>
        <w:t>§</w:t>
      </w:r>
      <w:r>
        <w:fldChar w:fldCharType="begin"/>
      </w:r>
      <w:r>
        <w:instrText xml:space="preserve"> REF _Ref225778181 \r \h </w:instrText>
      </w:r>
      <w:r>
        <w:fldChar w:fldCharType="separate"/>
      </w:r>
      <w:r>
        <w:t>4.2</w:t>
      </w:r>
      <w:r>
        <w:fldChar w:fldCharType="end"/>
      </w:r>
      <w:r>
        <w:t>), then all corresponding textpart divisions must be replicated within the translation</w:t>
      </w:r>
    </w:p>
    <w:p>
      <w:pPr>
        <w:pStyle w:val="Lista"/>
      </w:pPr>
      <w:r>
        <w:t xml:space="preserve">inside </w:t>
      </w:r>
      <w:r>
        <w:rPr>
          <w:rStyle w:val="Code"/>
        </w:rPr>
        <w:t xml:space="preserve">&lt;div </w:t>
      </w:r>
      <w:r>
        <w:rPr>
          <w:rStyle w:val="Codeattribute"/>
        </w:rPr>
        <w:t>type</w:t>
      </w:r>
      <w:r>
        <w:rPr>
          <w:rStyle w:val="Code"/>
        </w:rPr>
        <w:t>=</w:t>
      </w:r>
      <w:r>
        <w:rPr>
          <w:rStyle w:val="Codevalue"/>
        </w:rPr>
        <w:t>"translation"</w:t>
      </w:r>
      <w:r>
        <w:rPr>
          <w:rStyle w:val="Code"/>
        </w:rPr>
        <w:t>&gt;</w:t>
      </w:r>
      <w:r>
        <w:t xml:space="preserve">, create as many </w:t>
      </w:r>
      <w:r>
        <w:rPr>
          <w:rStyle w:val="Code"/>
        </w:rPr>
        <w:t xml:space="preserve">&lt;div </w:t>
      </w:r>
      <w:r>
        <w:rPr>
          <w:rStyle w:val="Codeattribute"/>
        </w:rPr>
        <w:t>type</w:t>
      </w:r>
      <w:r>
        <w:rPr>
          <w:rStyle w:val="Code"/>
        </w:rPr>
        <w:t>=</w:t>
      </w:r>
      <w:r>
        <w:rPr>
          <w:rStyle w:val="Codevalue"/>
        </w:rPr>
        <w:t>"textpart"</w:t>
      </w:r>
      <w:r>
        <w:rPr>
          <w:rStyle w:val="Code"/>
        </w:rPr>
        <w:t>&gt;</w:t>
      </w:r>
      <w:r>
        <w:t xml:space="preserve"> elements as there are in the </w:t>
      </w:r>
      <w:r>
        <w:rPr>
          <w:rStyle w:val="Code"/>
        </w:rPr>
        <w:t xml:space="preserve">&lt;div </w:t>
      </w:r>
      <w:r>
        <w:rPr>
          <w:rStyle w:val="Codeattribute"/>
        </w:rPr>
        <w:t>type</w:t>
      </w:r>
      <w:r>
        <w:rPr>
          <w:rStyle w:val="Code"/>
        </w:rPr>
        <w:t>=</w:t>
      </w:r>
      <w:r>
        <w:rPr>
          <w:rStyle w:val="Codevalue"/>
        </w:rPr>
        <w:t>"edition"</w:t>
      </w:r>
      <w:r>
        <w:rPr>
          <w:rStyle w:val="Code"/>
        </w:rPr>
        <w:t>&gt;</w:t>
      </w:r>
    </w:p>
    <w:p>
      <w:pPr>
        <w:pStyle w:val="Lista2"/>
      </w:pPr>
      <w:r>
        <w:t xml:space="preserve">in the start-tag of these replicated divisions, include the same attributes </w:t>
      </w:r>
      <w:r>
        <w:rPr>
          <w:noProof/>
        </w:rPr>
        <w:t>(</w:t>
      </w:r>
      <w:r>
        <w:rPr>
          <w:rStyle w:val="Codeattribute"/>
        </w:rPr>
        <w:t>@subtype</w:t>
      </w:r>
      <w:r>
        <w:t xml:space="preserve"> and </w:t>
      </w:r>
      <w:r>
        <w:rPr>
          <w:rStyle w:val="Codeattribute"/>
        </w:rPr>
        <w:t>@n</w:t>
      </w:r>
      <w:r>
        <w:t xml:space="preserve"> as applicable) with the same value that they have in the edition division</w:t>
      </w:r>
    </w:p>
    <w:p>
      <w:pPr>
        <w:pStyle w:val="Lista2"/>
      </w:pPr>
      <w:r>
        <w:t xml:space="preserve">if your edition’s textpart divisions have </w:t>
      </w:r>
      <w:r>
        <w:rPr>
          <w:rStyle w:val="Code"/>
        </w:rPr>
        <w:t>&lt;head&gt;</w:t>
      </w:r>
      <w:r>
        <w:t xml:space="preserve"> elements, likewise replicate these in the translation, immediately after the start-tag of each textpart division</w:t>
      </w:r>
    </w:p>
    <w:p>
      <w:pPr>
        <w:pStyle w:val="Lista3"/>
      </w:pPr>
      <w:r>
        <w:t xml:space="preserve">the </w:t>
      </w:r>
      <w:r>
        <w:rPr>
          <w:rStyle w:val="Codeattribute"/>
        </w:rPr>
        <w:t>@xml:lang</w:t>
      </w:r>
      <w:r>
        <w:t xml:space="preserve"> attribute of the </w:t>
      </w:r>
      <w:r>
        <w:rPr>
          <w:rStyle w:val="Code"/>
        </w:rPr>
        <w:t>&lt;head&gt;</w:t>
      </w:r>
      <w:r>
        <w:t xml:space="preserve"> element is not necessary within a translation into English (because division’s children inherit the English language from the translation division), but copy-pasting the head and retaining the attribute does no harm</w:t>
      </w:r>
    </w:p>
    <w:p>
      <w:pPr>
        <w:pStyle w:val="Lista3"/>
      </w:pPr>
      <w:r>
        <w:t xml:space="preserve">for translations into another language, either add </w:t>
      </w:r>
      <w:r>
        <w:rPr>
          <w:rStyle w:val="Codeattribute"/>
        </w:rPr>
        <w:t>@xml:lang</w:t>
      </w:r>
      <w:r>
        <w:rPr>
          <w:rStyle w:val="Code"/>
        </w:rPr>
        <w:t>=</w:t>
      </w:r>
      <w:r>
        <w:rPr>
          <w:rStyle w:val="Codevalue"/>
        </w:rPr>
        <w:t>"eng"</w:t>
      </w:r>
      <w:r>
        <w:t xml:space="preserve"> to the </w:t>
      </w:r>
      <w:r>
        <w:rPr>
          <w:rStyle w:val="Code"/>
        </w:rPr>
        <w:t>&lt;head&gt;</w:t>
      </w:r>
      <w:r>
        <w:t xml:space="preserve"> elements or translate their contents to the target language</w:t>
      </w:r>
    </w:p>
    <w:p>
      <w:pPr>
        <w:pStyle w:val="Lista"/>
      </w:pPr>
      <w:r>
        <w:t xml:space="preserve">if one or more textparts of the source are not translated, then the textpart division </w:t>
      </w:r>
      <w:r>
        <w:rPr>
          <w:noProof/>
        </w:rPr>
        <w:t>(</w:t>
      </w:r>
      <w:r>
        <w:t xml:space="preserve">with attributes) must still be created for these in the translation division, but such textparts shall not contain anything </w:t>
      </w:r>
      <w:r>
        <w:rPr>
          <w:noProof/>
        </w:rPr>
        <w:t>(</w:t>
      </w:r>
      <w:r>
        <w:t xml:space="preserve">except, if applicable, </w:t>
      </w:r>
      <w:r>
        <w:rPr>
          <w:rStyle w:val="Code"/>
        </w:rPr>
        <w:t>&lt;head&gt;</w:t>
      </w:r>
      <w:r>
        <w:t xml:space="preserve">) </w:t>
      </w:r>
    </w:p>
    <w:p>
      <w:pPr>
        <w:pStyle w:val="Cmsor3"/>
      </w:pPr>
      <w:bookmarkStart w:id="770" w:name="_Ref233276652"/>
      <w:bookmarkStart w:id="771" w:name="_Toc242976691"/>
      <w:r>
        <w:lastRenderedPageBreak/>
        <w:t>Crediting the author of the translation</w:t>
      </w:r>
      <w:bookmarkEnd w:id="770"/>
      <w:bookmarkEnd w:id="771"/>
    </w:p>
    <w:p>
      <w:pPr>
        <w:pStyle w:val="Lista"/>
        <w:rPr>
          <w:lang w:eastAsia="en-US" w:bidi="ar-SA"/>
        </w:rPr>
      </w:pPr>
      <w:r>
        <w:rPr>
          <w:lang w:eastAsia="en-US" w:bidi="ar-SA"/>
        </w:rPr>
        <w:t>the author of the translation must be indicated in the encoding using one of the following methods</w:t>
      </w:r>
    </w:p>
    <w:p>
      <w:pPr>
        <w:pStyle w:val="Lista2"/>
      </w:pPr>
      <w:r>
        <w:rPr>
          <w:rStyle w:val="Codeattribute"/>
        </w:rPr>
        <w:t>@resp</w:t>
      </w:r>
      <w:r>
        <w:t xml:space="preserve"> </w:t>
      </w:r>
      <w:r>
        <w:rPr>
          <w:noProof/>
        </w:rPr>
        <w:t>(</w:t>
      </w:r>
      <w:r>
        <w:t>§</w:t>
      </w:r>
      <w:r>
        <w:fldChar w:fldCharType="begin"/>
      </w:r>
      <w:r>
        <w:instrText xml:space="preserve"> REF _Ref43989765 \w \h  \* MERGEFORMAT </w:instrText>
      </w:r>
      <w:r>
        <w:fldChar w:fldCharType="separate"/>
      </w:r>
      <w:r>
        <w:t>14.6.5</w:t>
      </w:r>
      <w:r>
        <w:fldChar w:fldCharType="end"/>
      </w:r>
      <w:r>
        <w:t>) on the translation division, if the translation was at least in part made by you and/or another project member</w:t>
      </w:r>
    </w:p>
    <w:p>
      <w:pPr>
        <w:pStyle w:val="Lista2"/>
      </w:pPr>
      <w:r>
        <w:rPr>
          <w:rStyle w:val="Codeattribute"/>
        </w:rPr>
        <w:t>@source</w:t>
      </w:r>
      <w:r>
        <w:t xml:space="preserve"> </w:t>
      </w:r>
      <w:r>
        <w:rPr>
          <w:noProof/>
        </w:rPr>
        <w:t>(</w:t>
      </w:r>
      <w:r>
        <w:t>§</w:t>
      </w:r>
      <w:r>
        <w:fldChar w:fldCharType="begin"/>
      </w:r>
      <w:r>
        <w:instrText xml:space="preserve"> REF _Ref43989551 \w \h  \* MERGEFORMAT </w:instrText>
      </w:r>
      <w:r>
        <w:fldChar w:fldCharType="separate"/>
      </w:r>
      <w:r>
        <w:t>14.6.2</w:t>
      </w:r>
      <w:r>
        <w:fldChar w:fldCharType="end"/>
      </w:r>
      <w:r>
        <w:t>) on the translation division, if a published translation is adopted verbatim as per §</w:t>
      </w:r>
      <w:r>
        <w:fldChar w:fldCharType="begin"/>
      </w:r>
      <w:r>
        <w:instrText xml:space="preserve"> REF _Ref43990725 \r \h </w:instrText>
      </w:r>
      <w:r>
        <w:fldChar w:fldCharType="separate"/>
      </w:r>
      <w:r>
        <w:t>11.5</w:t>
      </w:r>
      <w:r>
        <w:fldChar w:fldCharType="end"/>
      </w:r>
    </w:p>
    <w:p>
      <w:pPr>
        <w:pStyle w:val="Cmsor4"/>
      </w:pPr>
      <w:bookmarkStart w:id="772" w:name="_Ref242888161"/>
      <w:r>
        <w:t>Credit notes</w:t>
      </w:r>
      <w:bookmarkEnd w:id="772"/>
    </w:p>
    <w:p>
      <w:r>
        <w:t xml:space="preserve">When you feel that credit for a translation cannot be allocated correctly or fairly by using </w:t>
      </w:r>
      <w:r>
        <w:rPr>
          <w:rStyle w:val="Codeattribute"/>
        </w:rPr>
        <w:t>@source</w:t>
      </w:r>
      <w:r>
        <w:t xml:space="preserve"> and </w:t>
      </w:r>
      <w:r>
        <w:rPr>
          <w:rStyle w:val="Codeattribute"/>
        </w:rPr>
        <w:t>@resp</w:t>
      </w:r>
      <w:r>
        <w:t xml:space="preserve"> as above, you may clarify the situation by adding a credit note at the beginning of a translation.</w:t>
      </w:r>
    </w:p>
    <w:p>
      <w:pPr>
        <w:pStyle w:val="Lista"/>
      </w:pPr>
      <w:r>
        <w:t xml:space="preserve">create the element </w:t>
      </w:r>
      <w:r>
        <w:rPr>
          <w:rStyle w:val="Code"/>
        </w:rPr>
        <w:t xml:space="preserve">&lt;note </w:t>
      </w:r>
      <w:r>
        <w:rPr>
          <w:rStyle w:val="Codeattribute"/>
        </w:rPr>
        <w:t>type</w:t>
      </w:r>
      <w:r>
        <w:rPr>
          <w:rStyle w:val="Codetext"/>
        </w:rPr>
        <w:t>=</w:t>
      </w:r>
      <w:r>
        <w:rPr>
          <w:rStyle w:val="Codevalue"/>
        </w:rPr>
        <w:t>"credit"</w:t>
      </w:r>
      <w:r>
        <w:rPr>
          <w:rStyle w:val="Code"/>
        </w:rPr>
        <w:t>&gt;</w:t>
      </w:r>
      <w:r>
        <w:t xml:space="preserve"> as the first item within </w:t>
      </w:r>
      <w:r>
        <w:rPr>
          <w:rStyle w:val="Code"/>
        </w:rPr>
        <w:t xml:space="preserve">&lt;div </w:t>
      </w:r>
      <w:r>
        <w:rPr>
          <w:rStyle w:val="Codeattribute"/>
        </w:rPr>
        <w:t>type</w:t>
      </w:r>
      <w:r>
        <w:rPr>
          <w:rStyle w:val="Codetext"/>
        </w:rPr>
        <w:t>=</w:t>
      </w:r>
      <w:r>
        <w:rPr>
          <w:rStyle w:val="Codevalue"/>
        </w:rPr>
        <w:t>"translation"</w:t>
      </w:r>
      <w:r>
        <w:rPr>
          <w:rStyle w:val="Code"/>
        </w:rPr>
        <w:t>&gt;</w:t>
      </w:r>
      <w:r>
        <w:t>, before any textpart divisions, if such are present</w:t>
      </w:r>
    </w:p>
    <w:p>
      <w:pPr>
        <w:pStyle w:val="Lista2"/>
      </w:pPr>
      <w:r>
        <w:t xml:space="preserve">or as the second item, immediately after the custom </w:t>
      </w:r>
      <w:r>
        <w:rPr>
          <w:rStyle w:val="Code"/>
        </w:rPr>
        <w:t>&lt;head&gt;</w:t>
      </w:r>
      <w:r>
        <w:t xml:space="preserve"> if one is used as per §</w:t>
      </w:r>
      <w:r>
        <w:fldChar w:fldCharType="begin"/>
      </w:r>
      <w:r>
        <w:instrText xml:space="preserve"> REF _Ref43989787 \r \h </w:instrText>
      </w:r>
      <w:r>
        <w:fldChar w:fldCharType="separate"/>
      </w:r>
      <w:r>
        <w:t>11.2.3</w:t>
      </w:r>
      <w:r>
        <w:fldChar w:fldCharType="end"/>
      </w:r>
      <w:r>
        <w:t xml:space="preserve"> </w:t>
      </w:r>
    </w:p>
    <w:p>
      <w:pPr>
        <w:pStyle w:val="Lista"/>
      </w:pPr>
      <w:r>
        <w:t xml:space="preserve">this </w:t>
      </w:r>
      <w:r>
        <w:rPr>
          <w:rStyle w:val="Codeattribute"/>
        </w:rPr>
        <w:t>@type</w:t>
      </w:r>
      <w:r>
        <w:t xml:space="preserve"> of </w:t>
      </w:r>
      <w:r>
        <w:rPr>
          <w:rStyle w:val="Code"/>
        </w:rPr>
        <w:t>&lt;note&gt;</w:t>
      </w:r>
      <w:r>
        <w:t xml:space="preserve"> will only be used in the translation division, for this particular purpose</w:t>
      </w:r>
    </w:p>
    <w:p>
      <w:pPr>
        <w:pStyle w:val="Lista"/>
      </w:pPr>
      <w:r>
        <w:t>the contents of a credit note shall be free text consisting of one or more complete sentences (with a capital initial and final punctuation), clarifying the authorship of the translation in situations such as</w:t>
      </w:r>
    </w:p>
    <w:p>
      <w:pPr>
        <w:pStyle w:val="Lista2"/>
      </w:pPr>
      <w:r>
        <w:t>collaborative translation involving people outside DHARMA</w:t>
      </w:r>
    </w:p>
    <w:p>
      <w:pPr>
        <w:pStyle w:val="Lista2"/>
      </w:pPr>
      <w:r>
        <w:t>the partial revision of a previously published translation by you or other DHARMA members</w:t>
      </w:r>
    </w:p>
    <w:p>
      <w:pPr>
        <w:pStyle w:val="Lista3"/>
      </w:pPr>
      <w:r>
        <w:t>the revised previous translation should in this case be properly cited (§</w:t>
      </w:r>
      <w:r>
        <w:fldChar w:fldCharType="begin"/>
      </w:r>
      <w:r>
        <w:instrText xml:space="preserve"> REF _Ref233877601 \r \h </w:instrText>
      </w:r>
      <w:r>
        <w:fldChar w:fldCharType="separate"/>
      </w:r>
      <w:r>
        <w:t>14.6.1</w:t>
      </w:r>
      <w:r>
        <w:fldChar w:fldCharType="end"/>
      </w:r>
      <w:r>
        <w:t>) in the credit note</w:t>
      </w:r>
    </w:p>
    <w:p>
      <w:pPr>
        <w:pStyle w:val="Lista3"/>
      </w:pPr>
      <w:r>
        <w:t>note that if you create a new translation that does not differ in any essential contents from an earlier translation, this is still to be considered as your own new translation (and not a revision of the previous one), unless the majority of your translation is in fact verbatim identical to the previous translation</w:t>
      </w:r>
    </w:p>
    <w:p>
      <w:pPr>
        <w:pStyle w:val="Lista2"/>
      </w:pPr>
      <w:r>
        <w:t>the use of an unpublished translation by a person outside DHARMA</w:t>
      </w:r>
    </w:p>
    <w:p>
      <w:pPr>
        <w:pStyle w:val="Lista"/>
      </w:pPr>
      <w:r>
        <w:t xml:space="preserve">when a credit note is present, the translation division shall normally be credited to you, the editor, using </w:t>
      </w:r>
      <w:r>
        <w:rPr>
          <w:rStyle w:val="Codeattribute"/>
        </w:rPr>
        <w:t>@resp</w:t>
      </w:r>
      <w:r>
        <w:t xml:space="preserve">, but depending on the situation, you may instead choose to use </w:t>
      </w:r>
      <w:r>
        <w:rPr>
          <w:rStyle w:val="Codeattribute"/>
        </w:rPr>
        <w:t>@source</w:t>
      </w:r>
      <w:r>
        <w:t xml:space="preserve"> on the translation division, or to use neither of these attributes</w:t>
      </w:r>
    </w:p>
    <w:p>
      <w:pPr>
        <w:pStyle w:val="Cmsor3"/>
      </w:pPr>
      <w:bookmarkStart w:id="773" w:name="_l9hrq46lm8f5" w:colFirst="0" w:colLast="0"/>
      <w:bookmarkStart w:id="774" w:name="_jki9tbn1nzqo" w:colFirst="0" w:colLast="0"/>
      <w:bookmarkStart w:id="775" w:name="_ikyv2ushnpo2" w:colFirst="0" w:colLast="0"/>
      <w:bookmarkStart w:id="776" w:name="_8oa8esure61" w:colFirst="0" w:colLast="0"/>
      <w:bookmarkStart w:id="777" w:name="_Ref233297230"/>
      <w:bookmarkStart w:id="778" w:name="_Ref233278822"/>
      <w:bookmarkStart w:id="779" w:name="_Toc242976692"/>
      <w:bookmarkEnd w:id="773"/>
      <w:bookmarkEnd w:id="774"/>
      <w:bookmarkEnd w:id="775"/>
      <w:bookmarkEnd w:id="776"/>
      <w:r>
        <w:t>Attaching multiple translations</w:t>
      </w:r>
      <w:bookmarkEnd w:id="777"/>
      <w:bookmarkEnd w:id="779"/>
    </w:p>
    <w:p>
      <w:pPr>
        <w:pStyle w:val="Lista"/>
      </w:pPr>
      <w:r>
        <w:t xml:space="preserve">if you wish to include more than one translation (e.g. by different persons or to different languages), simply iterate </w:t>
      </w:r>
      <w:r>
        <w:rPr>
          <w:rStyle w:val="Code"/>
        </w:rPr>
        <w:t xml:space="preserve">&lt;div </w:t>
      </w:r>
      <w:r>
        <w:rPr>
          <w:rStyle w:val="Codeattribute"/>
        </w:rPr>
        <w:t>type</w:t>
      </w:r>
      <w:r>
        <w:rPr>
          <w:rStyle w:val="Code"/>
        </w:rPr>
        <w:t>=</w:t>
      </w:r>
      <w:r>
        <w:rPr>
          <w:rStyle w:val="Codevalue"/>
        </w:rPr>
        <w:t>"translation"</w:t>
      </w:r>
      <w:r>
        <w:rPr>
          <w:rStyle w:val="Code"/>
        </w:rPr>
        <w:t>&gt;</w:t>
      </w:r>
      <w:r>
        <w:t xml:space="preserve"> for each of them as in </w:t>
      </w:r>
      <w:r>
        <w:fldChar w:fldCharType="begin"/>
      </w:r>
      <w:r>
        <w:instrText xml:space="preserve"> REF _Ref233297421 \h </w:instrText>
      </w:r>
      <w:r>
        <w:fldChar w:fldCharType="separate"/>
      </w:r>
      <w:r>
        <w:t xml:space="preserve">Exhibit </w:t>
      </w:r>
      <w:r>
        <w:rPr>
          <w:noProof/>
        </w:rPr>
        <w:t>11.1</w:t>
      </w:r>
      <w:r>
        <w:t>.</w:t>
      </w:r>
      <w:r>
        <w:rPr>
          <w:noProof/>
        </w:rPr>
        <w:t>A</w:t>
      </w:r>
      <w:r>
        <w:fldChar w:fldCharType="end"/>
      </w:r>
    </w:p>
    <w:p>
      <w:pPr>
        <w:pStyle w:val="Lista"/>
      </w:pPr>
      <w:r>
        <w:t>there is no requirement to include multiple translations just because they are available</w:t>
      </w:r>
    </w:p>
    <w:p>
      <w:pPr>
        <w:pStyle w:val="Lista"/>
      </w:pPr>
      <w:r>
        <w:t>when you include more than one translation in your XML document, these should be presented in an order of decreasing usefulness, prioritising those which are more recent, more accurate, and in more widely spoken languages</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780" w:name="_Ref233297421"/>
            <w:r>
              <w:t xml:space="preserve">Exhibit </w:t>
            </w:r>
            <w:fldSimple w:instr=" STYLEREF 2 \s ">
              <w:r>
                <w:rPr>
                  <w:noProof/>
                </w:rPr>
                <w:t>11.1</w:t>
              </w:r>
            </w:fldSimple>
            <w:r>
              <w:t>.</w:t>
            </w:r>
            <w:fldSimple w:instr=" SEQ Exhibit \* ALPHABETIC \s 2 ">
              <w:r>
                <w:rPr>
                  <w:noProof/>
                </w:rPr>
                <w:t>A</w:t>
              </w:r>
            </w:fldSimple>
            <w:bookmarkEnd w:id="780"/>
            <w:r>
              <w:t>: multiple translations</w:t>
            </w:r>
          </w:p>
        </w:tc>
      </w:tr>
      <w:tr>
        <w:tc>
          <w:tcPr>
            <w:tcW w:w="5000" w:type="pct"/>
          </w:tcPr>
          <w:p>
            <w:pPr>
              <w:pStyle w:val="CodeParagraph"/>
              <w:rPr>
                <w:rStyle w:val="Codetext"/>
              </w:rPr>
            </w:pPr>
            <w:r>
              <w:rPr>
                <w:rStyle w:val="Code"/>
              </w:rPr>
              <w:t xml:space="preserve">&lt;div </w:t>
            </w:r>
            <w:r>
              <w:rPr>
                <w:rStyle w:val="Codeattribute"/>
              </w:rPr>
              <w:t>type</w:t>
            </w:r>
            <w:r>
              <w:rPr>
                <w:rStyle w:val="Code"/>
              </w:rPr>
              <w:t>=</w:t>
            </w:r>
            <w:r>
              <w:rPr>
                <w:rStyle w:val="Codevalue"/>
              </w:rPr>
              <w:t>"edition"</w:t>
            </w:r>
            <w:r>
              <w:rPr>
                <w:rStyle w:val="Code"/>
              </w:rPr>
              <w:t xml:space="preserve"> </w:t>
            </w:r>
            <w:r>
              <w:rPr>
                <w:rStyle w:val="Codeattribute"/>
              </w:rPr>
              <w:t>xml:lang</w:t>
            </w:r>
            <w:r>
              <w:rPr>
                <w:rStyle w:val="Code"/>
              </w:rPr>
              <w:t>=</w:t>
            </w:r>
            <w:r>
              <w:rPr>
                <w:rStyle w:val="Codevalue"/>
              </w:rPr>
              <w:t>"ocm-Latn"</w:t>
            </w:r>
            <w:r>
              <w:rPr>
                <w:rStyle w:val="Code"/>
              </w:rPr>
              <w:t>&gt;</w:t>
            </w:r>
            <w:r>
              <w:rPr>
                <w:rStyle w:val="Codetext"/>
              </w:rPr>
              <w:br/>
              <w:t xml:space="preserve">  ...</w:t>
            </w:r>
            <w:r>
              <w:rPr>
                <w:rStyle w:val="Codetext"/>
              </w:rPr>
              <w:br/>
              <w:t xml:space="preserve">  </w:t>
            </w:r>
            <w:r>
              <w:rPr>
                <w:rStyle w:val="Code"/>
              </w:rPr>
              <w:t>&lt;ab&gt;</w:t>
            </w:r>
            <w:r>
              <w:rPr>
                <w:rStyle w:val="Codetext"/>
              </w:rPr>
              <w:t>pu vyā</w:t>
            </w:r>
            <w:r>
              <w:rPr>
                <w:rStyle w:val="Code"/>
              </w:rPr>
              <w:t>&lt;/ab&gt;</w:t>
            </w:r>
            <w:r>
              <w:rPr>
                <w:rStyle w:val="Codetext"/>
              </w:rPr>
              <w:br/>
              <w:t xml:space="preserve">  ...</w:t>
            </w:r>
            <w:r>
              <w:rPr>
                <w:rStyle w:val="Codetext"/>
              </w:rPr>
              <w:br/>
            </w:r>
            <w:r>
              <w:rPr>
                <w:rStyle w:val="Code"/>
              </w:rPr>
              <w:t>&lt;/div&gt;</w:t>
            </w:r>
            <w:r>
              <w:rPr>
                <w:rStyle w:val="Codetext"/>
              </w:rPr>
              <w:br/>
              <w:t>...</w:t>
            </w:r>
            <w:r>
              <w:rPr>
                <w:rStyle w:val="Codetext"/>
              </w:rPr>
              <w:br/>
            </w:r>
            <w:r>
              <w:rPr>
                <w:rStyle w:val="Code"/>
              </w:rPr>
              <w:t xml:space="preserve">&lt;div </w:t>
            </w:r>
            <w:r>
              <w:rPr>
                <w:rStyle w:val="Codeattribute"/>
              </w:rPr>
              <w:t>type</w:t>
            </w:r>
            <w:r>
              <w:rPr>
                <w:rStyle w:val="Code"/>
              </w:rPr>
              <w:t>=</w:t>
            </w:r>
            <w:r>
              <w:rPr>
                <w:rStyle w:val="Codevalue"/>
              </w:rPr>
              <w:t>"translation"</w:t>
            </w:r>
            <w:r>
              <w:rPr>
                <w:rStyle w:val="Code"/>
              </w:rPr>
              <w:t>&gt;</w:t>
            </w:r>
            <w:r>
              <w:rPr>
                <w:rStyle w:val="Codetext"/>
              </w:rPr>
              <w:br/>
              <w:t xml:space="preserve">  ...</w:t>
            </w:r>
          </w:p>
          <w:p>
            <w:pPr>
              <w:pStyle w:val="CodeParagraph"/>
            </w:pPr>
            <w:r>
              <w:rPr>
                <w:rStyle w:val="Codetext"/>
              </w:rPr>
              <w:t xml:space="preserve">  </w:t>
            </w:r>
            <w:r>
              <w:rPr>
                <w:rStyle w:val="Code"/>
              </w:rPr>
              <w:t>&lt;p&gt;</w:t>
            </w:r>
            <w:r>
              <w:rPr>
                <w:rStyle w:val="Codetext"/>
              </w:rPr>
              <w:t>Her majesty the queen</w:t>
            </w:r>
            <w:r>
              <w:rPr>
                <w:rStyle w:val="Code"/>
              </w:rPr>
              <w:t>&lt;/p&gt;</w:t>
            </w:r>
            <w:r>
              <w:rPr>
                <w:rStyle w:val="Codetext"/>
              </w:rPr>
              <w:br/>
              <w:t xml:space="preserve">  ...</w:t>
            </w:r>
            <w:r>
              <w:rPr>
                <w:rStyle w:val="Codetext"/>
              </w:rPr>
              <w:br/>
            </w:r>
            <w:r>
              <w:rPr>
                <w:rStyle w:val="Code"/>
              </w:rPr>
              <w:t>&lt;/div&gt;</w:t>
            </w:r>
            <w:r>
              <w:rPr>
                <w:rStyle w:val="Codetext"/>
              </w:rPr>
              <w:br/>
            </w:r>
            <w:r>
              <w:rPr>
                <w:rStyle w:val="Code"/>
              </w:rPr>
              <w:t xml:space="preserve">&lt;div </w:t>
            </w:r>
            <w:r>
              <w:rPr>
                <w:rStyle w:val="Codeattribute"/>
              </w:rPr>
              <w:t>type</w:t>
            </w:r>
            <w:r>
              <w:rPr>
                <w:rStyle w:val="Code"/>
              </w:rPr>
              <w:t>=</w:t>
            </w:r>
            <w:r>
              <w:rPr>
                <w:rStyle w:val="Codevalue"/>
              </w:rPr>
              <w:t>"translation"</w:t>
            </w:r>
            <w:r>
              <w:rPr>
                <w:rStyle w:val="Code"/>
              </w:rPr>
              <w:t xml:space="preserve"> </w:t>
            </w:r>
            <w:r>
              <w:rPr>
                <w:rStyle w:val="Codeattribute"/>
              </w:rPr>
              <w:t>xml:lang</w:t>
            </w:r>
            <w:r>
              <w:rPr>
                <w:rStyle w:val="Code"/>
              </w:rPr>
              <w:t>=</w:t>
            </w:r>
            <w:r>
              <w:rPr>
                <w:rStyle w:val="Codevalue"/>
              </w:rPr>
              <w:t>"fra"</w:t>
            </w:r>
            <w:r>
              <w:rPr>
                <w:rStyle w:val="Code"/>
              </w:rPr>
              <w:t>&gt;</w:t>
            </w:r>
            <w:r>
              <w:rPr>
                <w:rStyle w:val="Codetext"/>
              </w:rPr>
              <w:br/>
              <w:t xml:space="preserve">  ...</w:t>
            </w:r>
            <w:r>
              <w:rPr>
                <w:rStyle w:val="Codetext"/>
              </w:rPr>
              <w:br/>
              <w:t xml:space="preserve">  </w:t>
            </w:r>
            <w:r>
              <w:rPr>
                <w:rStyle w:val="Code"/>
              </w:rPr>
              <w:t>&lt;p&gt;</w:t>
            </w:r>
            <w:r>
              <w:rPr>
                <w:rStyle w:val="Codetext"/>
              </w:rPr>
              <w:t>Sa majesté la reine</w:t>
            </w:r>
            <w:r>
              <w:rPr>
                <w:rStyle w:val="Code"/>
              </w:rPr>
              <w:t>&lt;/p&gt;</w:t>
            </w:r>
            <w:r>
              <w:rPr>
                <w:rStyle w:val="Codetext"/>
              </w:rPr>
              <w:br/>
              <w:t xml:space="preserve">  ...</w:t>
            </w:r>
            <w:r>
              <w:rPr>
                <w:rStyle w:val="Codetext"/>
              </w:rPr>
              <w:br/>
            </w:r>
            <w:r>
              <w:rPr>
                <w:rStyle w:val="Code"/>
              </w:rPr>
              <w:t>&lt;/div&gt;</w:t>
            </w:r>
          </w:p>
        </w:tc>
      </w:tr>
      <w:tr>
        <w:tc>
          <w:tcPr>
            <w:tcW w:w="5000" w:type="pct"/>
          </w:tcPr>
          <w:p>
            <w:pPr>
              <w:pStyle w:val="TableNote"/>
              <w:rPr>
                <w:rStyle w:val="Code"/>
              </w:rPr>
            </w:pPr>
            <w:r>
              <w:lastRenderedPageBreak/>
              <w:t>the framework illustrated here must be completed with attributes indicating the author of each translation as per §</w:t>
            </w:r>
            <w:r>
              <w:fldChar w:fldCharType="begin"/>
            </w:r>
            <w:r>
              <w:instrText xml:space="preserve"> REF _Ref233276652 \r \h </w:instrText>
            </w:r>
            <w:r>
              <w:fldChar w:fldCharType="separate"/>
            </w:r>
            <w:r>
              <w:t>11.1.2</w:t>
            </w:r>
            <w:r>
              <w:fldChar w:fldCharType="end"/>
            </w:r>
          </w:p>
        </w:tc>
      </w:tr>
    </w:tbl>
    <w:p>
      <w:pPr>
        <w:pStyle w:val="Cmsor2"/>
      </w:pPr>
      <w:r>
        <w:t>Structuring the translation</w:t>
      </w:r>
      <w:bookmarkEnd w:id="778"/>
    </w:p>
    <w:p>
      <w:r>
        <w:t>The overall structure of a translation should, as far as practicable, imitate the intrinsic structure (§</w:t>
      </w:r>
      <w:r>
        <w:fldChar w:fldCharType="begin"/>
      </w:r>
      <w:r>
        <w:instrText xml:space="preserve"> REF _Ref43978632 \r \h </w:instrText>
      </w:r>
      <w:r>
        <w:fldChar w:fldCharType="separate"/>
      </w:r>
      <w:r>
        <w:t>3</w:t>
      </w:r>
      <w:r>
        <w:fldChar w:fldCharType="end"/>
      </w:r>
      <w:r>
        <w:t>) of the original document, as clarified in the following subsections. When the edition contains textpart divisions, these must always be replicated in the translation as per §</w:t>
      </w:r>
      <w:r>
        <w:fldChar w:fldCharType="begin"/>
      </w:r>
      <w:r>
        <w:instrText xml:space="preserve"> REF _Ref233277694 \r \h </w:instrText>
      </w:r>
      <w:r>
        <w:fldChar w:fldCharType="separate"/>
      </w:r>
      <w:r>
        <w:t>11.1.1</w:t>
      </w:r>
      <w:r>
        <w:fldChar w:fldCharType="end"/>
      </w:r>
      <w:r>
        <w:t>.</w:t>
      </w:r>
    </w:p>
    <w:p>
      <w:pPr>
        <w:pStyle w:val="Cmsor3"/>
      </w:pPr>
      <w:bookmarkStart w:id="781" w:name="_Ref233279561"/>
      <w:bookmarkStart w:id="782" w:name="_Toc242976693"/>
      <w:r>
        <w:t>Reflecting extrinsic structure in the translation</w:t>
      </w:r>
      <w:bookmarkEnd w:id="781"/>
      <w:bookmarkEnd w:id="782"/>
    </w:p>
    <w:p>
      <w:pPr>
        <w:rPr>
          <w:lang w:eastAsia="en-US" w:bidi="ar-SA"/>
        </w:rPr>
      </w:pPr>
      <w:r>
        <w:rPr>
          <w:lang w:eastAsia="en-US" w:bidi="ar-SA"/>
        </w:rPr>
        <w:t>The extrinsic structure (§</w:t>
      </w:r>
      <w:r>
        <w:rPr>
          <w:lang w:eastAsia="en-US" w:bidi="ar-SA"/>
        </w:rPr>
        <w:fldChar w:fldCharType="begin"/>
      </w:r>
      <w:r>
        <w:rPr>
          <w:lang w:eastAsia="en-US" w:bidi="ar-SA"/>
        </w:rPr>
        <w:instrText xml:space="preserve"> REF _Ref225261475 \r \h </w:instrText>
      </w:r>
      <w:r>
        <w:rPr>
          <w:lang w:eastAsia="en-US" w:bidi="ar-SA"/>
        </w:rPr>
      </w:r>
      <w:r>
        <w:rPr>
          <w:lang w:eastAsia="en-US" w:bidi="ar-SA"/>
        </w:rPr>
        <w:fldChar w:fldCharType="separate"/>
      </w:r>
      <w:r>
        <w:rPr>
          <w:lang w:eastAsia="en-US" w:bidi="ar-SA"/>
        </w:rPr>
        <w:t>4</w:t>
      </w:r>
      <w:r>
        <w:rPr>
          <w:lang w:eastAsia="en-US" w:bidi="ar-SA"/>
        </w:rPr>
        <w:fldChar w:fldCharType="end"/>
      </w:r>
      <w:r>
        <w:rPr>
          <w:lang w:eastAsia="en-US" w:bidi="ar-SA"/>
        </w:rPr>
        <w:t xml:space="preserve">) of the original document should generally not be reflected in the translation, except that </w:t>
      </w:r>
      <w:r>
        <w:t>textpart divisions must be replicated as per §</w:t>
      </w:r>
      <w:r>
        <w:fldChar w:fldCharType="begin"/>
      </w:r>
      <w:r>
        <w:instrText xml:space="preserve"> REF _Ref233277694 \r \h </w:instrText>
      </w:r>
      <w:r>
        <w:fldChar w:fldCharType="separate"/>
      </w:r>
      <w:r>
        <w:t>11.1.1</w:t>
      </w:r>
      <w:r>
        <w:fldChar w:fldCharType="end"/>
      </w:r>
      <w:r>
        <w:t xml:space="preserve"> and </w:t>
      </w:r>
      <w:r>
        <w:rPr>
          <w:lang w:eastAsia="en-US" w:bidi="ar-SA"/>
        </w:rPr>
        <w:t>the correspondence of translation passages to source line numbers should generally be encoded as per §</w:t>
      </w:r>
      <w:r>
        <w:rPr>
          <w:lang w:eastAsia="en-US" w:bidi="ar-SA"/>
        </w:rPr>
        <w:fldChar w:fldCharType="begin"/>
      </w:r>
      <w:r>
        <w:rPr>
          <w:lang w:eastAsia="en-US" w:bidi="ar-SA"/>
        </w:rPr>
        <w:instrText xml:space="preserve"> REF _Ref182309743 \r \h </w:instrText>
      </w:r>
      <w:r>
        <w:rPr>
          <w:lang w:eastAsia="en-US" w:bidi="ar-SA"/>
        </w:rPr>
      </w:r>
      <w:r>
        <w:rPr>
          <w:lang w:eastAsia="en-US" w:bidi="ar-SA"/>
        </w:rPr>
        <w:fldChar w:fldCharType="separate"/>
      </w:r>
      <w:r>
        <w:rPr>
          <w:lang w:eastAsia="en-US" w:bidi="ar-SA"/>
        </w:rPr>
        <w:t>11.3</w:t>
      </w:r>
      <w:r>
        <w:rPr>
          <w:lang w:eastAsia="en-US" w:bidi="ar-SA"/>
        </w:rPr>
        <w:fldChar w:fldCharType="end"/>
      </w:r>
      <w:r>
        <w:rPr>
          <w:lang w:eastAsia="en-US" w:bidi="ar-SA"/>
        </w:rPr>
        <w:t>. Should you find it necessary to do so, other transition points in extrinsic structure can be optionally indicated in the translation as follows.</w:t>
      </w:r>
    </w:p>
    <w:p>
      <w:pPr>
        <w:pStyle w:val="Lista"/>
      </w:pPr>
      <w:r>
        <w:t xml:space="preserve">pagelike partitions </w:t>
      </w:r>
      <w:r>
        <w:rPr>
          <w:noProof/>
        </w:rPr>
        <w:t>(</w:t>
      </w:r>
      <w:r>
        <w:t>§</w:t>
      </w:r>
      <w:r>
        <w:fldChar w:fldCharType="begin"/>
      </w:r>
      <w:r>
        <w:instrText xml:space="preserve"> REF _Ref233982406 \r \h </w:instrText>
      </w:r>
      <w:r>
        <w:fldChar w:fldCharType="separate"/>
      </w:r>
      <w:r>
        <w:t>4.4</w:t>
      </w:r>
      <w:r>
        <w:fldChar w:fldCharType="end"/>
      </w:r>
      <w:r>
        <w:t>) may be replicated by using the same milestone element with the same attributes as that used in your edition</w:t>
      </w:r>
    </w:p>
    <w:p>
      <w:pPr>
        <w:pStyle w:val="Lista2"/>
      </w:pPr>
      <w:r>
        <w:t xml:space="preserve">if </w:t>
      </w:r>
      <w:r>
        <w:rPr>
          <w:rStyle w:val="Code"/>
        </w:rPr>
        <w:t>&lt;label&gt;</w:t>
      </w:r>
      <w:r>
        <w:t xml:space="preserve"> elements are present in the edition, replicate these along with the milestones</w:t>
      </w:r>
    </w:p>
    <w:p>
      <w:pPr>
        <w:pStyle w:val="Lista3"/>
      </w:pPr>
      <w:r>
        <w:t xml:space="preserve">if the label is in the same language as that of the translation as a whole, then the </w:t>
      </w:r>
      <w:r>
        <w:rPr>
          <w:rStyle w:val="Codeattribute"/>
        </w:rPr>
        <w:t>@xml:lang</w:t>
      </w:r>
      <w:r>
        <w:t xml:space="preserve"> attribute of the </w:t>
      </w:r>
      <w:r>
        <w:rPr>
          <w:rStyle w:val="Code"/>
        </w:rPr>
        <w:t>&lt;label&gt;</w:t>
      </w:r>
      <w:r>
        <w:t xml:space="preserve"> element does not need to be present (but does no harm)</w:t>
      </w:r>
    </w:p>
    <w:p>
      <w:pPr>
        <w:pStyle w:val="Lista3"/>
      </w:pPr>
      <w:r>
        <w:t xml:space="preserve">if the translation is into a different language than the label, then either use </w:t>
      </w:r>
      <w:r>
        <w:rPr>
          <w:rStyle w:val="Codeattribute"/>
        </w:rPr>
        <w:t>@xml:lang</w:t>
      </w:r>
      <w:r>
        <w:t xml:space="preserve"> on the label or translate it</w:t>
      </w:r>
    </w:p>
    <w:p>
      <w:pPr>
        <w:pStyle w:val="Lista"/>
      </w:pPr>
      <w:r>
        <w:t>never replicate the following details of the source’s extrinsic structure:</w:t>
      </w:r>
    </w:p>
    <w:p>
      <w:pPr>
        <w:pStyle w:val="Lista2"/>
      </w:pPr>
      <w:r>
        <w:t xml:space="preserve">gridlike partitions </w:t>
      </w:r>
      <w:r>
        <w:rPr>
          <w:noProof/>
        </w:rPr>
        <w:t>(</w:t>
      </w:r>
      <w:r>
        <w:t>§</w:t>
      </w:r>
      <w:r>
        <w:fldChar w:fldCharType="begin"/>
      </w:r>
      <w:r>
        <w:instrText xml:space="preserve"> REF _Ref43984651 \w \h  \* MERGEFORMAT </w:instrText>
      </w:r>
      <w:r>
        <w:fldChar w:fldCharType="separate"/>
      </w:r>
      <w:r>
        <w:t>4.6</w:t>
      </w:r>
      <w:r>
        <w:fldChar w:fldCharType="end"/>
      </w:r>
      <w:r>
        <w:t xml:space="preserve">) </w:t>
      </w:r>
    </w:p>
    <w:p>
      <w:pPr>
        <w:pStyle w:val="Lista2"/>
      </w:pPr>
      <w:r>
        <w:t>offset opening and closing lines (§</w:t>
      </w:r>
      <w:r>
        <w:fldChar w:fldCharType="begin"/>
      </w:r>
      <w:r>
        <w:instrText xml:space="preserve"> REF _Ref225779703 \r \h </w:instrText>
      </w:r>
      <w:r>
        <w:fldChar w:fldCharType="separate"/>
      </w:r>
      <w:r>
        <w:t>4.7.1</w:t>
      </w:r>
      <w:r>
        <w:fldChar w:fldCharType="end"/>
      </w:r>
      <w:r>
        <w:t>)</w:t>
      </w:r>
    </w:p>
    <w:p>
      <w:pPr>
        <w:pStyle w:val="Lista2"/>
      </w:pPr>
      <w:r>
        <w:t xml:space="preserve">forme work </w:t>
      </w:r>
      <w:r>
        <w:rPr>
          <w:noProof/>
        </w:rPr>
        <w:t>(</w:t>
      </w:r>
      <w:r>
        <w:t>§</w:t>
      </w:r>
      <w:r>
        <w:fldChar w:fldCharType="begin"/>
      </w:r>
      <w:r>
        <w:instrText xml:space="preserve"> REF _Ref43984607 \w \h  \* MERGEFORMAT </w:instrText>
      </w:r>
      <w:r>
        <w:fldChar w:fldCharType="separate"/>
      </w:r>
      <w:r>
        <w:t>4.7.2</w:t>
      </w:r>
      <w:r>
        <w:fldChar w:fldCharType="end"/>
      </w:r>
      <w:r>
        <w:t>)</w:t>
      </w:r>
    </w:p>
    <w:p>
      <w:pPr>
        <w:pStyle w:val="Lista2"/>
      </w:pPr>
      <w:r>
        <w:t>line beginnings (correspondence to which can be encoded as per §</w:t>
      </w:r>
      <w:r>
        <w:rPr>
          <w:lang w:eastAsia="en-US" w:bidi="ar-SA"/>
        </w:rPr>
        <w:fldChar w:fldCharType="begin"/>
      </w:r>
      <w:r>
        <w:rPr>
          <w:lang w:eastAsia="en-US" w:bidi="ar-SA"/>
        </w:rPr>
        <w:instrText xml:space="preserve"> REF _Ref182309743 \r \h </w:instrText>
      </w:r>
      <w:r>
        <w:rPr>
          <w:lang w:eastAsia="en-US" w:bidi="ar-SA"/>
        </w:rPr>
      </w:r>
      <w:r>
        <w:rPr>
          <w:lang w:eastAsia="en-US" w:bidi="ar-SA"/>
        </w:rPr>
        <w:fldChar w:fldCharType="separate"/>
      </w:r>
      <w:r>
        <w:rPr>
          <w:lang w:eastAsia="en-US" w:bidi="ar-SA"/>
        </w:rPr>
        <w:t>11.3</w:t>
      </w:r>
      <w:r>
        <w:rPr>
          <w:lang w:eastAsia="en-US" w:bidi="ar-SA"/>
        </w:rPr>
        <w:fldChar w:fldCharType="end"/>
      </w:r>
      <w:r>
        <w:rPr>
          <w:lang w:eastAsia="en-US" w:bidi="ar-SA"/>
        </w:rPr>
        <w:t>)</w:t>
      </w:r>
    </w:p>
    <w:p>
      <w:pPr>
        <w:pStyle w:val="Cmsor3"/>
      </w:pPr>
      <w:bookmarkStart w:id="783" w:name="_Ref233792737"/>
      <w:bookmarkStart w:id="784" w:name="_Toc242976694"/>
      <w:r>
        <w:t>Reflecting intrinsic structure in the translation</w:t>
      </w:r>
      <w:bookmarkEnd w:id="783"/>
      <w:bookmarkEnd w:id="784"/>
    </w:p>
    <w:p>
      <w:pPr>
        <w:rPr>
          <w:lang w:eastAsia="en-US" w:bidi="ar-SA"/>
        </w:rPr>
      </w:pPr>
      <w:r>
        <w:rPr>
          <w:lang w:eastAsia="en-US" w:bidi="ar-SA"/>
        </w:rPr>
        <w:t>The translation should be structured by block-level containers in a manner resembling the intrinsic structure of the source as far as feasible.</w:t>
      </w:r>
    </w:p>
    <w:p>
      <w:pPr>
        <w:pStyle w:val="Lista"/>
      </w:pPr>
      <w:r>
        <w:t>the basic block-level container for translated text is the paragraph (</w:t>
      </w:r>
      <w:r>
        <w:rPr>
          <w:rStyle w:val="Code"/>
        </w:rPr>
        <w:t>&lt;p&gt;</w:t>
      </w:r>
      <w:r>
        <w:t xml:space="preserve"> element) </w:t>
      </w:r>
    </w:p>
    <w:p>
      <w:pPr>
        <w:pStyle w:val="Lista2"/>
      </w:pPr>
      <w:r>
        <w:t xml:space="preserve">other block-level containers in the edition (viz. </w:t>
      </w:r>
      <w:r>
        <w:rPr>
          <w:rStyle w:val="Code"/>
        </w:rPr>
        <w:t>&lt;ab&gt;</w:t>
      </w:r>
      <w:r>
        <w:t xml:space="preserve"> and </w:t>
      </w:r>
      <w:r>
        <w:rPr>
          <w:rStyle w:val="Code"/>
        </w:rPr>
        <w:t>&lt;lg&gt;</w:t>
      </w:r>
      <w:r>
        <w:t xml:space="preserve">) shall be rendered as </w:t>
      </w:r>
      <w:r>
        <w:rPr>
          <w:rStyle w:val="Code"/>
        </w:rPr>
        <w:t>&lt;p&gt;</w:t>
      </w:r>
      <w:r>
        <w:t xml:space="preserve"> elements in the translation</w:t>
      </w:r>
    </w:p>
    <w:p>
      <w:pPr>
        <w:pStyle w:val="Lista2"/>
      </w:pPr>
      <w:r>
        <w:t xml:space="preserve">for paragraphs translating verse, add the attribute </w:t>
      </w:r>
      <w:r>
        <w:rPr>
          <w:rStyle w:val="Codeattribute"/>
        </w:rPr>
        <w:t>@rend</w:t>
      </w:r>
      <w:r>
        <w:t xml:space="preserve"> with the value </w:t>
      </w:r>
      <w:r>
        <w:rPr>
          <w:rStyle w:val="Codevalue"/>
        </w:rPr>
        <w:t>"stanza"</w:t>
      </w:r>
      <w:r>
        <w:t xml:space="preserve"> to the </w:t>
      </w:r>
      <w:r>
        <w:rPr>
          <w:rStyle w:val="Code"/>
        </w:rPr>
        <w:t>&lt;p&gt;</w:t>
      </w:r>
      <w:r>
        <w:t xml:space="preserve"> element</w:t>
      </w:r>
    </w:p>
    <w:p>
      <w:pPr>
        <w:pStyle w:val="Lista"/>
      </w:pPr>
      <w:r>
        <w:t xml:space="preserve">normally, each and every block-level container of the edition (i.e. </w:t>
      </w:r>
      <w:r>
        <w:rPr>
          <w:rStyle w:val="Code"/>
        </w:rPr>
        <w:t>&lt;p&gt;</w:t>
      </w:r>
      <w:r>
        <w:t xml:space="preserve">, </w:t>
      </w:r>
      <w:r>
        <w:rPr>
          <w:rStyle w:val="Code"/>
        </w:rPr>
        <w:t>&lt;ab&gt;</w:t>
      </w:r>
      <w:r>
        <w:t xml:space="preserve"> and </w:t>
      </w:r>
      <w:r>
        <w:rPr>
          <w:rStyle w:val="Code"/>
        </w:rPr>
        <w:t>&lt;lg&gt;</w:t>
      </w:r>
      <w:r>
        <w:t xml:space="preserve">) should have exactly one corresponding </w:t>
      </w:r>
      <w:r>
        <w:rPr>
          <w:rStyle w:val="Code"/>
        </w:rPr>
        <w:t>&lt;p&gt;</w:t>
      </w:r>
      <w:r>
        <w:t xml:space="preserve"> element in the translation</w:t>
      </w:r>
    </w:p>
    <w:p>
      <w:pPr>
        <w:pStyle w:val="Lista2"/>
      </w:pPr>
      <w:r>
        <w:t>however, feel free to use more or fewer containers at your discretion</w:t>
      </w:r>
    </w:p>
    <w:p>
      <w:pPr>
        <w:pStyle w:val="Lista2"/>
      </w:pPr>
      <w:r>
        <w:t>should the intelligibility of the translation demand it, feel free to translate items in a different order than that in which they appear in the original</w:t>
      </w:r>
    </w:p>
    <w:p>
      <w:pPr>
        <w:pStyle w:val="Lista"/>
      </w:pPr>
      <w:r>
        <w:t>finer structural divisions may be encoded in the translation as follows</w:t>
      </w:r>
    </w:p>
    <w:p>
      <w:pPr>
        <w:pStyle w:val="Lista2"/>
      </w:pPr>
      <w:r>
        <w:t xml:space="preserve">if you translate verse line by line, optionally wrap each translated line in an </w:t>
      </w:r>
      <w:r>
        <w:rPr>
          <w:rStyle w:val="Code"/>
        </w:rPr>
        <w:t>&lt;l&gt;</w:t>
      </w:r>
      <w:r>
        <w:t xml:space="preserve"> element within the </w:t>
      </w:r>
      <w:r>
        <w:rPr>
          <w:rStyle w:val="Code"/>
        </w:rPr>
        <w:t>&lt;p&gt;</w:t>
      </w:r>
      <w:r>
        <w:t xml:space="preserve"> element corresponding to a stanza as per §</w:t>
      </w:r>
      <w:r>
        <w:fldChar w:fldCharType="begin"/>
      </w:r>
      <w:r>
        <w:instrText xml:space="preserve"> REF _Ref233988137 \r \h </w:instrText>
      </w:r>
      <w:r>
        <w:fldChar w:fldCharType="separate"/>
      </w:r>
      <w:r>
        <w:t>14.3.2.2</w:t>
      </w:r>
      <w:r>
        <w:fldChar w:fldCharType="end"/>
      </w:r>
      <w:r>
        <w:t xml:space="preserve"> </w:t>
      </w:r>
    </w:p>
    <w:p>
      <w:pPr>
        <w:pStyle w:val="Lista2"/>
      </w:pPr>
      <w:r>
        <w:t xml:space="preserve">if a paragraph of the original text is, or contains, a list (such as a list of donees or boundaries), optionally use a </w:t>
      </w:r>
      <w:r>
        <w:rPr>
          <w:rStyle w:val="Code"/>
        </w:rPr>
        <w:t>&lt;list&gt;</w:t>
      </w:r>
      <w:r>
        <w:t xml:space="preserve"> element with </w:t>
      </w:r>
      <w:r>
        <w:rPr>
          <w:rStyle w:val="Code"/>
        </w:rPr>
        <w:t>&lt;item&gt;</w:t>
      </w:r>
      <w:r>
        <w:t xml:space="preserve">s within the corresponding </w:t>
      </w:r>
      <w:r>
        <w:rPr>
          <w:rStyle w:val="Code"/>
        </w:rPr>
        <w:t>&lt;p&gt;</w:t>
      </w:r>
      <w:r>
        <w:t xml:space="preserve"> element of your translation as described in §</w:t>
      </w:r>
      <w:r>
        <w:fldChar w:fldCharType="begin"/>
      </w:r>
      <w:r>
        <w:instrText xml:space="preserve"> REF _Ref56419954 \r \h </w:instrText>
      </w:r>
      <w:r>
        <w:fldChar w:fldCharType="separate"/>
      </w:r>
      <w:r>
        <w:t>14.2.4</w:t>
      </w:r>
      <w:r>
        <w:fldChar w:fldCharType="end"/>
      </w:r>
    </w:p>
    <w:p>
      <w:pPr>
        <w:pStyle w:val="Lista3"/>
      </w:pPr>
      <w:r>
        <w:t>you may encode a list in the translation even if a corresponding list is not encoded in the edition and you may choose to translate a list encoded in the edition with running prose</w:t>
      </w:r>
    </w:p>
    <w:p>
      <w:pPr>
        <w:pStyle w:val="Cmsor3"/>
      </w:pPr>
      <w:bookmarkStart w:id="785" w:name="_tofxidp3cso" w:colFirst="0" w:colLast="0"/>
      <w:bookmarkStart w:id="786" w:name="_Ref43989787"/>
      <w:bookmarkStart w:id="787" w:name="_Ref151372539"/>
      <w:bookmarkStart w:id="788" w:name="_Ref43990179"/>
      <w:bookmarkStart w:id="789" w:name="_Toc242976695"/>
      <w:bookmarkEnd w:id="785"/>
      <w:r>
        <w:lastRenderedPageBreak/>
        <w:t>Headings in translation</w:t>
      </w:r>
      <w:bookmarkEnd w:id="786"/>
      <w:r>
        <w:t>s</w:t>
      </w:r>
      <w:bookmarkEnd w:id="787"/>
      <w:bookmarkEnd w:id="789"/>
    </w:p>
    <w:p>
      <w:pPr>
        <w:pStyle w:val="Lista"/>
      </w:pPr>
      <w:r>
        <w:t xml:space="preserve">headings for translations as a whole will be generated automatically on the basis of the </w:t>
      </w:r>
      <w:r>
        <w:rPr>
          <w:rStyle w:val="Codeattribute"/>
        </w:rPr>
        <w:t>@xml:lang</w:t>
      </w:r>
      <w:r>
        <w:t xml:space="preserve"> and </w:t>
      </w:r>
      <w:r>
        <w:rPr>
          <w:rStyle w:val="Codeattribute"/>
        </w:rPr>
        <w:t>@source</w:t>
      </w:r>
      <w:r>
        <w:t xml:space="preserve"> or </w:t>
      </w:r>
      <w:r>
        <w:rPr>
          <w:rStyle w:val="Codeattribute"/>
        </w:rPr>
        <w:t>@resp</w:t>
      </w:r>
      <w:r>
        <w:t xml:space="preserve"> attributes of the translation division</w:t>
      </w:r>
    </w:p>
    <w:p>
      <w:pPr>
        <w:pStyle w:val="Lista2"/>
      </w:pPr>
      <w:r>
        <w:t>containing the language of the translation if it is encoded</w:t>
      </w:r>
    </w:p>
    <w:p>
      <w:pPr>
        <w:pStyle w:val="Lista2"/>
      </w:pPr>
      <w:r>
        <w:t>containing the author of the translation unless it is identical to the creator of the edition (§</w:t>
      </w:r>
      <w:r>
        <w:fldChar w:fldCharType="begin"/>
      </w:r>
      <w:r>
        <w:instrText xml:space="preserve"> REF _Ref239687105 \r \h </w:instrText>
      </w:r>
      <w:r>
        <w:fldChar w:fldCharType="separate"/>
      </w:r>
      <w:r>
        <w:t>15.1.2.1</w:t>
      </w:r>
      <w:r>
        <w:fldChar w:fldCharType="end"/>
      </w:r>
      <w:r>
        <w:t>)</w:t>
      </w:r>
    </w:p>
    <w:p>
      <w:pPr>
        <w:pStyle w:val="Lista"/>
      </w:pPr>
      <w:r>
        <w:t>if this basic header is insufficient, you may optionally create a custom heading for the translation as a hole</w:t>
      </w:r>
    </w:p>
    <w:p>
      <w:pPr>
        <w:pStyle w:val="Lista2"/>
      </w:pPr>
      <w:r>
        <w:t xml:space="preserve">to do so, include the element </w:t>
      </w:r>
      <w:r>
        <w:rPr>
          <w:rStyle w:val="Code"/>
        </w:rPr>
        <w:t>&lt;head&gt;</w:t>
      </w:r>
      <w:r>
        <w:t xml:space="preserve"> as the first item within </w:t>
      </w:r>
      <w:r>
        <w:rPr>
          <w:rStyle w:val="Code"/>
        </w:rPr>
        <w:t xml:space="preserve">&lt;div </w:t>
      </w:r>
      <w:r>
        <w:rPr>
          <w:rStyle w:val="Codeattribute"/>
        </w:rPr>
        <w:t>type</w:t>
      </w:r>
      <w:r>
        <w:rPr>
          <w:rStyle w:val="Code"/>
        </w:rPr>
        <w:t>=</w:t>
      </w:r>
      <w:r>
        <w:rPr>
          <w:rStyle w:val="Codevalue"/>
        </w:rPr>
        <w:t>"translation"</w:t>
      </w:r>
      <w:r>
        <w:rPr>
          <w:rStyle w:val="Code"/>
        </w:rPr>
        <w:t>&gt;</w:t>
      </w:r>
    </w:p>
    <w:p>
      <w:pPr>
        <w:pStyle w:val="Lista3"/>
      </w:pPr>
      <w:r>
        <w:t>containing free text that is to be displayed as a heading above the translation</w:t>
      </w:r>
    </w:p>
    <w:p>
      <w:pPr>
        <w:pStyle w:val="Lista2"/>
      </w:pPr>
      <w:r>
        <w:t>such headings, if present, will replace the auto-generated heading, so it is recommended that you include the word “Translation” and a specification of the target language</w:t>
      </w:r>
    </w:p>
    <w:p>
      <w:pPr>
        <w:pStyle w:val="Lista"/>
      </w:pPr>
      <w:r>
        <w:t>when textparts (§</w:t>
      </w:r>
      <w:r>
        <w:fldChar w:fldCharType="begin"/>
      </w:r>
      <w:r>
        <w:instrText xml:space="preserve"> REF _Ref233277694 \r \h </w:instrText>
      </w:r>
      <w:r>
        <w:fldChar w:fldCharType="separate"/>
      </w:r>
      <w:r>
        <w:t>11.1.1</w:t>
      </w:r>
      <w:r>
        <w:fldChar w:fldCharType="end"/>
      </w:r>
      <w:r>
        <w:t>) or elements representing extrinsic structure (§</w:t>
      </w:r>
      <w:r>
        <w:fldChar w:fldCharType="begin"/>
      </w:r>
      <w:r>
        <w:instrText xml:space="preserve"> REF _Ref233279561 \r \h </w:instrText>
      </w:r>
      <w:r>
        <w:fldChar w:fldCharType="separate"/>
      </w:r>
      <w:r>
        <w:t>11.2.1</w:t>
      </w:r>
      <w:r>
        <w:fldChar w:fldCharType="end"/>
      </w:r>
      <w:r>
        <w:t xml:space="preserve">) are encoded in the translation, headings will be automatically generated from their attribute values or their </w:t>
      </w:r>
      <w:r>
        <w:rPr>
          <w:rStyle w:val="Code"/>
        </w:rPr>
        <w:t>&lt;head&gt;</w:t>
      </w:r>
      <w:r>
        <w:t xml:space="preserve"> or </w:t>
      </w:r>
      <w:r>
        <w:rPr>
          <w:rStyle w:val="Code"/>
        </w:rPr>
        <w:t>&lt;label&gt;</w:t>
      </w:r>
      <w:r>
        <w:t xml:space="preserve"> elements as in the edition</w:t>
      </w:r>
    </w:p>
    <w:p>
      <w:pPr>
        <w:pStyle w:val="Lista"/>
      </w:pPr>
      <w:r>
        <w:t xml:space="preserve">to add secondary headings to segments of a translation that do not correspond to a structural part of the edition, you may use the </w:t>
      </w:r>
      <w:r>
        <w:rPr>
          <w:rStyle w:val="Code"/>
        </w:rPr>
        <w:t>&lt;label&gt;</w:t>
      </w:r>
      <w:r>
        <w:t xml:space="preserve"> element at any arbitrary point between two </w:t>
      </w:r>
      <w:r>
        <w:rPr>
          <w:rStyle w:val="Code"/>
        </w:rPr>
        <w:t>&lt;p&gt;</w:t>
      </w:r>
      <w:r>
        <w:t xml:space="preserve"> elements</w:t>
      </w:r>
    </w:p>
    <w:p>
      <w:pPr>
        <w:pStyle w:val="Lista2"/>
      </w:pPr>
      <w:r>
        <w:t>these will be displayed as headings</w:t>
      </w:r>
    </w:p>
    <w:p>
      <w:pPr>
        <w:pStyle w:val="Lista2"/>
      </w:pPr>
      <w:r>
        <w:t xml:space="preserve">the attribute </w:t>
      </w:r>
      <w:r>
        <w:rPr>
          <w:rStyle w:val="Codeattribute"/>
        </w:rPr>
        <w:t>@xml:lang</w:t>
      </w:r>
      <w:r>
        <w:t xml:space="preserve"> should only be added to this </w:t>
      </w:r>
      <w:r>
        <w:rPr>
          <w:rStyle w:val="Code"/>
        </w:rPr>
        <w:t>&lt;label&gt;</w:t>
      </w:r>
      <w:r>
        <w:t xml:space="preserve"> element if the label is in a different language than that of translation as a whole</w:t>
      </w:r>
    </w:p>
    <w:p>
      <w:pPr>
        <w:pStyle w:val="Cmsor2"/>
      </w:pPr>
      <w:bookmarkStart w:id="790" w:name="_Ref182309743"/>
      <w:r>
        <w:t xml:space="preserve">Indicating correspondence to the </w:t>
      </w:r>
      <w:bookmarkEnd w:id="788"/>
      <w:bookmarkEnd w:id="790"/>
      <w:r>
        <w:t>source</w:t>
      </w:r>
    </w:p>
    <w:p>
      <w:pPr>
        <w:rPr>
          <w:lang w:eastAsia="en-US" w:bidi="ar-SA"/>
        </w:rPr>
      </w:pPr>
      <w:r>
        <w:rPr>
          <w:lang w:eastAsia="en-US" w:bidi="ar-SA"/>
        </w:rPr>
        <w:t xml:space="preserve">Correspondence of segments of the translation to the source document shall normally be indicated in a loose, human-readable manner using the </w:t>
      </w:r>
      <w:r>
        <w:t xml:space="preserve">attribute </w:t>
      </w:r>
      <w:r>
        <w:rPr>
          <w:rStyle w:val="Codeattribute"/>
        </w:rPr>
        <w:t>@n</w:t>
      </w:r>
      <w:r>
        <w:t xml:space="preserve"> </w:t>
      </w:r>
      <w:r>
        <w:rPr>
          <w:lang w:eastAsia="en-US" w:bidi="ar-SA"/>
        </w:rPr>
        <w:t xml:space="preserve">on the </w:t>
      </w:r>
      <w:r>
        <w:rPr>
          <w:rStyle w:val="Code"/>
        </w:rPr>
        <w:t>&lt;p&gt;</w:t>
      </w:r>
      <w:r>
        <w:t xml:space="preserve"> elements of the translation as follows</w:t>
      </w:r>
      <w:r>
        <w:rPr>
          <w:lang w:eastAsia="en-US" w:bidi="ar-SA"/>
        </w:rPr>
        <w:t>.</w:t>
      </w:r>
    </w:p>
    <w:p>
      <w:pPr>
        <w:pStyle w:val="Lista"/>
      </w:pPr>
      <w:r>
        <w:t>in short texts best translated as a single paragraph of prose, you may choose at your discretion to omit numbering</w:t>
      </w:r>
    </w:p>
    <w:p>
      <w:pPr>
        <w:pStyle w:val="Lista"/>
      </w:pPr>
      <w:r>
        <w:t xml:space="preserve">for </w:t>
      </w:r>
      <w:r>
        <w:rPr>
          <w:rStyle w:val="Code"/>
        </w:rPr>
        <w:t>&lt;p&gt;</w:t>
      </w:r>
      <w:r>
        <w:t xml:space="preserve"> elements translating prose (i.e. corresponding to </w:t>
      </w:r>
      <w:r>
        <w:rPr>
          <w:rStyle w:val="Code"/>
        </w:rPr>
        <w:t>&lt;p&gt;</w:t>
      </w:r>
      <w:r>
        <w:t xml:space="preserve"> or </w:t>
      </w:r>
      <w:r>
        <w:rPr>
          <w:rStyle w:val="Code"/>
        </w:rPr>
        <w:t>&lt;ab&gt;</w:t>
      </w:r>
      <w:r>
        <w:t xml:space="preserve"> elements in the source), the value of </w:t>
      </w:r>
      <w:r>
        <w:rPr>
          <w:rStyle w:val="Codeattribute"/>
        </w:rPr>
        <w:t>@n</w:t>
      </w:r>
      <w:r>
        <w:t xml:space="preserve"> shall indicate line numbers, i.e. reflect the value(s) of </w:t>
      </w:r>
      <w:r>
        <w:rPr>
          <w:rStyle w:val="Codeattribute"/>
        </w:rPr>
        <w:t>@n</w:t>
      </w:r>
      <w:r>
        <w:t xml:space="preserve"> on the </w:t>
      </w:r>
      <w:r>
        <w:rPr>
          <w:rStyle w:val="Code"/>
        </w:rPr>
        <w:t>&lt;lb/&gt;</w:t>
      </w:r>
      <w:r>
        <w:t xml:space="preserve"> element(s) of the corresponding line(s) in the original </w:t>
      </w:r>
    </w:p>
    <w:p>
      <w:pPr>
        <w:pStyle w:val="Lista2"/>
      </w:pPr>
      <w:r>
        <w:t>these numbers will be displayed as inline labels in the translation</w:t>
      </w:r>
    </w:p>
    <w:p>
      <w:pPr>
        <w:pStyle w:val="Lista"/>
      </w:pPr>
      <w:r>
        <w:t xml:space="preserve">for </w:t>
      </w:r>
      <w:r>
        <w:rPr>
          <w:rStyle w:val="Code"/>
        </w:rPr>
        <w:t>&lt;p&gt;</w:t>
      </w:r>
      <w:r>
        <w:t xml:space="preserve"> elements translating verse (i.e. corresponding to </w:t>
      </w:r>
      <w:r>
        <w:rPr>
          <w:rStyle w:val="Code"/>
        </w:rPr>
        <w:t>&lt;lg&gt;</w:t>
      </w:r>
      <w:r>
        <w:t xml:space="preserve"> elements in the source), the value of </w:t>
      </w:r>
      <w:r>
        <w:rPr>
          <w:rStyle w:val="Codeattribute"/>
        </w:rPr>
        <w:t>@n</w:t>
      </w:r>
      <w:r>
        <w:t xml:space="preserve"> shall indicate stanza numbers, i.e. reflect the value(s) of </w:t>
      </w:r>
      <w:r>
        <w:rPr>
          <w:rStyle w:val="Codeattribute"/>
        </w:rPr>
        <w:t>@n</w:t>
      </w:r>
      <w:r>
        <w:t xml:space="preserve"> on the </w:t>
      </w:r>
      <w:r>
        <w:rPr>
          <w:rStyle w:val="Code"/>
        </w:rPr>
        <w:t>&lt;lg/&gt;</w:t>
      </w:r>
      <w:r>
        <w:t xml:space="preserve"> element(s) of the corresponding stanza(s) in the original</w:t>
      </w:r>
    </w:p>
    <w:p>
      <w:pPr>
        <w:pStyle w:val="Lista2"/>
      </w:pPr>
      <w:r>
        <w:t xml:space="preserve">these numbers, distinguishable to the processing algorithm by the presence of </w:t>
      </w:r>
      <w:r>
        <w:rPr>
          <w:rStyle w:val="Codeattribute"/>
        </w:rPr>
        <w:t>@rend</w:t>
      </w:r>
      <w:r>
        <w:rPr>
          <w:rStyle w:val="Codetext"/>
        </w:rPr>
        <w:t>=</w:t>
      </w:r>
      <w:r>
        <w:rPr>
          <w:rStyle w:val="Codevalue"/>
        </w:rPr>
        <w:t>"stanza"</w:t>
      </w:r>
      <w:r>
        <w:t xml:space="preserve"> on the </w:t>
      </w:r>
      <w:r>
        <w:rPr>
          <w:rStyle w:val="Code"/>
        </w:rPr>
        <w:t>&lt;p&gt;</w:t>
      </w:r>
      <w:r>
        <w:t xml:space="preserve"> elements, will be shown in display as a heading for a numbered stanza</w:t>
      </w:r>
    </w:p>
    <w:p>
      <w:pPr>
        <w:pStyle w:val="Lista"/>
      </w:pPr>
      <w:r>
        <w:t xml:space="preserve">the acceptable values of </w:t>
      </w:r>
      <w:r>
        <w:rPr>
          <w:rStyle w:val="Codeattribute"/>
        </w:rPr>
        <w:t>@n</w:t>
      </w:r>
      <w:r>
        <w:t xml:space="preserve"> for both of the above are detailed in §</w:t>
      </w:r>
      <w:r>
        <w:fldChar w:fldCharType="begin"/>
      </w:r>
      <w:r>
        <w:instrText xml:space="preserve"> REF _Ref233620814 \r \h </w:instrText>
      </w:r>
      <w:r>
        <w:fldChar w:fldCharType="separate"/>
      </w:r>
      <w:r>
        <w:t>11.3.1</w:t>
      </w:r>
      <w:r>
        <w:fldChar w:fldCharType="end"/>
      </w:r>
      <w:r>
        <w:t xml:space="preserve"> and illustrated in </w:t>
      </w:r>
      <w:r>
        <w:fldChar w:fldCharType="begin"/>
      </w:r>
      <w:r>
        <w:instrText xml:space="preserve"> REF _Ref233282157 \h </w:instrText>
      </w:r>
      <w:r>
        <w:fldChar w:fldCharType="separate"/>
      </w:r>
      <w:r>
        <w:t xml:space="preserve">Exhibit </w:t>
      </w:r>
      <w:r>
        <w:rPr>
          <w:noProof/>
        </w:rPr>
        <w:t>11.3</w:t>
      </w:r>
      <w:r>
        <w:t>.</w:t>
      </w:r>
      <w:r>
        <w:rPr>
          <w:noProof/>
        </w:rPr>
        <w:t>A</w:t>
      </w:r>
      <w:r>
        <w:fldChar w:fldCharType="end"/>
      </w:r>
    </w:p>
    <w:p>
      <w:pPr>
        <w:pStyle w:val="Cmsor3"/>
      </w:pPr>
      <w:bookmarkStart w:id="791" w:name="_Ref233620814"/>
      <w:bookmarkStart w:id="792" w:name="_Toc242976696"/>
      <w:r>
        <w:t>Referring to lines and stanzas of the source</w:t>
      </w:r>
      <w:bookmarkEnd w:id="791"/>
      <w:bookmarkEnd w:id="792"/>
    </w:p>
    <w:p>
      <w:pPr>
        <w:rPr>
          <w:lang w:eastAsia="en-US" w:bidi="ar-SA"/>
        </w:rPr>
      </w:pPr>
      <w:r>
        <w:rPr>
          <w:lang w:eastAsia="en-US" w:bidi="ar-SA"/>
        </w:rPr>
        <w:t xml:space="preserve">When using </w:t>
      </w:r>
      <w:r>
        <w:rPr>
          <w:rStyle w:val="Codeattribute"/>
        </w:rPr>
        <w:t>@n</w:t>
      </w:r>
      <w:r>
        <w:t xml:space="preserve"> </w:t>
      </w:r>
      <w:r>
        <w:rPr>
          <w:lang w:eastAsia="en-US" w:bidi="ar-SA"/>
        </w:rPr>
        <w:t xml:space="preserve">on the </w:t>
      </w:r>
      <w:r>
        <w:rPr>
          <w:rStyle w:val="Code"/>
        </w:rPr>
        <w:t>&lt;p&gt;</w:t>
      </w:r>
      <w:r>
        <w:t xml:space="preserve"> elements of the translation to refer to line or stanza numbers of the source, all of the following variations are permitted.</w:t>
      </w:r>
    </w:p>
    <w:p>
      <w:pPr>
        <w:pStyle w:val="Lista"/>
      </w:pPr>
      <w:r>
        <w:t>single values, for a translation paragraph coterminous with or smaller than an epigraphic line or stanza of the source, e.g.</w:t>
      </w:r>
    </w:p>
    <w:p>
      <w:pPr>
        <w:pStyle w:val="Lista2"/>
      </w:pPr>
      <w:r>
        <w:rPr>
          <w:rStyle w:val="Code"/>
        </w:rPr>
        <w:t xml:space="preserve">&lt;p </w:t>
      </w:r>
      <w:r>
        <w:rPr>
          <w:rStyle w:val="Codeattribute"/>
        </w:rPr>
        <w:t>n</w:t>
      </w:r>
      <w:r>
        <w:rPr>
          <w:rStyle w:val="Codetext"/>
        </w:rPr>
        <w:t>=</w:t>
      </w:r>
      <w:r>
        <w:rPr>
          <w:rStyle w:val="Codevalue"/>
        </w:rPr>
        <w:t>"1"</w:t>
      </w:r>
      <w:r>
        <w:rPr>
          <w:rStyle w:val="Code"/>
        </w:rPr>
        <w:t>&gt;</w:t>
      </w:r>
      <w:r>
        <w:t xml:space="preserve"> a paragraph translating prose that begins and ends within line 1 (without necessarily taking up all of line 1)</w:t>
      </w:r>
    </w:p>
    <w:p>
      <w:pPr>
        <w:pStyle w:val="Lista2"/>
      </w:pPr>
      <w:r>
        <w:rPr>
          <w:rStyle w:val="Code"/>
        </w:rPr>
        <w:t xml:space="preserve">&lt;p </w:t>
      </w:r>
      <w:r>
        <w:rPr>
          <w:rStyle w:val="Codeattribute"/>
        </w:rPr>
        <w:t>rend</w:t>
      </w:r>
      <w:r>
        <w:rPr>
          <w:rStyle w:val="Codetext"/>
        </w:rPr>
        <w:t>=</w:t>
      </w:r>
      <w:r>
        <w:rPr>
          <w:rStyle w:val="Codevalue"/>
        </w:rPr>
        <w:t>"stanza"</w:t>
      </w:r>
      <w:r>
        <w:rPr>
          <w:rStyle w:val="Code"/>
        </w:rPr>
        <w:t xml:space="preserve"> </w:t>
      </w:r>
      <w:r>
        <w:rPr>
          <w:rStyle w:val="Codeattribute"/>
        </w:rPr>
        <w:t>n</w:t>
      </w:r>
      <w:r>
        <w:rPr>
          <w:rStyle w:val="Codetext"/>
        </w:rPr>
        <w:t>=</w:t>
      </w:r>
      <w:r>
        <w:rPr>
          <w:rStyle w:val="Codevalue"/>
        </w:rPr>
        <w:t>"6"</w:t>
      </w:r>
      <w:r>
        <w:rPr>
          <w:rStyle w:val="Code"/>
        </w:rPr>
        <w:t>&gt;</w:t>
      </w:r>
      <w:r>
        <w:t xml:space="preserve"> a paragraph translating verse that begins and ends within stanza 6 (usually, but not necessarily, taking up all of stanza 6)</w:t>
      </w:r>
    </w:p>
    <w:p>
      <w:pPr>
        <w:pStyle w:val="Lista"/>
      </w:pPr>
      <w:r>
        <w:t>a range of values separated by a hyphen, for a translation paragraph corresponding to text that begins in one line or stanza and ends in a different, subsequent line or stanza, e.g.</w:t>
      </w:r>
    </w:p>
    <w:p>
      <w:pPr>
        <w:pStyle w:val="Lista2"/>
      </w:pPr>
      <w:r>
        <w:rPr>
          <w:rStyle w:val="Code"/>
        </w:rPr>
        <w:t xml:space="preserve">&lt;p </w:t>
      </w:r>
      <w:r>
        <w:rPr>
          <w:rStyle w:val="Codeattribute"/>
        </w:rPr>
        <w:t>n</w:t>
      </w:r>
      <w:r>
        <w:rPr>
          <w:rStyle w:val="Codetext"/>
        </w:rPr>
        <w:t>=</w:t>
      </w:r>
      <w:r>
        <w:rPr>
          <w:rStyle w:val="Codevalue"/>
        </w:rPr>
        <w:t>"1-3"</w:t>
      </w:r>
      <w:r>
        <w:rPr>
          <w:rStyle w:val="Code"/>
        </w:rPr>
        <w:t>&gt;</w:t>
      </w:r>
      <w:r>
        <w:t xml:space="preserve"> a paragraph translating prose located in lines 1 to 3 (not necessarily from the beginning of line 1 to the end of line 3)</w:t>
      </w:r>
    </w:p>
    <w:p>
      <w:pPr>
        <w:pStyle w:val="Lista2"/>
      </w:pPr>
      <w:r>
        <w:rPr>
          <w:rStyle w:val="Code"/>
        </w:rPr>
        <w:lastRenderedPageBreak/>
        <w:t xml:space="preserve">&lt;p </w:t>
      </w:r>
      <w:r>
        <w:rPr>
          <w:rStyle w:val="Codeattribute"/>
        </w:rPr>
        <w:t>rend</w:t>
      </w:r>
      <w:r>
        <w:rPr>
          <w:rStyle w:val="Codetext"/>
        </w:rPr>
        <w:t>=</w:t>
      </w:r>
      <w:r>
        <w:rPr>
          <w:rStyle w:val="Codevalue"/>
        </w:rPr>
        <w:t>"stanza"</w:t>
      </w:r>
      <w:r>
        <w:rPr>
          <w:rStyle w:val="Code"/>
        </w:rPr>
        <w:t xml:space="preserve"> </w:t>
      </w:r>
      <w:r>
        <w:rPr>
          <w:rStyle w:val="Codeattribute"/>
        </w:rPr>
        <w:t>n</w:t>
      </w:r>
      <w:r>
        <w:rPr>
          <w:rStyle w:val="Codetext"/>
        </w:rPr>
        <w:t>=</w:t>
      </w:r>
      <w:r>
        <w:rPr>
          <w:rStyle w:val="Codevalue"/>
        </w:rPr>
        <w:t>"8-9"</w:t>
      </w:r>
      <w:r>
        <w:rPr>
          <w:rStyle w:val="Code"/>
        </w:rPr>
        <w:t>&gt;</w:t>
      </w:r>
      <w:r>
        <w:t xml:space="preserve"> a single paragraph translating verse that begins in stanza 8 and ends in stanza 9 (usually, but not necessarily, corresponding to the full text of both stanzas)</w:t>
      </w:r>
    </w:p>
    <w:p>
      <w:pPr>
        <w:pStyle w:val="Lista"/>
      </w:pPr>
      <w:r>
        <w:t>a set of values delimited by commas and spaces, for a translation paragraph corresponding to text found in two or more non-contiguous lines or stanzas of the source, e.g.</w:t>
      </w:r>
    </w:p>
    <w:p>
      <w:pPr>
        <w:pStyle w:val="Lista2"/>
      </w:pPr>
      <w:r>
        <w:rPr>
          <w:rStyle w:val="Code"/>
        </w:rPr>
        <w:t xml:space="preserve">&lt;p </w:t>
      </w:r>
      <w:r>
        <w:rPr>
          <w:rStyle w:val="Codeattribute"/>
        </w:rPr>
        <w:t>n</w:t>
      </w:r>
      <w:r>
        <w:rPr>
          <w:rStyle w:val="Codetext"/>
        </w:rPr>
        <w:t>=</w:t>
      </w:r>
      <w:r>
        <w:rPr>
          <w:rStyle w:val="Codevalue"/>
        </w:rPr>
        <w:t>"1, 3"</w:t>
      </w:r>
      <w:r>
        <w:rPr>
          <w:rStyle w:val="Code"/>
        </w:rPr>
        <w:t>&gt;</w:t>
      </w:r>
      <w:r>
        <w:t xml:space="preserve"> a paragraph translating prose from lines 1 and 3 </w:t>
      </w:r>
      <w:r>
        <w:rPr>
          <w:noProof/>
        </w:rPr>
        <w:t>(</w:t>
      </w:r>
      <w:r>
        <w:t>but not 2)</w:t>
      </w:r>
    </w:p>
    <w:p>
      <w:pPr>
        <w:pStyle w:val="Lista2"/>
      </w:pPr>
      <w:r>
        <w:rPr>
          <w:rStyle w:val="Code"/>
        </w:rPr>
        <w:t xml:space="preserve">&lt;p </w:t>
      </w:r>
      <w:r>
        <w:rPr>
          <w:rStyle w:val="Codeattribute"/>
        </w:rPr>
        <w:t>rend</w:t>
      </w:r>
      <w:r>
        <w:rPr>
          <w:rStyle w:val="Codetext"/>
        </w:rPr>
        <w:t>=</w:t>
      </w:r>
      <w:r>
        <w:rPr>
          <w:rStyle w:val="Codevalue"/>
        </w:rPr>
        <w:t>"stanza"</w:t>
      </w:r>
      <w:r>
        <w:rPr>
          <w:rStyle w:val="Code"/>
        </w:rPr>
        <w:t xml:space="preserve"> </w:t>
      </w:r>
      <w:r>
        <w:rPr>
          <w:rStyle w:val="Codeattribute"/>
        </w:rPr>
        <w:t>n</w:t>
      </w:r>
      <w:r>
        <w:rPr>
          <w:rStyle w:val="Codetext"/>
        </w:rPr>
        <w:t>=</w:t>
      </w:r>
      <w:r>
        <w:rPr>
          <w:rStyle w:val="Codevalue"/>
        </w:rPr>
        <w:t>"8, 10"</w:t>
      </w:r>
      <w:r>
        <w:rPr>
          <w:rStyle w:val="Code"/>
        </w:rPr>
        <w:t>&gt;</w:t>
      </w:r>
      <w:r>
        <w:t xml:space="preserve"> a paragraph translating </w:t>
      </w:r>
      <w:r>
        <w:rPr>
          <w:noProof/>
        </w:rPr>
        <w:t>(</w:t>
      </w:r>
      <w:r>
        <w:t>parts of) stanzas 8 and 10 together</w:t>
      </w:r>
    </w:p>
    <w:p>
      <w:pPr>
        <w:pStyle w:val="Lista"/>
      </w:pPr>
      <w:r>
        <w:t>all of these references are for human readers and are not meant to be machine-actionable, therefore</w:t>
      </w:r>
    </w:p>
    <w:p>
      <w:pPr>
        <w:pStyle w:val="Lista2"/>
      </w:pPr>
      <w:r>
        <w:t>feel free to refer to larger ranges of lines or to several stanzas for passages best translated in larger chunks</w:t>
      </w:r>
    </w:p>
    <w:p>
      <w:pPr>
        <w:pStyle w:val="Lista2"/>
      </w:pPr>
      <w:r>
        <w:t>feel free to refer to the same line or stanza number in several translation elements, each of which includes parts of a single line or stanza of the original</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793" w:name="_Ref233282157"/>
            <w:bookmarkStart w:id="794" w:name="_Ref233282153"/>
            <w:r>
              <w:t xml:space="preserve">Exhibit </w:t>
            </w:r>
            <w:fldSimple w:instr=" STYLEREF 2 \s ">
              <w:r>
                <w:rPr>
                  <w:noProof/>
                </w:rPr>
                <w:t>11.3</w:t>
              </w:r>
            </w:fldSimple>
            <w:r>
              <w:t>.</w:t>
            </w:r>
            <w:fldSimple w:instr=" SEQ Exhibit \* ALPHABETIC \s 2 ">
              <w:r>
                <w:rPr>
                  <w:noProof/>
                </w:rPr>
                <w:t>A</w:t>
              </w:r>
            </w:fldSimple>
            <w:bookmarkEnd w:id="793"/>
            <w:r>
              <w:t>: numbering in translation to indicate correspondence to the original</w:t>
            </w:r>
            <w:bookmarkEnd w:id="794"/>
          </w:p>
        </w:tc>
      </w:tr>
      <w:tr>
        <w:tc>
          <w:tcPr>
            <w:tcW w:w="5000" w:type="pct"/>
          </w:tcPr>
          <w:p>
            <w:pPr>
              <w:pStyle w:val="CodeParagraph"/>
            </w:pPr>
            <w:r>
              <w:rPr>
                <w:rStyle w:val="Code"/>
              </w:rPr>
              <w:t xml:space="preserve">&lt;div </w:t>
            </w:r>
            <w:r>
              <w:rPr>
                <w:rStyle w:val="Codeattribute"/>
              </w:rPr>
              <w:t>type</w:t>
            </w:r>
            <w:r>
              <w:rPr>
                <w:rStyle w:val="Code"/>
              </w:rPr>
              <w:t>=</w:t>
            </w:r>
            <w:r>
              <w:rPr>
                <w:rStyle w:val="Codevalue"/>
              </w:rPr>
              <w:t>"translation"</w:t>
            </w:r>
            <w:r>
              <w:rPr>
                <w:rStyle w:val="Code"/>
              </w:rPr>
              <w:t>&gt;</w:t>
            </w:r>
            <w:r>
              <w:rPr>
                <w:rStyle w:val="Codetext"/>
              </w:rPr>
              <w:br/>
              <w:t xml:space="preserve">  </w:t>
            </w:r>
            <w:r>
              <w:rPr>
                <w:rStyle w:val="Code"/>
              </w:rPr>
              <w:t xml:space="preserve">&lt;p </w:t>
            </w:r>
            <w:r>
              <w:rPr>
                <w:rStyle w:val="Codeattribute"/>
              </w:rPr>
              <w:t>n</w:t>
            </w:r>
            <w:r>
              <w:rPr>
                <w:rStyle w:val="Code"/>
              </w:rPr>
              <w:t>=</w:t>
            </w:r>
            <w:r>
              <w:rPr>
                <w:rStyle w:val="Codevalue"/>
              </w:rPr>
              <w:t>"1-9"</w:t>
            </w:r>
            <w:r>
              <w:rPr>
                <w:rStyle w:val="Code"/>
              </w:rPr>
              <w:t>&gt;</w:t>
            </w:r>
            <w:r>
              <w:rPr>
                <w:rStyle w:val="Codetext"/>
              </w:rPr>
              <w:t xml:space="preserve">Hail! From the victorious [...] </w:t>
            </w:r>
            <w:r>
              <w:rPr>
                <w:rStyle w:val="Code"/>
              </w:rPr>
              <w:t>&lt;/p&gt;</w:t>
            </w:r>
            <w:r>
              <w:rPr>
                <w:rStyle w:val="Codetext"/>
              </w:rPr>
              <w:br/>
              <w:t xml:space="preserve">  </w:t>
            </w:r>
            <w:r>
              <w:rPr>
                <w:rStyle w:val="Code"/>
              </w:rPr>
              <w:t xml:space="preserve">&lt;p </w:t>
            </w:r>
            <w:r>
              <w:rPr>
                <w:rStyle w:val="Codeattribute"/>
              </w:rPr>
              <w:t>n</w:t>
            </w:r>
            <w:r>
              <w:rPr>
                <w:rStyle w:val="Code"/>
              </w:rPr>
              <w:t>=</w:t>
            </w:r>
            <w:r>
              <w:rPr>
                <w:rStyle w:val="Codevalue"/>
              </w:rPr>
              <w:t>"9-15"</w:t>
            </w:r>
            <w:r>
              <w:rPr>
                <w:rStyle w:val="Code"/>
              </w:rPr>
              <w:t>&gt;</w:t>
            </w:r>
            <w:r>
              <w:rPr>
                <w:rStyle w:val="Codetext"/>
              </w:rPr>
              <w:t xml:space="preserve">There is this village [...] </w:t>
            </w:r>
            <w:r>
              <w:rPr>
                <w:rStyle w:val="Code"/>
              </w:rPr>
              <w:t>&lt;/p&gt;</w:t>
            </w:r>
            <w:r>
              <w:rPr>
                <w:rStyle w:val="Codetext"/>
              </w:rPr>
              <w:br/>
              <w:t xml:space="preserve">  </w:t>
            </w:r>
            <w:r>
              <w:rPr>
                <w:rStyle w:val="Code"/>
              </w:rPr>
              <w:t xml:space="preserve">&lt;p </w:t>
            </w:r>
            <w:r>
              <w:rPr>
                <w:rStyle w:val="Codeattribute"/>
              </w:rPr>
              <w:t>n</w:t>
            </w:r>
            <w:r>
              <w:rPr>
                <w:rStyle w:val="Code"/>
              </w:rPr>
              <w:t>=</w:t>
            </w:r>
            <w:r>
              <w:rPr>
                <w:rStyle w:val="Codevalue"/>
              </w:rPr>
              <w:t>"15-17"</w:t>
            </w:r>
            <w:r>
              <w:rPr>
                <w:rStyle w:val="Code"/>
              </w:rPr>
              <w:t>&gt;</w:t>
            </w:r>
            <w:r>
              <w:rPr>
                <w:rStyle w:val="Codetext"/>
              </w:rPr>
              <w:t xml:space="preserve">In the first year [...] </w:t>
            </w:r>
            <w:r>
              <w:rPr>
                <w:rStyle w:val="Code"/>
              </w:rPr>
              <w:t>&lt;/p&gt;</w:t>
            </w:r>
            <w:r>
              <w:rPr>
                <w:rStyle w:val="Codetext"/>
              </w:rPr>
              <w:t xml:space="preserve"> </w:t>
            </w:r>
            <w:r>
              <w:rPr>
                <w:rStyle w:val="Codetext"/>
              </w:rPr>
              <w:br/>
              <w:t xml:space="preserve">  </w:t>
            </w:r>
            <w:r>
              <w:rPr>
                <w:rStyle w:val="Code"/>
              </w:rPr>
              <w:t xml:space="preserve">&lt;p </w:t>
            </w:r>
            <w:r>
              <w:rPr>
                <w:rStyle w:val="Codeattribute"/>
              </w:rPr>
              <w:t>rend</w:t>
            </w:r>
            <w:r>
              <w:rPr>
                <w:rStyle w:val="Code"/>
              </w:rPr>
              <w:t>=</w:t>
            </w:r>
            <w:r>
              <w:rPr>
                <w:rStyle w:val="Codevalue"/>
              </w:rPr>
              <w:t>"stanza"</w:t>
            </w:r>
            <w:r>
              <w:rPr>
                <w:rStyle w:val="Code"/>
              </w:rPr>
              <w:t xml:space="preserve"> </w:t>
            </w:r>
            <w:r>
              <w:rPr>
                <w:rStyle w:val="Codeattribute"/>
              </w:rPr>
              <w:t>n</w:t>
            </w:r>
            <w:r>
              <w:rPr>
                <w:rStyle w:val="Code"/>
              </w:rPr>
              <w:t>=</w:t>
            </w:r>
            <w:r>
              <w:rPr>
                <w:rStyle w:val="Codevalue"/>
              </w:rPr>
              <w:t>"1"</w:t>
            </w:r>
            <w:r>
              <w:rPr>
                <w:rStyle w:val="Code"/>
              </w:rPr>
              <w:t>&gt;</w:t>
            </w:r>
            <w:r>
              <w:rPr>
                <w:rStyle w:val="Codetext"/>
              </w:rPr>
              <w:t>By numerous kings, many times land has been given. Whoever holds land at a given moment, to him does the fruit then belong.</w:t>
            </w:r>
            <w:r>
              <w:rPr>
                <w:rStyle w:val="Code"/>
              </w:rPr>
              <w:t>&lt;/p&gt;</w:t>
            </w:r>
            <w:r>
              <w:rPr>
                <w:rStyle w:val="Codetext"/>
              </w:rPr>
              <w:br/>
            </w:r>
            <w:r>
              <w:rPr>
                <w:rStyle w:val="Code"/>
              </w:rPr>
              <w:t>&lt;/div&gt;</w:t>
            </w:r>
          </w:p>
        </w:tc>
      </w:tr>
    </w:tbl>
    <w:p/>
    <w:p>
      <w:pPr>
        <w:pStyle w:val="Cmsor2"/>
      </w:pPr>
      <w:bookmarkStart w:id="795" w:name="_1959vvmyvc8" w:colFirst="0" w:colLast="0"/>
      <w:bookmarkStart w:id="796" w:name="_Ref233640670"/>
      <w:bookmarkStart w:id="797" w:name="_Ref43990269"/>
      <w:bookmarkStart w:id="798" w:name="_Ref151371819"/>
      <w:bookmarkEnd w:id="795"/>
      <w:r>
        <w:t>Markup within translations</w:t>
      </w:r>
      <w:bookmarkEnd w:id="796"/>
    </w:p>
    <w:p>
      <w:r>
        <w:t xml:space="preserve">Within the text (i.e. within the </w:t>
      </w:r>
      <w:r>
        <w:rPr>
          <w:rStyle w:val="Code"/>
        </w:rPr>
        <w:t>&lt;p&gt;</w:t>
      </w:r>
      <w:r>
        <w:t xml:space="preserve"> elements) of the translation, all of the encoding methods listed in this section are available, but no other encoding may be used. Keep in mind that these encoding methods replace the text-based markup (such as brackets and asterisks) commonly used in scholarly translations. </w:t>
      </w:r>
    </w:p>
    <w:p>
      <w:pPr>
        <w:pStyle w:val="Cmsor3"/>
      </w:pPr>
      <w:bookmarkStart w:id="799" w:name="_13vab39mftla" w:colFirst="0" w:colLast="0"/>
      <w:bookmarkStart w:id="800" w:name="_Ref233295189"/>
      <w:bookmarkStart w:id="801" w:name="_Toc242976697"/>
      <w:bookmarkEnd w:id="799"/>
      <w:r>
        <w:t>Globally available markup</w:t>
      </w:r>
      <w:bookmarkEnd w:id="800"/>
      <w:bookmarkEnd w:id="801"/>
    </w:p>
    <w:p>
      <w:pPr>
        <w:rPr>
          <w:lang w:eastAsia="en-US" w:bidi="ar-SA"/>
        </w:rPr>
      </w:pPr>
      <w:r>
        <w:rPr>
          <w:lang w:eastAsia="en-US" w:bidi="ar-SA"/>
        </w:rPr>
        <w:t xml:space="preserve">Translations may include the </w:t>
      </w:r>
      <w:r>
        <w:t>globally permitted miscellaneous markup elements discussed in §</w:t>
      </w:r>
      <w:r>
        <w:fldChar w:fldCharType="begin"/>
      </w:r>
      <w:r>
        <w:instrText xml:space="preserve"> REF _Ref43990225 \w \h  \* MERGEFORMAT </w:instrText>
      </w:r>
      <w:r>
        <w:fldChar w:fldCharType="separate"/>
      </w:r>
      <w:r>
        <w:t>14</w:t>
      </w:r>
      <w:r>
        <w:fldChar w:fldCharType="end"/>
      </w:r>
      <w:r>
        <w:t xml:space="preserve">. These include in particular the element </w:t>
      </w:r>
      <w:r>
        <w:rPr>
          <w:rStyle w:val="Code"/>
        </w:rPr>
        <w:t>&lt;foreign&gt;</w:t>
      </w:r>
      <w:r>
        <w:t xml:space="preserve"> for marking up words or phrases in a different language as per §</w:t>
      </w:r>
      <w:r>
        <w:fldChar w:fldCharType="begin"/>
      </w:r>
      <w:r>
        <w:instrText xml:space="preserve"> REF _Ref43986658 \w \h  \* MERGEFORMAT </w:instrText>
      </w:r>
      <w:r>
        <w:fldChar w:fldCharType="separate"/>
      </w:r>
      <w:r>
        <w:t>14.4.2</w:t>
      </w:r>
      <w:r>
        <w:fldChar w:fldCharType="end"/>
      </w:r>
      <w:r>
        <w:t>. Because foreign words are common in translations, we summarise the key details here.</w:t>
      </w:r>
    </w:p>
    <w:p>
      <w:pPr>
        <w:pStyle w:val="Lista"/>
      </w:pPr>
      <w:r>
        <w:t xml:space="preserve">all words in a language other than the language of the translation must be tagged as </w:t>
      </w:r>
      <w:r>
        <w:rPr>
          <w:rStyle w:val="Code"/>
        </w:rPr>
        <w:t>&lt;foreign&gt;</w:t>
      </w:r>
    </w:p>
    <w:p>
      <w:pPr>
        <w:pStyle w:val="Lista"/>
      </w:pPr>
      <w:r>
        <w:t xml:space="preserve">words in a relevant source language do not require the attribute </w:t>
      </w:r>
      <w:r>
        <w:rPr>
          <w:rStyle w:val="Codeattribute"/>
        </w:rPr>
        <w:t>@xml:lang</w:t>
      </w:r>
      <w:r>
        <w:t>, but words in another modern language do</w:t>
      </w:r>
    </w:p>
    <w:p>
      <w:pPr>
        <w:pStyle w:val="Lista"/>
      </w:pPr>
      <w:r>
        <w:t>source-language words generally appear in translations in the following ways</w:t>
      </w:r>
    </w:p>
    <w:p>
      <w:pPr>
        <w:pStyle w:val="Lista2"/>
      </w:pPr>
      <w:r>
        <w:t>as technical terms which are not translated at all and thus require no additional markup</w:t>
      </w:r>
    </w:p>
    <w:p>
      <w:pPr>
        <w:pStyle w:val="Lista3"/>
      </w:pPr>
      <w:r>
        <w:t xml:space="preserve">e.g. </w:t>
      </w:r>
      <w:r>
        <w:rPr>
          <w:rStyle w:val="Codetext"/>
        </w:rPr>
        <w:t xml:space="preserve">one </w:t>
      </w:r>
      <w:r>
        <w:rPr>
          <w:rStyle w:val="Code"/>
        </w:rPr>
        <w:t>&lt;foreign&gt;</w:t>
      </w:r>
      <w:r>
        <w:rPr>
          <w:rStyle w:val="Codetext"/>
        </w:rPr>
        <w:t>kulyavāpa</w:t>
      </w:r>
      <w:r>
        <w:rPr>
          <w:rStyle w:val="Code"/>
        </w:rPr>
        <w:t>&lt;/foreign&gt;</w:t>
      </w:r>
      <w:r>
        <w:rPr>
          <w:rStyle w:val="Codetext"/>
        </w:rPr>
        <w:t xml:space="preserve"> of land</w:t>
      </w:r>
    </w:p>
    <w:p>
      <w:pPr>
        <w:pStyle w:val="Lista2"/>
      </w:pPr>
      <w:r>
        <w:t>as words of the source inserted for clarification as explanatory additions as per §</w:t>
      </w:r>
      <w:r>
        <w:fldChar w:fldCharType="begin"/>
      </w:r>
      <w:r>
        <w:instrText xml:space="preserve"> REF _Ref233288292 \r \h </w:instrText>
      </w:r>
      <w:r>
        <w:fldChar w:fldCharType="separate"/>
      </w:r>
      <w:r>
        <w:t>11.4.2.2</w:t>
      </w:r>
      <w:r>
        <w:fldChar w:fldCharType="end"/>
      </w:r>
    </w:p>
    <w:p>
      <w:pPr>
        <w:pStyle w:val="Lista2"/>
      </w:pPr>
      <w:r>
        <w:t>as unintelligible text that is not translated, represented by a gap accompanied by an explanatory addition as per §</w:t>
      </w:r>
      <w:r>
        <w:fldChar w:fldCharType="begin"/>
      </w:r>
      <w:r>
        <w:instrText xml:space="preserve"> REF _Ref233295555 \r \h </w:instrText>
      </w:r>
      <w:r>
        <w:fldChar w:fldCharType="separate"/>
      </w:r>
      <w:r>
        <w:t>11.4.3.2</w:t>
      </w:r>
      <w:r>
        <w:fldChar w:fldCharType="end"/>
      </w:r>
    </w:p>
    <w:p>
      <w:pPr>
        <w:pStyle w:val="Cmsor3"/>
      </w:pPr>
      <w:bookmarkStart w:id="802" w:name="_Ref233295943"/>
      <w:bookmarkStart w:id="803" w:name="_Toc242976698"/>
      <w:r>
        <w:t>Supplied text in the translation</w:t>
      </w:r>
      <w:bookmarkEnd w:id="797"/>
      <w:bookmarkEnd w:id="802"/>
      <w:bookmarkEnd w:id="803"/>
    </w:p>
    <w:p>
      <w:r>
        <w:t xml:space="preserve">Words, phrases and other chunks of text present in the translation that do not correspond to anything in the source text as received shall as a rule be tagged with the element </w:t>
      </w:r>
      <w:r>
        <w:rPr>
          <w:rStyle w:val="Code"/>
        </w:rPr>
        <w:t>&lt;supplied&gt;</w:t>
      </w:r>
      <w:r>
        <w:t xml:space="preserve">. The usage of this element is illustrated in in </w:t>
      </w:r>
      <w:r>
        <w:fldChar w:fldCharType="begin"/>
      </w:r>
      <w:r>
        <w:instrText xml:space="preserve"> REF _Ref233286760 \h </w:instrText>
      </w:r>
      <w:r>
        <w:fldChar w:fldCharType="separate"/>
      </w:r>
      <w:r>
        <w:t xml:space="preserve">Exhibit </w:t>
      </w:r>
      <w:r>
        <w:rPr>
          <w:noProof/>
        </w:rPr>
        <w:t>13.3</w:t>
      </w:r>
      <w:r>
        <w:t>.</w:t>
      </w:r>
      <w:r>
        <w:rPr>
          <w:noProof/>
        </w:rPr>
        <w:t>B</w:t>
      </w:r>
      <w:r>
        <w:fldChar w:fldCharType="end"/>
      </w:r>
      <w:r>
        <w:t>.</w:t>
      </w:r>
    </w:p>
    <w:p>
      <w:pPr>
        <w:pStyle w:val="Lista"/>
      </w:pPr>
      <w:r>
        <w:t xml:space="preserve">in the translation division, </w:t>
      </w:r>
      <w:r>
        <w:rPr>
          <w:rStyle w:val="Code"/>
        </w:rPr>
        <w:t>&lt;supplied&gt;</w:t>
      </w:r>
      <w:r>
        <w:t xml:space="preserve"> shall be used with the following attributes:</w:t>
      </w:r>
    </w:p>
    <w:p>
      <w:pPr>
        <w:pStyle w:val="Lista2"/>
      </w:pPr>
      <w:r>
        <w:t xml:space="preserve">mandatorily, </w:t>
      </w:r>
      <w:r>
        <w:rPr>
          <w:rStyle w:val="Codeattribute"/>
        </w:rPr>
        <w:t>@reason</w:t>
      </w:r>
      <w:r>
        <w:t xml:space="preserve"> to indicate the nature of the editorial addition, as outlined in the following subsections </w:t>
      </w:r>
    </w:p>
    <w:p>
      <w:pPr>
        <w:pStyle w:val="Lista2"/>
      </w:pPr>
      <w:r>
        <w:t xml:space="preserve">as applicable, </w:t>
      </w:r>
      <w:r>
        <w:rPr>
          <w:rStyle w:val="Codeattribute"/>
        </w:rPr>
        <w:t>@cert</w:t>
      </w:r>
      <w:r>
        <w:rPr>
          <w:rStyle w:val="Code"/>
        </w:rPr>
        <w:t>=</w:t>
      </w:r>
      <w:r>
        <w:rPr>
          <w:rStyle w:val="Codevalue"/>
        </w:rPr>
        <w:t>"low"</w:t>
      </w:r>
      <w:r>
        <w:t xml:space="preserve"> to segments supplied tentatively (cf. §</w:t>
      </w:r>
      <w:r>
        <w:fldChar w:fldCharType="begin"/>
      </w:r>
      <w:r>
        <w:instrText xml:space="preserve"> REF _Ref233988179 \r \h </w:instrText>
      </w:r>
      <w:r>
        <w:fldChar w:fldCharType="separate"/>
      </w:r>
      <w:r>
        <w:t>11.4.4</w:t>
      </w:r>
      <w:r>
        <w:fldChar w:fldCharType="end"/>
      </w:r>
      <w:r>
        <w:t>)</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r>
              <w:lastRenderedPageBreak/>
              <w:t xml:space="preserve">Exhibit </w:t>
            </w:r>
            <w:fldSimple w:instr=" STYLEREF 2 \s ">
              <w:r>
                <w:rPr>
                  <w:noProof/>
                </w:rPr>
                <w:t>11.4</w:t>
              </w:r>
            </w:fldSimple>
            <w:r>
              <w:t>.</w:t>
            </w:r>
            <w:fldSimple w:instr=" SEQ Exhibit \* ALPHABETIC \s 2 ">
              <w:r>
                <w:rPr>
                  <w:noProof/>
                </w:rPr>
                <w:t>A</w:t>
              </w:r>
            </w:fldSimple>
            <w:r>
              <w:t>: phrase-level markup in translation</w:t>
            </w:r>
          </w:p>
        </w:tc>
      </w:tr>
      <w:tr>
        <w:tc>
          <w:tcPr>
            <w:tcW w:w="5000" w:type="pct"/>
          </w:tcPr>
          <w:p>
            <w:pPr>
              <w:pStyle w:val="CodeParagraph"/>
            </w:pPr>
            <w:r>
              <w:rPr>
                <w:rStyle w:val="Code"/>
              </w:rPr>
              <w:t xml:space="preserve">&lt;div </w:t>
            </w:r>
            <w:r>
              <w:rPr>
                <w:rStyle w:val="Codeattribute"/>
              </w:rPr>
              <w:t>type</w:t>
            </w:r>
            <w:r>
              <w:rPr>
                <w:rStyle w:val="Code"/>
              </w:rPr>
              <w:t>=</w:t>
            </w:r>
            <w:r>
              <w:rPr>
                <w:rStyle w:val="Codevalue"/>
              </w:rPr>
              <w:t>"translation"</w:t>
            </w:r>
            <w:r>
              <w:rPr>
                <w:rStyle w:val="Code"/>
              </w:rPr>
              <w:t>&gt;</w:t>
            </w:r>
            <w:r>
              <w:rPr>
                <w:rStyle w:val="Codetext"/>
              </w:rPr>
              <w:br/>
            </w:r>
            <w:r>
              <w:rPr>
                <w:rStyle w:val="Code"/>
              </w:rPr>
              <w:t xml:space="preserve">  &lt;p&gt;</w:t>
            </w:r>
            <w:r>
              <w:rPr>
                <w:rStyle w:val="Codetext"/>
              </w:rPr>
              <w:t xml:space="preserve">Indeed </w:t>
            </w:r>
            <w:r>
              <w:rPr>
                <w:rStyle w:val="Code"/>
              </w:rPr>
              <w:t xml:space="preserve">&lt;supplied </w:t>
            </w:r>
            <w:r>
              <w:rPr>
                <w:rStyle w:val="Codeattribute"/>
              </w:rPr>
              <w:t>reason</w:t>
            </w:r>
            <w:r>
              <w:rPr>
                <w:rStyle w:val="Code"/>
              </w:rPr>
              <w:t>=</w:t>
            </w:r>
            <w:r>
              <w:rPr>
                <w:rStyle w:val="Codevalue"/>
              </w:rPr>
              <w:t>"explanation"</w:t>
            </w:r>
            <w:r>
              <w:rPr>
                <w:rStyle w:val="Code"/>
              </w:rPr>
              <w:t>&gt;&lt;foreign&gt;</w:t>
            </w:r>
            <w:r>
              <w:rPr>
                <w:rStyle w:val="Codetext"/>
              </w:rPr>
              <w:t>asti</w:t>
            </w:r>
            <w:r>
              <w:rPr>
                <w:rStyle w:val="Code"/>
              </w:rPr>
              <w:t>&lt;/foreign&gt;&lt;/supplied&gt;</w:t>
            </w:r>
            <w:r>
              <w:rPr>
                <w:rStyle w:val="Codetext"/>
              </w:rPr>
              <w:t xml:space="preserve">, with respect to vendible properties in this division, the sale of </w:t>
            </w:r>
            <w:r>
              <w:rPr>
                <w:rStyle w:val="Code"/>
              </w:rPr>
              <w:t xml:space="preserve">&lt;supplied </w:t>
            </w:r>
            <w:r>
              <w:rPr>
                <w:rStyle w:val="Codeattribute"/>
              </w:rPr>
              <w:t>reason</w:t>
            </w:r>
            <w:r>
              <w:rPr>
                <w:rStyle w:val="Code"/>
              </w:rPr>
              <w:t>=</w:t>
            </w:r>
            <w:r>
              <w:rPr>
                <w:rStyle w:val="Codevalue"/>
              </w:rPr>
              <w:t>"explanation"</w:t>
            </w:r>
            <w:r>
              <w:rPr>
                <w:rStyle w:val="Code"/>
              </w:rPr>
              <w:t>&gt;</w:t>
            </w:r>
            <w:r>
              <w:rPr>
                <w:rStyle w:val="Codetext"/>
              </w:rPr>
              <w:t xml:space="preserve">a </w:t>
            </w:r>
            <w:r>
              <w:rPr>
                <w:rStyle w:val="Code"/>
              </w:rPr>
              <w:t>&lt;foreign&gt;</w:t>
            </w:r>
            <w:r>
              <w:rPr>
                <w:rStyle w:val="Codetext"/>
              </w:rPr>
              <w:t>kulyavāpa</w:t>
            </w:r>
            <w:r>
              <w:rPr>
                <w:rStyle w:val="Code"/>
              </w:rPr>
              <w:t>&lt;/foreign&gt;</w:t>
            </w:r>
            <w:r>
              <w:rPr>
                <w:rStyle w:val="Codetext"/>
              </w:rPr>
              <w:t xml:space="preserve"> of</w:t>
            </w:r>
            <w:r>
              <w:rPr>
                <w:rStyle w:val="Code"/>
              </w:rPr>
              <w:t>&lt;/supplied&gt;</w:t>
            </w:r>
            <w:r>
              <w:rPr>
                <w:rStyle w:val="Codetext"/>
              </w:rPr>
              <w:t xml:space="preserve"> waste land that is without revenue charges and yields no tax, to be enjoyed in perpetuity in accordance with the law on permanent endowments, is customary for one hundred </w:t>
            </w:r>
            <w:r>
              <w:rPr>
                <w:rStyle w:val="Code"/>
              </w:rPr>
              <w:t>&lt;foreign&gt;</w:t>
            </w:r>
            <w:r>
              <w:rPr>
                <w:rStyle w:val="Codetext"/>
              </w:rPr>
              <w:t>kārṣāpaṇa</w:t>
            </w:r>
            <w:r>
              <w:rPr>
                <w:rStyle w:val="Code"/>
              </w:rPr>
              <w:t>&lt;/foreign&gt;</w:t>
            </w:r>
            <w:r>
              <w:rPr>
                <w:rStyle w:val="Codetext"/>
              </w:rPr>
              <w:t xml:space="preserve">s. And no conflict of interest </w:t>
            </w:r>
            <w:r>
              <w:rPr>
                <w:rStyle w:val="Code"/>
              </w:rPr>
              <w:t xml:space="preserve">&lt;supplied </w:t>
            </w:r>
            <w:r>
              <w:rPr>
                <w:rStyle w:val="Codeattribute"/>
              </w:rPr>
              <w:t>reason</w:t>
            </w:r>
            <w:r>
              <w:rPr>
                <w:rStyle w:val="Code"/>
              </w:rPr>
              <w:t>=</w:t>
            </w:r>
            <w:r>
              <w:rPr>
                <w:rStyle w:val="Codevalue"/>
              </w:rPr>
              <w:t>"explanation"</w:t>
            </w:r>
            <w:r>
              <w:rPr>
                <w:rStyle w:val="Code"/>
              </w:rPr>
              <w:t>&gt;&lt;foreign&gt;</w:t>
            </w:r>
            <w:r>
              <w:rPr>
                <w:rStyle w:val="Codetext"/>
              </w:rPr>
              <w:t>virodha</w:t>
            </w:r>
            <w:r>
              <w:rPr>
                <w:rStyle w:val="Code"/>
              </w:rPr>
              <w:t>&lt;/foreign&gt;&lt;/supplied&gt;</w:t>
            </w:r>
            <w:r>
              <w:rPr>
                <w:rStyle w:val="Codetext"/>
              </w:rPr>
              <w:t xml:space="preserve"> whatsoever </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will result</w:t>
            </w:r>
            <w:r>
              <w:rPr>
                <w:rStyle w:val="Code"/>
              </w:rPr>
              <w:t>&lt;/supplied&gt;</w:t>
            </w:r>
            <w:r>
              <w:rPr>
                <w:rStyle w:val="Codetext"/>
              </w:rPr>
              <w:t xml:space="preserve"> through its sale: </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on the contrary,</w:t>
            </w:r>
            <w:r>
              <w:rPr>
                <w:rStyle w:val="Code"/>
              </w:rPr>
              <w:t>&lt;/supplied&gt;</w:t>
            </w:r>
            <w:r>
              <w:rPr>
                <w:rStyle w:val="Codetext"/>
              </w:rPr>
              <w:t xml:space="preserve"> for His Majesty </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there will be</w:t>
            </w:r>
            <w:r>
              <w:rPr>
                <w:rStyle w:val="Code"/>
              </w:rPr>
              <w:t>&lt;/supplied&gt;</w:t>
            </w:r>
            <w:r>
              <w:rPr>
                <w:rStyle w:val="Codetext"/>
              </w:rPr>
              <w:t xml:space="preserve"> increase of wealth and attainment of one sixth of the merit.</w:t>
            </w:r>
            <w:r>
              <w:rPr>
                <w:rStyle w:val="Code"/>
              </w:rPr>
              <w:t>&lt;/p&gt;</w:t>
            </w:r>
            <w:r>
              <w:rPr>
                <w:rStyle w:val="Codetext"/>
              </w:rPr>
              <w:br/>
            </w:r>
            <w:r>
              <w:rPr>
                <w:rStyle w:val="Code"/>
              </w:rPr>
              <w:t>&lt;/div&gt;</w:t>
            </w:r>
          </w:p>
        </w:tc>
      </w:tr>
    </w:tbl>
    <w:p/>
    <w:p>
      <w:pPr>
        <w:pStyle w:val="Cmsor4"/>
      </w:pPr>
      <w:bookmarkStart w:id="804" w:name="_Ref233289446"/>
      <w:r>
        <w:t>Essential additions</w:t>
      </w:r>
      <w:bookmarkEnd w:id="804"/>
    </w:p>
    <w:p>
      <w:pPr>
        <w:rPr>
          <w:lang w:eastAsia="en-US" w:bidi="ar-SA"/>
        </w:rPr>
      </w:pPr>
      <w:r>
        <w:rPr>
          <w:lang w:eastAsia="en-US" w:bidi="ar-SA"/>
        </w:rPr>
        <w:t>By essential additions we mean words which are not present in the source but have been added to a translation because the syntax of the target language requires them, or because they improve the fluency or clarity of the text in the target language. Unlike explanatory additions (§</w:t>
      </w:r>
      <w:r>
        <w:rPr>
          <w:lang w:eastAsia="en-US" w:bidi="ar-SA"/>
        </w:rPr>
        <w:fldChar w:fldCharType="begin"/>
      </w:r>
      <w:r>
        <w:rPr>
          <w:lang w:eastAsia="en-US" w:bidi="ar-SA"/>
        </w:rPr>
        <w:instrText xml:space="preserve"> REF _Ref233288292 \r \h </w:instrText>
      </w:r>
      <w:r>
        <w:rPr>
          <w:lang w:eastAsia="en-US" w:bidi="ar-SA"/>
        </w:rPr>
      </w:r>
      <w:r>
        <w:rPr>
          <w:lang w:eastAsia="en-US" w:bidi="ar-SA"/>
        </w:rPr>
        <w:fldChar w:fldCharType="separate"/>
      </w:r>
      <w:r>
        <w:rPr>
          <w:lang w:eastAsia="en-US" w:bidi="ar-SA"/>
        </w:rPr>
        <w:t>11.4.2.2</w:t>
      </w:r>
      <w:r>
        <w:rPr>
          <w:lang w:eastAsia="en-US" w:bidi="ar-SA"/>
        </w:rPr>
        <w:fldChar w:fldCharType="end"/>
      </w:r>
      <w:r>
        <w:rPr>
          <w:lang w:eastAsia="en-US" w:bidi="ar-SA"/>
        </w:rPr>
        <w:t>), essential additions are an integral part of the text in the target language. Such additions are often indicated in scholarly translations by square brackets, and this is how they will be displayed in our system.</w:t>
      </w:r>
    </w:p>
    <w:p>
      <w:pPr>
        <w:pStyle w:val="Normlbehzs"/>
        <w:rPr>
          <w:lang w:eastAsia="en-US" w:bidi="ar-SA"/>
        </w:rPr>
      </w:pPr>
      <w:r>
        <w:rPr>
          <w:lang w:eastAsia="en-US" w:bidi="ar-SA"/>
        </w:rPr>
        <w:t>As DHARMA translations are expected to sound natural in the target language and to prioritise readability over meticulousness, there is no requirement to mark up every minor essential addition such as articles, conjunctions and pronouns.</w:t>
      </w:r>
    </w:p>
    <w:p>
      <w:pPr>
        <w:pStyle w:val="Lista"/>
      </w:pPr>
      <w:r>
        <w:t xml:space="preserve">for </w:t>
      </w:r>
      <w:r>
        <w:rPr>
          <w:lang w:eastAsia="en-US" w:bidi="ar-SA"/>
        </w:rPr>
        <w:t>essential</w:t>
      </w:r>
      <w:r>
        <w:t xml:space="preserve"> additions in the translation, use </w:t>
      </w:r>
      <w:r>
        <w:rPr>
          <w:rStyle w:val="Code"/>
        </w:rPr>
        <w:t xml:space="preserve">&lt;supplied </w:t>
      </w:r>
      <w:r>
        <w:rPr>
          <w:rStyle w:val="Codeattribute"/>
        </w:rPr>
        <w:t>reason</w:t>
      </w:r>
      <w:r>
        <w:rPr>
          <w:rStyle w:val="Code"/>
        </w:rPr>
        <w:t>=</w:t>
      </w:r>
      <w:r>
        <w:rPr>
          <w:rStyle w:val="Codevalue"/>
        </w:rPr>
        <w:t>"subaudible"</w:t>
      </w:r>
      <w:r>
        <w:rPr>
          <w:rStyle w:val="Code"/>
        </w:rPr>
        <w:t>&gt;</w:t>
      </w:r>
      <w:r>
        <w:t>, for example</w:t>
      </w:r>
    </w:p>
    <w:p>
      <w:pPr>
        <w:pStyle w:val="Lista2"/>
        <w:rPr>
          <w:rStyle w:val="Code"/>
          <w:rFonts w:ascii="Gentium" w:hAnsi="Gentium" w:cs="Tiro Devanagari Sanskrit"/>
          <w:noProof w:val="0"/>
          <w:color w:val="auto"/>
          <w:shd w:val="clear" w:color="auto" w:fill="auto"/>
        </w:rPr>
      </w:pPr>
      <w:r>
        <w:rPr>
          <w:rStyle w:val="Code"/>
        </w:rPr>
        <w:t>&lt;p&gt;</w:t>
      </w:r>
      <w:r>
        <w:rPr>
          <w:rStyle w:val="Codetext"/>
        </w:rPr>
        <w:t xml:space="preserve">He was generous to his subjects and </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therefore</w:t>
      </w:r>
      <w:r>
        <w:rPr>
          <w:rStyle w:val="Code"/>
        </w:rPr>
        <w:t>&lt;/supplied&gt;</w:t>
      </w:r>
      <w:r>
        <w:rPr>
          <w:rStyle w:val="Codetext"/>
        </w:rPr>
        <w:t xml:space="preserve"> loved </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by them</w:t>
      </w:r>
      <w:r>
        <w:rPr>
          <w:rStyle w:val="Code"/>
        </w:rPr>
        <w:t xml:space="preserve">&lt;/supplied&gt; </w:t>
      </w:r>
      <w:r>
        <w:rPr>
          <w:rStyle w:val="Codetext"/>
        </w:rPr>
        <w:t xml:space="preserve">... </w:t>
      </w:r>
      <w:r>
        <w:rPr>
          <w:rStyle w:val="Code"/>
        </w:rPr>
        <w:t>&lt;/p&gt;</w:t>
      </w:r>
    </w:p>
    <w:p>
      <w:pPr>
        <w:pStyle w:val="Lista"/>
      </w:pPr>
      <w:r>
        <w:t>as per §</w:t>
      </w:r>
      <w:r>
        <w:fldChar w:fldCharType="begin"/>
      </w:r>
      <w:r>
        <w:instrText xml:space="preserve"> REF _Ref233988179 \r \h </w:instrText>
      </w:r>
      <w:r>
        <w:fldChar w:fldCharType="separate"/>
      </w:r>
      <w:r>
        <w:t>11.4.4</w:t>
      </w:r>
      <w:r>
        <w:fldChar w:fldCharType="end"/>
      </w:r>
      <w:r>
        <w:t xml:space="preserve">, distinguish tentative additions by using </w:t>
      </w:r>
      <w:r>
        <w:rPr>
          <w:rStyle w:val="Codeattribute"/>
        </w:rPr>
        <w:t>@cert</w:t>
      </w:r>
      <w:r>
        <w:rPr>
          <w:rStyle w:val="Code"/>
        </w:rPr>
        <w:t>=</w:t>
      </w:r>
      <w:r>
        <w:rPr>
          <w:rStyle w:val="Codevalue"/>
        </w:rPr>
        <w:t>"low"</w:t>
      </w:r>
      <w:r>
        <w:t xml:space="preserve"> </w:t>
      </w:r>
    </w:p>
    <w:p>
      <w:pPr>
        <w:pStyle w:val="Cmsor4"/>
      </w:pPr>
      <w:bookmarkStart w:id="805" w:name="_Ref233288292"/>
      <w:r>
        <w:t>Explanatory additions</w:t>
      </w:r>
      <w:bookmarkEnd w:id="805"/>
    </w:p>
    <w:p>
      <w:pPr>
        <w:rPr>
          <w:lang w:eastAsia="en-US" w:bidi="ar-SA"/>
        </w:rPr>
      </w:pPr>
      <w:r>
        <w:rPr>
          <w:lang w:eastAsia="en-US" w:bidi="ar-SA"/>
        </w:rPr>
        <w:t>By explanatory additions we mean words which are not present in the source but have been added to a translation in order to clarify, elaborate or disambiguate the meaning (or your interpretation) of another word or phrase in the translation. Unlike essential additions (§</w:t>
      </w:r>
      <w:r>
        <w:rPr>
          <w:lang w:eastAsia="en-US" w:bidi="ar-SA"/>
        </w:rPr>
        <w:fldChar w:fldCharType="begin"/>
      </w:r>
      <w:r>
        <w:rPr>
          <w:lang w:eastAsia="en-US" w:bidi="ar-SA"/>
        </w:rPr>
        <w:instrText xml:space="preserve"> REF _Ref233289446 \r \h </w:instrText>
      </w:r>
      <w:r>
        <w:rPr>
          <w:lang w:eastAsia="en-US" w:bidi="ar-SA"/>
        </w:rPr>
      </w:r>
      <w:r>
        <w:rPr>
          <w:lang w:eastAsia="en-US" w:bidi="ar-SA"/>
        </w:rPr>
        <w:fldChar w:fldCharType="separate"/>
      </w:r>
      <w:r>
        <w:rPr>
          <w:lang w:eastAsia="en-US" w:bidi="ar-SA"/>
        </w:rPr>
        <w:t>11.4.2.1</w:t>
      </w:r>
      <w:r>
        <w:rPr>
          <w:lang w:eastAsia="en-US" w:bidi="ar-SA"/>
        </w:rPr>
        <w:fldChar w:fldCharType="end"/>
      </w:r>
      <w:r>
        <w:rPr>
          <w:lang w:eastAsia="en-US" w:bidi="ar-SA"/>
        </w:rPr>
        <w:t>), explanatory additions need not be an integral part of the text in the target language (though they may be set up to be readable without interruption). Such additions are often indicated in scholarly translations by round parentheses, and this is how they will be displayed in our system.</w:t>
      </w:r>
    </w:p>
    <w:p>
      <w:pPr>
        <w:pStyle w:val="Lista"/>
      </w:pPr>
      <w:r>
        <w:t xml:space="preserve">for explanatory additions to the translation, use </w:t>
      </w:r>
      <w:r>
        <w:rPr>
          <w:rStyle w:val="Code"/>
        </w:rPr>
        <w:t xml:space="preserve">&lt;supplied </w:t>
      </w:r>
      <w:r>
        <w:rPr>
          <w:rStyle w:val="Codeattribute"/>
        </w:rPr>
        <w:t>reason</w:t>
      </w:r>
      <w:r>
        <w:rPr>
          <w:rStyle w:val="Code"/>
        </w:rPr>
        <w:t>=</w:t>
      </w:r>
      <w:r>
        <w:rPr>
          <w:rStyle w:val="Codevalue"/>
        </w:rPr>
        <w:t>"explanation"</w:t>
      </w:r>
      <w:r>
        <w:rPr>
          <w:rStyle w:val="Code"/>
        </w:rPr>
        <w:t>&gt;</w:t>
      </w:r>
      <w:r>
        <w:t>, for example</w:t>
      </w:r>
    </w:p>
    <w:p>
      <w:pPr>
        <w:pStyle w:val="Lista2"/>
      </w:pPr>
      <w:r>
        <w:rPr>
          <w:rStyle w:val="Code"/>
        </w:rPr>
        <w:t>&lt;p&gt;</w:t>
      </w:r>
      <w:r>
        <w:rPr>
          <w:rStyle w:val="Codetext"/>
        </w:rPr>
        <w:t xml:space="preserve">... devotion to </w:t>
      </w:r>
      <w:r>
        <w:rPr>
          <w:rStyle w:val="Code"/>
        </w:rPr>
        <w:t xml:space="preserve">&lt;supplied </w:t>
      </w:r>
      <w:r>
        <w:rPr>
          <w:rStyle w:val="Codeattribute"/>
        </w:rPr>
        <w:t>reason</w:t>
      </w:r>
      <w:r>
        <w:rPr>
          <w:rStyle w:val="Code"/>
        </w:rPr>
        <w:t>=</w:t>
      </w:r>
      <w:r>
        <w:rPr>
          <w:rStyle w:val="Codevalue"/>
        </w:rPr>
        <w:t>"explanation"</w:t>
      </w:r>
      <w:r>
        <w:rPr>
          <w:rStyle w:val="Code"/>
        </w:rPr>
        <w:t>&gt;</w:t>
      </w:r>
      <w:r>
        <w:rPr>
          <w:rStyle w:val="Codetext"/>
        </w:rPr>
        <w:t>Viṣṇu</w:t>
      </w:r>
      <w:r>
        <w:rPr>
          <w:rStyle w:val="Code"/>
        </w:rPr>
        <w:t>&lt;/supplied&gt;</w:t>
      </w:r>
      <w:r>
        <w:rPr>
          <w:rStyle w:val="Codetext"/>
        </w:rPr>
        <w:t xml:space="preserve"> the bearer of the discus and the mace ... </w:t>
      </w:r>
      <w:r>
        <w:rPr>
          <w:rStyle w:val="Code"/>
        </w:rPr>
        <w:t>&lt;/p&gt;</w:t>
      </w:r>
      <w:r>
        <w:t xml:space="preserve"> </w:t>
      </w:r>
    </w:p>
    <w:p>
      <w:pPr>
        <w:pStyle w:val="Lista2"/>
      </w:pPr>
      <w:r>
        <w:rPr>
          <w:rStyle w:val="Codetext"/>
        </w:rPr>
        <w:t xml:space="preserve">in order to protect her </w:t>
      </w:r>
      <w:r>
        <w:rPr>
          <w:rStyle w:val="Code"/>
        </w:rPr>
        <w:t xml:space="preserve">&lt;supplied </w:t>
      </w:r>
      <w:r>
        <w:rPr>
          <w:rStyle w:val="Codeattribute"/>
        </w:rPr>
        <w:t>reason=</w:t>
      </w:r>
      <w:r>
        <w:rPr>
          <w:rStyle w:val="Codevalue"/>
        </w:rPr>
        <w:t>"explanation"</w:t>
      </w:r>
      <w:r>
        <w:rPr>
          <w:rStyle w:val="Code"/>
        </w:rPr>
        <w:t>&gt;</w:t>
      </w:r>
      <w:r>
        <w:rPr>
          <w:rStyle w:val="Codetext"/>
        </w:rPr>
        <w:t>the earth</w:t>
      </w:r>
      <w:r>
        <w:rPr>
          <w:rStyle w:val="Code"/>
        </w:rPr>
        <w:t>&lt;/supplied&gt;</w:t>
      </w:r>
      <w:r>
        <w:rPr>
          <w:rStyle w:val="Codetext"/>
        </w:rPr>
        <w:t xml:space="preserve"> with his arms ...</w:t>
      </w:r>
      <w:r>
        <w:t xml:space="preserve"> </w:t>
      </w:r>
    </w:p>
    <w:p>
      <w:pPr>
        <w:pStyle w:val="Lista"/>
      </w:pPr>
      <w:r>
        <w:t>when words of the source language are added next to a translated word in order to highlight the specific terminology of the source or to help the reader match parts of the translation to parts of a difficult or ambiguous passage, these are also explanatory additions</w:t>
      </w:r>
    </w:p>
    <w:p>
      <w:pPr>
        <w:pStyle w:val="Lista2"/>
      </w:pPr>
      <w:r>
        <w:t>as per §</w:t>
      </w:r>
      <w:r>
        <w:fldChar w:fldCharType="begin"/>
      </w:r>
      <w:r>
        <w:instrText xml:space="preserve"> REF _Ref233295189 \r \h </w:instrText>
      </w:r>
      <w:r>
        <w:fldChar w:fldCharType="separate"/>
      </w:r>
      <w:r>
        <w:t>11.4.1</w:t>
      </w:r>
      <w:r>
        <w:fldChar w:fldCharType="end"/>
      </w:r>
      <w:r>
        <w:t xml:space="preserve">, such additions must be encoded as </w:t>
      </w:r>
      <w:r>
        <w:rPr>
          <w:rStyle w:val="Code"/>
        </w:rPr>
        <w:t>&lt;foreign&gt;</w:t>
      </w:r>
      <w:r>
        <w:t xml:space="preserve"> in addition to being encoded as explanatory additions</w:t>
      </w:r>
    </w:p>
    <w:p>
      <w:pPr>
        <w:pStyle w:val="Lista2"/>
      </w:pPr>
      <w:r>
        <w:t xml:space="preserve">e.g. </w:t>
      </w:r>
      <w:r>
        <w:rPr>
          <w:rStyle w:val="Code"/>
        </w:rPr>
        <w:t>&lt;p&gt;</w:t>
      </w:r>
      <w:r>
        <w:rPr>
          <w:rStyle w:val="Codetext"/>
        </w:rPr>
        <w:t xml:space="preserve">Homage to that thousand-headed Person </w:t>
      </w:r>
      <w:r>
        <w:rPr>
          <w:rStyle w:val="Code"/>
        </w:rPr>
        <w:t xml:space="preserve">&lt;supplied </w:t>
      </w:r>
      <w:r>
        <w:rPr>
          <w:rStyle w:val="Codeattribute"/>
        </w:rPr>
        <w:t>reason</w:t>
      </w:r>
      <w:r>
        <w:rPr>
          <w:rStyle w:val="Code"/>
        </w:rPr>
        <w:t>=</w:t>
      </w:r>
      <w:r>
        <w:rPr>
          <w:rStyle w:val="Codevalue"/>
        </w:rPr>
        <w:t>"explanation"</w:t>
      </w:r>
      <w:r>
        <w:rPr>
          <w:rStyle w:val="Code"/>
        </w:rPr>
        <w:t>&gt;&lt;foreign&gt;</w:t>
      </w:r>
      <w:r>
        <w:rPr>
          <w:rStyle w:val="Codetext"/>
        </w:rPr>
        <w:t>puruṣa</w:t>
      </w:r>
      <w:r>
        <w:rPr>
          <w:rStyle w:val="Code"/>
        </w:rPr>
        <w:t>&lt;/foreign&gt;&lt;/supplied&gt;</w:t>
      </w:r>
      <w:r>
        <w:rPr>
          <w:rStyle w:val="Codetext"/>
        </w:rPr>
        <w:t xml:space="preserve"> ... </w:t>
      </w:r>
      <w:r>
        <w:rPr>
          <w:rStyle w:val="Code"/>
        </w:rPr>
        <w:t>&lt;/p&gt;</w:t>
      </w:r>
    </w:p>
    <w:p>
      <w:pPr>
        <w:pStyle w:val="Lista"/>
      </w:pPr>
      <w:r>
        <w:t>as per §</w:t>
      </w:r>
      <w:r>
        <w:fldChar w:fldCharType="begin"/>
      </w:r>
      <w:r>
        <w:instrText xml:space="preserve"> REF _Ref233988179 \r \h </w:instrText>
      </w:r>
      <w:r>
        <w:fldChar w:fldCharType="separate"/>
      </w:r>
      <w:r>
        <w:t>11.4.4</w:t>
      </w:r>
      <w:r>
        <w:fldChar w:fldCharType="end"/>
      </w:r>
      <w:r>
        <w:t xml:space="preserve">, distinguish tentative additions by using </w:t>
      </w:r>
      <w:r>
        <w:rPr>
          <w:rStyle w:val="Codeattribute"/>
        </w:rPr>
        <w:t>@cert</w:t>
      </w:r>
      <w:r>
        <w:rPr>
          <w:rStyle w:val="Code"/>
        </w:rPr>
        <w:t>=</w:t>
      </w:r>
      <w:r>
        <w:rPr>
          <w:rStyle w:val="Codevalue"/>
        </w:rPr>
        <w:t>"low"</w:t>
      </w:r>
      <w:r>
        <w:t xml:space="preserve"> </w:t>
      </w:r>
    </w:p>
    <w:p>
      <w:pPr>
        <w:pStyle w:val="Cmsor4"/>
      </w:pPr>
      <w:bookmarkStart w:id="806" w:name="_Ref233292320"/>
      <w:r>
        <w:lastRenderedPageBreak/>
        <w:t>Restoration of lost text</w:t>
      </w:r>
      <w:bookmarkEnd w:id="806"/>
    </w:p>
    <w:p>
      <w:pPr>
        <w:rPr>
          <w:b/>
          <w:bCs/>
          <w:lang w:eastAsia="en-US" w:bidi="ar-SA"/>
        </w:rPr>
      </w:pPr>
      <w:r>
        <w:rPr>
          <w:lang w:eastAsia="en-US" w:bidi="ar-SA"/>
        </w:rPr>
        <w:t xml:space="preserve">From the perspective of the translation, lost text is any meaningful and translatable segment that is not present in the source as received but which was presumably written and subsequently lost or rendered illegible. While restored text in a translation usually corresponds to text restored in the edition, this is not necessarily the case. On the one hand, lacunae smaller than words do not have to be indicated in translations, although you may choose to mark up parts of translated words (and especially of names in the translation) as restored when you deem this useful. Otherwise, either forgo markup altogether (if the lacuna is inconsequential) or mark up an entire translated word as supplied (if the lacuna is substantial). On the other hand, it is sometimes possible and expedient to restore key words or notions in the translation even where your edition does not include a restoration because the choice of synonym or phrasing used in the original text cannot be predicted. A translation may thus contain supplied text where an edition contains a </w:t>
      </w:r>
      <w:r>
        <w:rPr>
          <w:rStyle w:val="Code"/>
        </w:rPr>
        <w:t>&lt;gap&gt;</w:t>
      </w:r>
      <w:r>
        <w:t xml:space="preserve"> element instead of a restoration. In this latter case, the </w:t>
      </w:r>
      <w:r>
        <w:rPr>
          <w:rStyle w:val="Code"/>
        </w:rPr>
        <w:t>&lt;gap&gt;</w:t>
      </w:r>
      <w:r>
        <w:t xml:space="preserve"> element in the edition may be illegible rather than lost </w:t>
      </w:r>
      <w:r>
        <w:rPr>
          <w:lang w:eastAsia="en-US" w:bidi="ar-SA"/>
        </w:rPr>
        <w:t>(§</w:t>
      </w:r>
      <w:r>
        <w:rPr>
          <w:lang w:eastAsia="en-US" w:bidi="ar-SA"/>
        </w:rPr>
        <w:fldChar w:fldCharType="begin"/>
      </w:r>
      <w:r>
        <w:rPr>
          <w:lang w:eastAsia="en-US" w:bidi="ar-SA"/>
        </w:rPr>
        <w:instrText xml:space="preserve"> REF _Ref43987758 \r \h </w:instrText>
      </w:r>
      <w:r>
        <w:rPr>
          <w:lang w:eastAsia="en-US" w:bidi="ar-SA"/>
        </w:rPr>
      </w:r>
      <w:r>
        <w:rPr>
          <w:lang w:eastAsia="en-US" w:bidi="ar-SA"/>
        </w:rPr>
        <w:fldChar w:fldCharType="separate"/>
      </w:r>
      <w:r>
        <w:rPr>
          <w:lang w:eastAsia="en-US" w:bidi="ar-SA"/>
        </w:rPr>
        <w:t>6.5.1.1</w:t>
      </w:r>
      <w:r>
        <w:rPr>
          <w:lang w:eastAsia="en-US" w:bidi="ar-SA"/>
        </w:rPr>
        <w:fldChar w:fldCharType="end"/>
      </w:r>
      <w:r>
        <w:rPr>
          <w:lang w:eastAsia="en-US" w:bidi="ar-SA"/>
        </w:rPr>
        <w:t>), but the encoding for the two is identical in the translation.</w:t>
      </w:r>
    </w:p>
    <w:p>
      <w:pPr>
        <w:pStyle w:val="Lista"/>
      </w:pPr>
      <w:r>
        <w:t xml:space="preserve">for lost text restored in the translation, use </w:t>
      </w:r>
      <w:r>
        <w:rPr>
          <w:rStyle w:val="Code"/>
        </w:rPr>
        <w:t xml:space="preserve">&lt;supplied </w:t>
      </w:r>
      <w:r>
        <w:rPr>
          <w:rStyle w:val="Codeattribute"/>
        </w:rPr>
        <w:t>reason</w:t>
      </w:r>
      <w:r>
        <w:rPr>
          <w:rStyle w:val="Code"/>
        </w:rPr>
        <w:t>=</w:t>
      </w:r>
      <w:r>
        <w:rPr>
          <w:rStyle w:val="Codevalue"/>
        </w:rPr>
        <w:t>"lost"</w:t>
      </w:r>
      <w:r>
        <w:rPr>
          <w:rStyle w:val="Code"/>
        </w:rPr>
        <w:t>&gt;</w:t>
      </w:r>
      <w:r>
        <w:t>, for example</w:t>
      </w:r>
    </w:p>
    <w:p>
      <w:pPr>
        <w:pStyle w:val="Lista2"/>
      </w:pPr>
      <w:r>
        <w:rPr>
          <w:rStyle w:val="Codetext"/>
        </w:rPr>
        <w:t xml:space="preserve">The truest of </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kings</w:t>
      </w:r>
      <w:r>
        <w:rPr>
          <w:rStyle w:val="Code"/>
        </w:rPr>
        <w:t>&lt;/supplied&gt;</w:t>
      </w:r>
      <w:r>
        <w:rPr>
          <w:rStyle w:val="Codetext"/>
        </w:rPr>
        <w:t>...</w:t>
      </w:r>
      <w:r>
        <w:t xml:space="preserve"> </w:t>
      </w:r>
    </w:p>
    <w:p>
      <w:pPr>
        <w:pStyle w:val="Lista3"/>
      </w:pPr>
      <w:r>
        <w:t xml:space="preserve">corresponding to </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nr̥pa</w:t>
      </w:r>
      <w:r>
        <w:rPr>
          <w:rStyle w:val="Code"/>
        </w:rPr>
        <w:t>&lt;/supplied&gt;</w:t>
      </w:r>
      <w:r>
        <w:rPr>
          <w:rStyle w:val="Codetext"/>
        </w:rPr>
        <w:t>-sattamaḥ</w:t>
      </w:r>
      <w:r>
        <w:t xml:space="preserve"> in the edition</w:t>
      </w:r>
    </w:p>
    <w:p>
      <w:pPr>
        <w:pStyle w:val="Lista2"/>
      </w:pPr>
      <w:r>
        <w:t xml:space="preserve"> </w:t>
      </w:r>
      <w:r>
        <w:rPr>
          <w:rStyle w:val="Codetext"/>
        </w:rPr>
        <w:t xml:space="preserve">The village named Vaṭatīrtha </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was granted</w:t>
      </w:r>
      <w:r>
        <w:rPr>
          <w:rStyle w:val="Code"/>
        </w:rPr>
        <w:t>&lt;/supplied&gt;</w:t>
      </w:r>
      <w:r>
        <w:rPr>
          <w:rStyle w:val="Codetext"/>
        </w:rPr>
        <w:t>...</w:t>
      </w:r>
      <w:r>
        <w:t xml:space="preserve"> </w:t>
      </w:r>
    </w:p>
    <w:p>
      <w:pPr>
        <w:pStyle w:val="Lista3"/>
      </w:pPr>
      <w:r>
        <w:t xml:space="preserve">corresponding to </w:t>
      </w:r>
      <w:r>
        <w:rPr>
          <w:rStyle w:val="Codetext"/>
        </w:rPr>
        <w:t xml:space="preserve">...vaṭatīrthaṁ nāma grāmaḥ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"12"</w:t>
      </w:r>
      <w:r>
        <w:rPr>
          <w:rStyle w:val="Code"/>
        </w:rPr>
        <w:t xml:space="preserve"> </w:t>
      </w:r>
      <w:r>
        <w:rPr>
          <w:rStyle w:val="Codeattribute"/>
        </w:rPr>
        <w:t>unit</w:t>
      </w:r>
      <w:r>
        <w:rPr>
          <w:rStyle w:val="Code"/>
        </w:rPr>
        <w:t>=</w:t>
      </w:r>
      <w:r>
        <w:rPr>
          <w:rStyle w:val="Codevalue"/>
        </w:rPr>
        <w:t>"character"</w:t>
      </w:r>
      <w:r>
        <w:rPr>
          <w:rStyle w:val="Code"/>
        </w:rPr>
        <w:t>/&gt;</w:t>
      </w:r>
      <w:r>
        <w:t xml:space="preserve"> in the edition</w:t>
      </w:r>
    </w:p>
    <w:p>
      <w:pPr>
        <w:pStyle w:val="Lista3"/>
      </w:pPr>
      <w:r>
        <w:t xml:space="preserve">as well as to </w:t>
      </w:r>
      <w:r>
        <w:rPr>
          <w:rStyle w:val="Codetext"/>
        </w:rPr>
        <w:t xml:space="preserve">...vaṭatīrthaṁ nāma grāmaḥ </w:t>
      </w:r>
      <w:r>
        <w:rPr>
          <w:rStyle w:val="Code"/>
        </w:rPr>
        <w:t xml:space="preserve">&lt;gap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"12"</w:t>
      </w:r>
      <w:r>
        <w:rPr>
          <w:rStyle w:val="Code"/>
        </w:rPr>
        <w:t xml:space="preserve"> </w:t>
      </w:r>
      <w:r>
        <w:rPr>
          <w:rStyle w:val="Codeattribute"/>
        </w:rPr>
        <w:t>unit</w:t>
      </w:r>
      <w:r>
        <w:rPr>
          <w:rStyle w:val="Code"/>
        </w:rPr>
        <w:t>=</w:t>
      </w:r>
      <w:r>
        <w:rPr>
          <w:rStyle w:val="Codevalue"/>
        </w:rPr>
        <w:t>"character"</w:t>
      </w:r>
      <w:r>
        <w:rPr>
          <w:rStyle w:val="Code"/>
        </w:rPr>
        <w:t>/&gt;</w:t>
      </w:r>
      <w:r>
        <w:t xml:space="preserve"> in the edition</w:t>
      </w:r>
    </w:p>
    <w:p>
      <w:pPr>
        <w:pStyle w:val="Lista"/>
      </w:pPr>
      <w:r>
        <w:t>as per §</w:t>
      </w:r>
      <w:r>
        <w:fldChar w:fldCharType="begin"/>
      </w:r>
      <w:r>
        <w:instrText xml:space="preserve"> REF _Ref233988179 \r \h </w:instrText>
      </w:r>
      <w:r>
        <w:fldChar w:fldCharType="separate"/>
      </w:r>
      <w:r>
        <w:t>11.4.4</w:t>
      </w:r>
      <w:r>
        <w:fldChar w:fldCharType="end"/>
      </w:r>
      <w:r>
        <w:t xml:space="preserve">, distinguish tentative restorations by using </w:t>
      </w:r>
      <w:r>
        <w:rPr>
          <w:rStyle w:val="Codeattribute"/>
        </w:rPr>
        <w:t>@cert</w:t>
      </w:r>
      <w:r>
        <w:rPr>
          <w:rStyle w:val="Code"/>
        </w:rPr>
        <w:t>=</w:t>
      </w:r>
      <w:r>
        <w:rPr>
          <w:rStyle w:val="Codevalue"/>
        </w:rPr>
        <w:t>"low"</w:t>
      </w:r>
      <w:r>
        <w:t xml:space="preserve"> </w:t>
      </w:r>
    </w:p>
    <w:p>
      <w:pPr>
        <w:pStyle w:val="Cmsor4"/>
      </w:pPr>
      <w:r>
        <w:t>Restoration of omitted text</w:t>
      </w:r>
    </w:p>
    <w:p>
      <w:pPr>
        <w:rPr>
          <w:lang w:eastAsia="en-US" w:bidi="ar-SA"/>
        </w:rPr>
      </w:pPr>
      <w:r>
        <w:rPr>
          <w:lang w:eastAsia="en-US" w:bidi="ar-SA"/>
        </w:rPr>
        <w:t>From the perspective of the translation, omitted text is any meaningful and translatable segment that is not present in the source as received but, according to the editor, should have been written and was omitted due to scribal mistake. As with the restoration of lost text (§</w:t>
      </w:r>
      <w:r>
        <w:rPr>
          <w:lang w:eastAsia="en-US" w:bidi="ar-SA"/>
        </w:rPr>
        <w:fldChar w:fldCharType="begin"/>
      </w:r>
      <w:r>
        <w:rPr>
          <w:lang w:eastAsia="en-US" w:bidi="ar-SA"/>
        </w:rPr>
        <w:instrText xml:space="preserve"> REF _Ref233292320 \r \h </w:instrText>
      </w:r>
      <w:r>
        <w:rPr>
          <w:lang w:eastAsia="en-US" w:bidi="ar-SA"/>
        </w:rPr>
      </w:r>
      <w:r>
        <w:rPr>
          <w:lang w:eastAsia="en-US" w:bidi="ar-SA"/>
        </w:rPr>
        <w:fldChar w:fldCharType="separate"/>
      </w:r>
      <w:r>
        <w:rPr>
          <w:lang w:eastAsia="en-US" w:bidi="ar-SA"/>
        </w:rPr>
        <w:t>11.4.2.3</w:t>
      </w:r>
      <w:r>
        <w:rPr>
          <w:lang w:eastAsia="en-US" w:bidi="ar-SA"/>
        </w:rPr>
        <w:fldChar w:fldCharType="end"/>
      </w:r>
      <w:r>
        <w:rPr>
          <w:lang w:eastAsia="en-US" w:bidi="ar-SA"/>
        </w:rPr>
        <w:t>), omissions smaller than words do not necessarily require markup in translation, and words may be restored in a translation even if they are not restored in the edition.</w:t>
      </w:r>
    </w:p>
    <w:p>
      <w:pPr>
        <w:pStyle w:val="Lista"/>
      </w:pPr>
      <w:r>
        <w:t xml:space="preserve">for omitted text restored in the translation, use </w:t>
      </w:r>
      <w:r>
        <w:rPr>
          <w:rStyle w:val="Code"/>
        </w:rPr>
        <w:t xml:space="preserve">&lt;supplied </w:t>
      </w:r>
      <w:r>
        <w:rPr>
          <w:rStyle w:val="Codeattribute"/>
        </w:rPr>
        <w:t>reason</w:t>
      </w:r>
      <w:r>
        <w:rPr>
          <w:rStyle w:val="Code"/>
        </w:rPr>
        <w:t>=</w:t>
      </w:r>
      <w:r>
        <w:rPr>
          <w:rStyle w:val="Codevalue"/>
        </w:rPr>
        <w:t>"omitted"</w:t>
      </w:r>
      <w:r>
        <w:rPr>
          <w:rStyle w:val="Code"/>
        </w:rPr>
        <w:t>&gt;</w:t>
      </w:r>
      <w:r>
        <w:t>, for example</w:t>
      </w:r>
    </w:p>
    <w:p>
      <w:pPr>
        <w:pStyle w:val="Lista2"/>
      </w:pPr>
      <w:r>
        <w:rPr>
          <w:rStyle w:val="Codetext"/>
        </w:rPr>
        <w:t xml:space="preserve">The truest of </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kings</w:t>
      </w:r>
      <w:r>
        <w:rPr>
          <w:rStyle w:val="Code"/>
        </w:rPr>
        <w:t>&lt;/supplied&gt;</w:t>
      </w:r>
      <w:r>
        <w:rPr>
          <w:rStyle w:val="Codetext"/>
        </w:rPr>
        <w:t>...</w:t>
      </w:r>
      <w:r>
        <w:t xml:space="preserve"> </w:t>
      </w:r>
    </w:p>
    <w:p>
      <w:pPr>
        <w:pStyle w:val="Lista3"/>
      </w:pPr>
      <w:r>
        <w:t xml:space="preserve">corresponding to </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nr̥pa</w:t>
      </w:r>
      <w:r>
        <w:rPr>
          <w:rStyle w:val="Code"/>
        </w:rPr>
        <w:t>&lt;/supplied&gt;</w:t>
      </w:r>
      <w:r>
        <w:rPr>
          <w:rStyle w:val="Codetext"/>
        </w:rPr>
        <w:t>-sattamaḥ</w:t>
      </w:r>
      <w:r>
        <w:t xml:space="preserve"> in the edition</w:t>
      </w:r>
    </w:p>
    <w:p>
      <w:pPr>
        <w:pStyle w:val="Lista"/>
      </w:pPr>
      <w:r>
        <w:t>as per §</w:t>
      </w:r>
      <w:r>
        <w:fldChar w:fldCharType="begin"/>
      </w:r>
      <w:r>
        <w:instrText xml:space="preserve"> REF _Ref233988179 \r \h </w:instrText>
      </w:r>
      <w:r>
        <w:fldChar w:fldCharType="separate"/>
      </w:r>
      <w:r>
        <w:t>11.4.4</w:t>
      </w:r>
      <w:r>
        <w:fldChar w:fldCharType="end"/>
      </w:r>
      <w:r>
        <w:t xml:space="preserve">, distinguish tentative restorations by using </w:t>
      </w:r>
      <w:r>
        <w:rPr>
          <w:rStyle w:val="Codeattribute"/>
        </w:rPr>
        <w:t>@cert</w:t>
      </w:r>
      <w:r>
        <w:rPr>
          <w:rStyle w:val="Code"/>
        </w:rPr>
        <w:t>=</w:t>
      </w:r>
      <w:r>
        <w:rPr>
          <w:rStyle w:val="Codevalue"/>
        </w:rPr>
        <w:t>"low"</w:t>
      </w:r>
      <w:r>
        <w:t xml:space="preserve"> </w:t>
      </w:r>
    </w:p>
    <w:p>
      <w:pPr>
        <w:pStyle w:val="Cmsor3"/>
      </w:pPr>
      <w:bookmarkStart w:id="807" w:name="_Ref43990112"/>
      <w:bookmarkStart w:id="808" w:name="_Toc242976699"/>
      <w:r>
        <w:t>Gaps in the translation</w:t>
      </w:r>
      <w:bookmarkEnd w:id="807"/>
      <w:bookmarkEnd w:id="808"/>
    </w:p>
    <w:p>
      <w:pPr>
        <w:rPr>
          <w:lang w:eastAsia="en-US" w:bidi="ar-SA"/>
        </w:rPr>
      </w:pPr>
      <w:r>
        <w:rPr>
          <w:lang w:eastAsia="en-US" w:bidi="ar-SA"/>
        </w:rPr>
        <w:t xml:space="preserve">Gaps in the translation, i.e. spots where there is no translated text even though text is or once was present in the source, are encoded using the element </w:t>
      </w:r>
      <w:r>
        <w:rPr>
          <w:rStyle w:val="Code"/>
        </w:rPr>
        <w:t>&lt;gap&gt;</w:t>
      </w:r>
      <w:r>
        <w:t>, with attributes as described in the following subsections.</w:t>
      </w:r>
    </w:p>
    <w:p>
      <w:pPr>
        <w:pStyle w:val="Cmsor4"/>
      </w:pPr>
      <w:r>
        <w:t>Lacunae in the translated text</w:t>
      </w:r>
    </w:p>
    <w:p>
      <w:pPr>
        <w:pStyle w:val="Lista"/>
      </w:pPr>
      <w:r>
        <w:t xml:space="preserve">when a translation has a gap because there is a lacuna in the source, use the element </w:t>
      </w:r>
      <w:r>
        <w:rPr>
          <w:rStyle w:val="Code"/>
        </w:rPr>
        <w:t>&lt;gap&gt;</w:t>
      </w:r>
      <w:r>
        <w:t xml:space="preserve"> with the same values of </w:t>
      </w:r>
      <w:r>
        <w:rPr>
          <w:rStyle w:val="Codeattribute"/>
        </w:rPr>
        <w:t>@reason</w:t>
      </w:r>
      <w:r>
        <w:t xml:space="preserve"> as those encoded on the lacuna in the edition (as per §</w:t>
      </w:r>
      <w:r>
        <w:fldChar w:fldCharType="begin"/>
      </w:r>
      <w:r>
        <w:instrText xml:space="preserve"> REF _Ref43987758 \w \h  \* MERGEFORMAT </w:instrText>
      </w:r>
      <w:r>
        <w:fldChar w:fldCharType="separate"/>
      </w:r>
      <w:r>
        <w:t>6.5.1.1</w:t>
      </w:r>
      <w:r>
        <w:fldChar w:fldCharType="end"/>
      </w:r>
      <w:r>
        <w:t xml:space="preserve">), namely </w:t>
      </w:r>
      <w:r>
        <w:rPr>
          <w:rStyle w:val="Codevalue"/>
        </w:rPr>
        <w:t>"lost"</w:t>
      </w:r>
      <w:r>
        <w:t xml:space="preserve">, </w:t>
      </w:r>
      <w:r>
        <w:rPr>
          <w:rStyle w:val="Codevalue"/>
        </w:rPr>
        <w:t>"illegible"</w:t>
      </w:r>
      <w:r>
        <w:t xml:space="preserve"> or </w:t>
      </w:r>
      <w:r>
        <w:rPr>
          <w:rStyle w:val="Codevalue"/>
        </w:rPr>
        <w:t>"undefined"</w:t>
      </w:r>
    </w:p>
    <w:p>
      <w:pPr>
        <w:pStyle w:val="Lista2"/>
      </w:pPr>
      <w:r>
        <w:t xml:space="preserve">it is not mandatory to encode the size of the lacuna in the edition, so </w:t>
      </w:r>
      <w:r>
        <w:rPr>
          <w:rStyle w:val="Code"/>
        </w:rPr>
        <w:t>&lt;gap&gt;</w:t>
      </w:r>
      <w:r>
        <w:t xml:space="preserve"> may be used without any additional attributes</w:t>
      </w:r>
    </w:p>
    <w:p>
      <w:pPr>
        <w:pStyle w:val="Lista2"/>
      </w:pPr>
      <w:r>
        <w:t xml:space="preserve">however, when you deem it essential to present accurate details of a lacuna in the translated text, you may optionally use the attributes </w:t>
      </w:r>
      <w:r>
        <w:rPr>
          <w:rStyle w:val="Codeattribute"/>
        </w:rPr>
        <w:t>@unit</w:t>
      </w:r>
      <w:r>
        <w:t xml:space="preserve">, </w:t>
      </w:r>
      <w:r>
        <w:rPr>
          <w:rStyle w:val="Codeattribute"/>
        </w:rPr>
        <w:t>@quantity</w:t>
      </w:r>
      <w:r>
        <w:t xml:space="preserve"> and </w:t>
      </w:r>
      <w:r>
        <w:rPr>
          <w:rStyle w:val="Codeattribute"/>
        </w:rPr>
        <w:t>@precision</w:t>
      </w:r>
      <w:r>
        <w:t xml:space="preserve"> as set out in §</w:t>
      </w:r>
      <w:r>
        <w:fldChar w:fldCharType="begin"/>
      </w:r>
      <w:r>
        <w:instrText xml:space="preserve"> REF _Ref228262228 \r \h </w:instrText>
      </w:r>
      <w:r>
        <w:fldChar w:fldCharType="separate"/>
      </w:r>
      <w:r>
        <w:t>6.5.1.2</w:t>
      </w:r>
      <w:r>
        <w:fldChar w:fldCharType="end"/>
      </w:r>
      <w:r>
        <w:t>, with the following additional considerations:</w:t>
      </w:r>
    </w:p>
    <w:p>
      <w:pPr>
        <w:pStyle w:val="Lista3"/>
      </w:pPr>
      <w:r>
        <w:t xml:space="preserve">fractional numbers </w:t>
      </w:r>
      <w:r>
        <w:rPr>
          <w:noProof/>
        </w:rPr>
        <w:t>(</w:t>
      </w:r>
      <w:r>
        <w:t xml:space="preserve">decimal fractions) for </w:t>
      </w:r>
      <w:r>
        <w:rPr>
          <w:rStyle w:val="Codeattribute"/>
        </w:rPr>
        <w:t>@quantity</w:t>
      </w:r>
      <w:r>
        <w:t xml:space="preserve"> are permitted in this case, even though they cannot be used in the edition</w:t>
      </w:r>
    </w:p>
    <w:p>
      <w:pPr>
        <w:pStyle w:val="Lista3"/>
      </w:pPr>
      <w:r>
        <w:rPr>
          <w:rStyle w:val="Codeattribute"/>
        </w:rPr>
        <w:lastRenderedPageBreak/>
        <w:t>@unit</w:t>
      </w:r>
      <w:r>
        <w:t xml:space="preserve"> may be </w:t>
      </w:r>
      <w:r>
        <w:rPr>
          <w:rStyle w:val="Codevalue"/>
        </w:rPr>
        <w:t>"line"</w:t>
      </w:r>
      <w:r>
        <w:t xml:space="preserve"> even if a multiline lacuna is represented in the edition as a series of inline lacunae</w:t>
      </w:r>
    </w:p>
    <w:p>
      <w:pPr>
        <w:pStyle w:val="Lista3"/>
      </w:pPr>
      <w:r>
        <w:t xml:space="preserve">no other methods of lacuna markup shall be used in translations, i.e. avoid the use of </w:t>
      </w:r>
      <w:r>
        <w:rPr>
          <w:rStyle w:val="Codeattribute"/>
        </w:rPr>
        <w:t>@extent</w:t>
      </w:r>
      <w:r>
        <w:t xml:space="preserve"> and the encoding of </w:t>
      </w:r>
      <w:r>
        <w:rPr>
          <w:noProof/>
        </w:rPr>
        <w:t>sub-</w:t>
      </w:r>
      <w:r>
        <w:rPr>
          <w:rStyle w:val="Foreign"/>
        </w:rPr>
        <w:t>akṣara</w:t>
      </w:r>
      <w:r>
        <w:t xml:space="preserve"> lacunae</w:t>
      </w:r>
    </w:p>
    <w:p>
      <w:pPr>
        <w:pStyle w:val="Cmsor4"/>
      </w:pPr>
      <w:bookmarkStart w:id="809" w:name="_Ref233295555"/>
      <w:r>
        <w:t>Unintelligible source text</w:t>
      </w:r>
      <w:bookmarkEnd w:id="809"/>
    </w:p>
    <w:p>
      <w:pPr>
        <w:pStyle w:val="Lista"/>
      </w:pPr>
      <w:r>
        <w:t xml:space="preserve">when a translation has a gap because part of the source text cannot be interpreted to produce even a tentative translation, use the element </w:t>
      </w:r>
      <w:r>
        <w:rPr>
          <w:rStyle w:val="Code"/>
        </w:rPr>
        <w:t>&lt;gap&gt;</w:t>
      </w:r>
      <w:r>
        <w:t xml:space="preserve"> with </w:t>
      </w:r>
      <w:r>
        <w:rPr>
          <w:rStyle w:val="Codeattribute"/>
        </w:rPr>
        <w:t>@reason=</w:t>
      </w:r>
      <w:r>
        <w:rPr>
          <w:rStyle w:val="Codevalue"/>
        </w:rPr>
        <w:t>"ellipsis"</w:t>
      </w:r>
      <w:r>
        <w:t xml:space="preserve">, without any further attributes </w:t>
      </w:r>
    </w:p>
    <w:p>
      <w:pPr>
        <w:pStyle w:val="Lista"/>
      </w:pPr>
      <w:r>
        <w:t>after this element, insert either or both of the following</w:t>
      </w:r>
    </w:p>
    <w:p>
      <w:pPr>
        <w:pStyle w:val="Lista2"/>
      </w:pPr>
      <w:r>
        <w:t>the verbatim received text encoded as an explanatory addition to the translation (§</w:t>
      </w:r>
      <w:r>
        <w:fldChar w:fldCharType="begin"/>
      </w:r>
      <w:r>
        <w:instrText xml:space="preserve"> REF _Ref233288292 \r \h </w:instrText>
      </w:r>
      <w:r>
        <w:fldChar w:fldCharType="separate"/>
      </w:r>
      <w:r>
        <w:t>11.4.2.2</w:t>
      </w:r>
      <w:r>
        <w:fldChar w:fldCharType="end"/>
      </w:r>
      <w:r>
        <w:t>)</w:t>
      </w:r>
    </w:p>
    <w:p>
      <w:pPr>
        <w:pStyle w:val="Lista3"/>
      </w:pPr>
      <w:r>
        <w:t xml:space="preserve">e.g. </w:t>
      </w:r>
      <w:r>
        <w:rPr>
          <w:rStyle w:val="Codetext"/>
        </w:rPr>
        <w:t>To the east, the</w:t>
      </w:r>
      <w:r>
        <w:rPr>
          <w:rStyle w:val="Code"/>
        </w:rPr>
        <w:t xml:space="preserve"> &lt;gap </w:t>
      </w:r>
      <w:r>
        <w:rPr>
          <w:rStyle w:val="Codeattribute"/>
        </w:rPr>
        <w:t>reason=</w:t>
      </w:r>
      <w:r>
        <w:rPr>
          <w:rStyle w:val="Codevalue"/>
        </w:rPr>
        <w:t>"ellipsis"</w:t>
      </w:r>
      <w:r>
        <w:rPr>
          <w:rStyle w:val="Code"/>
        </w:rPr>
        <w:t>/&gt;</w:t>
      </w:r>
      <w:r>
        <w:rPr>
          <w:rStyle w:val="Codetext"/>
        </w:rPr>
        <w:t xml:space="preserve"> </w:t>
      </w:r>
      <w:r>
        <w:rPr>
          <w:rStyle w:val="Code"/>
        </w:rPr>
        <w:t xml:space="preserve">&lt;supplied </w:t>
      </w:r>
      <w:r>
        <w:rPr>
          <w:rStyle w:val="Codeattribute"/>
        </w:rPr>
        <w:t>reason=</w:t>
      </w:r>
      <w:r>
        <w:rPr>
          <w:rStyle w:val="Codevalue"/>
        </w:rPr>
        <w:t>"explanation"</w:t>
      </w:r>
      <w:r>
        <w:rPr>
          <w:rStyle w:val="Code"/>
        </w:rPr>
        <w:t>&gt;&lt;foreign&gt;majjaya-paṭu&lt;/foreign&gt;&lt;/supplied&gt;</w:t>
      </w:r>
      <w:r>
        <w:rPr>
          <w:rStyle w:val="Codetext"/>
        </w:rPr>
        <w:t xml:space="preserve"> of Badirāla</w:t>
      </w:r>
    </w:p>
    <w:p>
      <w:pPr>
        <w:pStyle w:val="Lista2"/>
      </w:pPr>
      <w:r>
        <w:t xml:space="preserve">a </w:t>
      </w:r>
      <w:r>
        <w:rPr>
          <w:rStyle w:val="Code"/>
        </w:rPr>
        <w:t>&lt;note&gt;</w:t>
      </w:r>
      <w:r>
        <w:t xml:space="preserve"> element (§</w:t>
      </w:r>
      <w:r>
        <w:fldChar w:fldCharType="begin"/>
      </w:r>
      <w:r>
        <w:instrText xml:space="preserve"> REF _Ref43989684 \r \h </w:instrText>
      </w:r>
      <w:r>
        <w:fldChar w:fldCharType="separate"/>
      </w:r>
      <w:r>
        <w:t>14.5</w:t>
      </w:r>
      <w:r>
        <w:fldChar w:fldCharType="end"/>
      </w:r>
      <w:r>
        <w:t>) to explain the nature of the unintelligible segment</w:t>
      </w:r>
    </w:p>
    <w:p>
      <w:pPr>
        <w:pStyle w:val="Cmsor4"/>
      </w:pPr>
      <w:bookmarkStart w:id="810" w:name="_Ref233298630"/>
      <w:r>
        <w:t>Passages omitted from translation</w:t>
      </w:r>
      <w:bookmarkEnd w:id="810"/>
    </w:p>
    <w:p>
      <w:r>
        <w:rPr>
          <w:lang w:eastAsia="en-US" w:bidi="ar-SA"/>
        </w:rPr>
        <w:t xml:space="preserve">Translations, especially previously published translations, may contain gaps for no particular reason, primarily when a segment of the text was considered </w:t>
      </w:r>
      <w:r>
        <w:t>too trivial to translate.</w:t>
      </w:r>
    </w:p>
    <w:p>
      <w:pPr>
        <w:pStyle w:val="Lista"/>
      </w:pPr>
      <w:r>
        <w:t xml:space="preserve">when a translation has a gap for reasons other than a lacuna in the source or unintelligible source text, use the element </w:t>
      </w:r>
      <w:r>
        <w:rPr>
          <w:rStyle w:val="Code"/>
        </w:rPr>
        <w:t>&lt;gap&gt;</w:t>
      </w:r>
      <w:r>
        <w:t xml:space="preserve"> with </w:t>
      </w:r>
      <w:r>
        <w:rPr>
          <w:rStyle w:val="Codeattribute"/>
        </w:rPr>
        <w:t>@reason=</w:t>
      </w:r>
      <w:r>
        <w:rPr>
          <w:rStyle w:val="Codevalue"/>
        </w:rPr>
        <w:t>"ellipsis"</w:t>
      </w:r>
      <w:r>
        <w:t>, without any further attributes</w:t>
      </w:r>
    </w:p>
    <w:p>
      <w:pPr>
        <w:pStyle w:val="Lista"/>
      </w:pPr>
      <w:r>
        <w:t xml:space="preserve">preferably, after the </w:t>
      </w:r>
      <w:r>
        <w:rPr>
          <w:rStyle w:val="Code"/>
        </w:rPr>
        <w:t>&lt;supplied&gt;</w:t>
      </w:r>
      <w:r>
        <w:t xml:space="preserve"> element, add a </w:t>
      </w:r>
      <w:r>
        <w:rPr>
          <w:rStyle w:val="Code"/>
        </w:rPr>
        <w:t>&lt;note&gt;</w:t>
      </w:r>
      <w:r>
        <w:t xml:space="preserve"> element (§</w:t>
      </w:r>
      <w:r>
        <w:fldChar w:fldCharType="begin"/>
      </w:r>
      <w:r>
        <w:instrText xml:space="preserve"> REF _Ref43989684 \r \h </w:instrText>
      </w:r>
      <w:r>
        <w:fldChar w:fldCharType="separate"/>
      </w:r>
      <w:r>
        <w:t>14.5</w:t>
      </w:r>
      <w:r>
        <w:fldChar w:fldCharType="end"/>
      </w:r>
      <w:r>
        <w:t>) with an explanation of why the text has not been translated</w:t>
      </w:r>
    </w:p>
    <w:p>
      <w:pPr>
        <w:pStyle w:val="Cmsor3"/>
      </w:pPr>
      <w:bookmarkStart w:id="811" w:name="_ch9cnmcz0pvb" w:colFirst="0" w:colLast="0"/>
      <w:bookmarkStart w:id="812" w:name="_lqyt4grwngxw" w:colFirst="0" w:colLast="0"/>
      <w:bookmarkStart w:id="813" w:name="_Ref233988179"/>
      <w:bookmarkStart w:id="814" w:name="_Toc242976700"/>
      <w:bookmarkEnd w:id="798"/>
      <w:bookmarkEnd w:id="811"/>
      <w:bookmarkEnd w:id="812"/>
      <w:r>
        <w:t>Tentative translation</w:t>
      </w:r>
      <w:bookmarkEnd w:id="813"/>
      <w:bookmarkEnd w:id="814"/>
    </w:p>
    <w:p>
      <w:pPr>
        <w:rPr>
          <w:lang w:eastAsia="en-US" w:bidi="ar-SA"/>
        </w:rPr>
      </w:pPr>
      <w:r>
        <w:rPr>
          <w:lang w:eastAsia="en-US" w:bidi="ar-SA"/>
        </w:rPr>
        <w:t>When the source is difficult to interpret and a word, phrase or passage of your translation is tentative or reflects only one of several possible interpretations, encode this as follows.</w:t>
      </w:r>
    </w:p>
    <w:p>
      <w:pPr>
        <w:pStyle w:val="Lista"/>
      </w:pPr>
      <w:r>
        <w:t xml:space="preserve">for the tentative translation of words and phrases present in the source as received, wrap the relevant part of the translation in the element </w:t>
      </w:r>
      <w:r>
        <w:rPr>
          <w:rStyle w:val="Code"/>
        </w:rPr>
        <w:t>&lt;seg&gt;</w:t>
      </w:r>
      <w:r>
        <w:t xml:space="preserve"> with the mandatory attribute </w:t>
      </w:r>
      <w:r>
        <w:rPr>
          <w:rStyle w:val="Codeattribute"/>
        </w:rPr>
        <w:t>@cert</w:t>
      </w:r>
      <w:r>
        <w:rPr>
          <w:rStyle w:val="Code"/>
        </w:rPr>
        <w:t>=</w:t>
      </w:r>
      <w:r>
        <w:rPr>
          <w:rStyle w:val="Codevalue"/>
        </w:rPr>
        <w:t>"low"</w:t>
      </w:r>
    </w:p>
    <w:p>
      <w:pPr>
        <w:pStyle w:val="Lista2"/>
      </w:pPr>
      <w:r>
        <w:t xml:space="preserve">e.g.  </w:t>
      </w:r>
      <w:r>
        <w:rPr>
          <w:rStyle w:val="Code"/>
        </w:rPr>
        <w:t>&lt;p&gt;</w:t>
      </w:r>
      <w:r>
        <w:rPr>
          <w:rStyle w:val="Codetext"/>
        </w:rPr>
        <w:t xml:space="preserve">Out of the hundred and </w:t>
      </w:r>
      <w:r>
        <w:rPr>
          <w:rStyle w:val="Code"/>
        </w:rPr>
        <w:t xml:space="preserve">&lt;seg </w:t>
      </w:r>
      <w:r>
        <w:rPr>
          <w:rStyle w:val="Codeattribute"/>
        </w:rPr>
        <w:t>cert</w:t>
      </w:r>
      <w:r>
        <w:rPr>
          <w:rStyle w:val="Code"/>
        </w:rPr>
        <w:t>=</w:t>
      </w:r>
      <w:r>
        <w:rPr>
          <w:rStyle w:val="Codevalue"/>
        </w:rPr>
        <w:t>"low"</w:t>
      </w:r>
      <w:r>
        <w:rPr>
          <w:rStyle w:val="Code"/>
        </w:rPr>
        <w:t>&gt;</w:t>
      </w:r>
      <w:r>
        <w:rPr>
          <w:rStyle w:val="Codetext"/>
        </w:rPr>
        <w:t>twenty</w:t>
      </w:r>
      <w:r>
        <w:rPr>
          <w:rStyle w:val="Code"/>
        </w:rPr>
        <w:t>&lt;/seg&gt;</w:t>
      </w:r>
      <w:r>
        <w:rPr>
          <w:rStyle w:val="Codetext"/>
        </w:rPr>
        <w:t xml:space="preserve"> shares comprising this village ... </w:t>
      </w:r>
      <w:r>
        <w:rPr>
          <w:rStyle w:val="Code"/>
        </w:rPr>
        <w:t>&lt;/p&gt;</w:t>
      </w:r>
    </w:p>
    <w:p>
      <w:pPr>
        <w:pStyle w:val="Lista2"/>
      </w:pPr>
      <w:r>
        <w:t xml:space="preserve">use this method regardless of whether the tentativeness of your translation stems from the condition of the original </w:t>
      </w:r>
      <w:r>
        <w:rPr>
          <w:noProof/>
        </w:rPr>
        <w:t>(</w:t>
      </w:r>
      <w:r>
        <w:t>e.g. partly or wholly unclear, illegible or restored) or from the obscurity of its language</w:t>
      </w:r>
    </w:p>
    <w:p>
      <w:pPr>
        <w:pStyle w:val="Lista"/>
      </w:pPr>
      <w:r>
        <w:t>for words and phrases not present in the received source but supplied in the translation (§</w:t>
      </w:r>
      <w:r>
        <w:fldChar w:fldCharType="begin"/>
      </w:r>
      <w:r>
        <w:instrText xml:space="preserve"> REF _Ref233295943 \r \h </w:instrText>
      </w:r>
      <w:r>
        <w:fldChar w:fldCharType="separate"/>
      </w:r>
      <w:r>
        <w:t>11.4.2</w:t>
      </w:r>
      <w:r>
        <w:fldChar w:fldCharType="end"/>
      </w:r>
      <w:r>
        <w:t xml:space="preserve">), add </w:t>
      </w:r>
      <w:bookmarkStart w:id="815" w:name="_Hlk233290745"/>
      <w:r>
        <w:rPr>
          <w:rStyle w:val="Codeattribute"/>
        </w:rPr>
        <w:t>@cert</w:t>
      </w:r>
      <w:r>
        <w:rPr>
          <w:rStyle w:val="Code"/>
        </w:rPr>
        <w:t>=</w:t>
      </w:r>
      <w:r>
        <w:rPr>
          <w:rStyle w:val="Codevalue"/>
        </w:rPr>
        <w:t>"low"</w:t>
      </w:r>
      <w:bookmarkEnd w:id="815"/>
      <w:r>
        <w:t xml:space="preserve"> to the relevant </w:t>
      </w:r>
      <w:r>
        <w:rPr>
          <w:rStyle w:val="Code"/>
        </w:rPr>
        <w:t>&lt;supplied&gt;</w:t>
      </w:r>
      <w:r>
        <w:t xml:space="preserve"> element to indicate its tentative nature</w:t>
      </w:r>
    </w:p>
    <w:p>
      <w:pPr>
        <w:pStyle w:val="Lista2"/>
      </w:pPr>
      <w:r>
        <w:t xml:space="preserve">e.g. </w:t>
      </w:r>
      <w:r>
        <w:rPr>
          <w:rStyle w:val="Code"/>
        </w:rPr>
        <w:t>&lt;p&gt;</w:t>
      </w:r>
      <w:r>
        <w:rPr>
          <w:rStyle w:val="Codetext"/>
        </w:rPr>
        <w:t xml:space="preserve">On this day he </w:t>
      </w:r>
      <w:r>
        <w:rPr>
          <w:rStyle w:val="Code"/>
        </w:rPr>
        <w:t xml:space="preserve">&lt;supplied </w:t>
      </w:r>
      <w:r>
        <w:rPr>
          <w:rStyle w:val="Codeattribute"/>
        </w:rPr>
        <w:t>reason</w:t>
      </w:r>
      <w:r>
        <w:rPr>
          <w:rStyle w:val="Code"/>
        </w:rPr>
        <w:t>=</w:t>
      </w:r>
      <w:r>
        <w:rPr>
          <w:rStyle w:val="Codevalue"/>
        </w:rPr>
        <w:t>"explanation"</w:t>
      </w:r>
      <w:r>
        <w:rPr>
          <w:rStyle w:val="Code"/>
        </w:rPr>
        <w:t xml:space="preserve"> </w:t>
      </w:r>
      <w:r>
        <w:rPr>
          <w:rStyle w:val="Codeattribute"/>
        </w:rPr>
        <w:t>cert</w:t>
      </w:r>
      <w:r>
        <w:rPr>
          <w:rStyle w:val="Code"/>
        </w:rPr>
        <w:t>=</w:t>
      </w:r>
      <w:r>
        <w:rPr>
          <w:rStyle w:val="Codevalue"/>
        </w:rPr>
        <w:t>"low"</w:t>
      </w:r>
      <w:r>
        <w:rPr>
          <w:rStyle w:val="Code"/>
        </w:rPr>
        <w:t>&gt;</w:t>
      </w:r>
      <w:r>
        <w:rPr>
          <w:rStyle w:val="Codetext"/>
        </w:rPr>
        <w:t>Viṣṇuvardhana III</w:t>
      </w:r>
      <w:r>
        <w:rPr>
          <w:rStyle w:val="Code"/>
        </w:rPr>
        <w:t>&lt;/supplied&gt;</w:t>
      </w:r>
      <w:r>
        <w:rPr>
          <w:rStyle w:val="Codetext"/>
        </w:rPr>
        <w:t xml:space="preserve"> donated … </w:t>
      </w:r>
      <w:r>
        <w:rPr>
          <w:rStyle w:val="Code"/>
        </w:rPr>
        <w:t>&lt;/p&gt;</w:t>
      </w:r>
    </w:p>
    <w:p>
      <w:pPr>
        <w:pStyle w:val="Cmsor3"/>
      </w:pPr>
      <w:bookmarkStart w:id="816" w:name="_7koll7kvgjet" w:colFirst="0" w:colLast="0"/>
      <w:bookmarkStart w:id="817" w:name="_Ref43990147"/>
      <w:bookmarkStart w:id="818" w:name="_Toc242976701"/>
      <w:bookmarkEnd w:id="816"/>
      <w:r>
        <w:t>Incorrect or unexpected text</w:t>
      </w:r>
      <w:bookmarkEnd w:id="817"/>
      <w:bookmarkEnd w:id="818"/>
    </w:p>
    <w:p>
      <w:r>
        <w:t xml:space="preserve">When the source text is semantically inappropriate, incorrect or unexpected (e.g. on the basis of parallel texts) and you translate it literally, optionally wrap the corresponding translation in the element </w:t>
      </w:r>
      <w:r>
        <w:rPr>
          <w:rStyle w:val="Code"/>
        </w:rPr>
        <w:t>&lt;sic&gt;</w:t>
      </w:r>
      <w:r>
        <w:t xml:space="preserve"> to indicate that the translation corresponds to the source even though it is problematic.</w:t>
      </w:r>
    </w:p>
    <w:p>
      <w:pPr>
        <w:pStyle w:val="Cmsor3"/>
      </w:pPr>
      <w:bookmarkStart w:id="819" w:name="_nmj09iowt53z" w:colFirst="0" w:colLast="0"/>
      <w:bookmarkStart w:id="820" w:name="_uuedk8qhkcii" w:colFirst="0" w:colLast="0"/>
      <w:bookmarkStart w:id="821" w:name="_Toc242976702"/>
      <w:bookmarkEnd w:id="819"/>
      <w:bookmarkEnd w:id="820"/>
      <w:r>
        <w:t>Bitextual translation</w:t>
      </w:r>
      <w:bookmarkEnd w:id="821"/>
    </w:p>
    <w:p>
      <w:r>
        <w:rPr>
          <w:lang w:eastAsia="en-US" w:bidi="ar-SA"/>
        </w:rPr>
        <w:t xml:space="preserve">Our source texts frequently employ </w:t>
      </w:r>
      <w:r>
        <w:t xml:space="preserve">bitextuality </w:t>
      </w:r>
      <w:r>
        <w:rPr>
          <w:noProof/>
        </w:rPr>
        <w:t xml:space="preserve">(double entendre, </w:t>
      </w:r>
      <w:r>
        <w:rPr>
          <w:rStyle w:val="Foreign"/>
        </w:rPr>
        <w:t>śleṣa</w:t>
      </w:r>
      <w:r>
        <w:t xml:space="preserve">) as a poetic device. Depending on the nature of the bitextual phrase at hand and your personal translation style, double (or additional) meanings may be rendered in translation either as alternatives to specific parts of the translated text (as in </w:t>
      </w:r>
      <w:r>
        <w:fldChar w:fldCharType="begin"/>
      </w:r>
      <w:r>
        <w:instrText xml:space="preserve"> REF _Ref233296405 \h </w:instrText>
      </w:r>
      <w:r>
        <w:fldChar w:fldCharType="separate"/>
      </w:r>
      <w:r>
        <w:t xml:space="preserve">Exhibit </w:t>
      </w:r>
      <w:r>
        <w:rPr>
          <w:noProof/>
        </w:rPr>
        <w:t>11.4</w:t>
      </w:r>
      <w:r>
        <w:t>.</w:t>
      </w:r>
      <w:r>
        <w:rPr>
          <w:noProof/>
        </w:rPr>
        <w:t>B</w:t>
      </w:r>
      <w:r>
        <w:fldChar w:fldCharType="end"/>
      </w:r>
      <w:r>
        <w:t xml:space="preserve">) or integrated into a semantic whole (as in </w:t>
      </w:r>
      <w:r>
        <w:fldChar w:fldCharType="begin"/>
      </w:r>
      <w:r>
        <w:instrText xml:space="preserve"> REF _Ref233296432 \h </w:instrText>
      </w:r>
      <w:r>
        <w:fldChar w:fldCharType="separate"/>
      </w:r>
      <w:r>
        <w:t xml:space="preserve">Exhibit </w:t>
      </w:r>
      <w:r>
        <w:rPr>
          <w:noProof/>
        </w:rPr>
        <w:t>11.4</w:t>
      </w:r>
      <w:r>
        <w:t>.</w:t>
      </w:r>
      <w:r>
        <w:rPr>
          <w:noProof/>
        </w:rPr>
        <w:t>C</w:t>
      </w:r>
      <w:r>
        <w:fldChar w:fldCharType="end"/>
      </w:r>
      <w:r>
        <w:t>). Because of the potential complexity of such poetic expressions, we provide a single method for encoding the translation of bitextual readings. This encoding will not be machine-actionable and will occasionally leave some ambiguity that will have to be resolved by the human reader.</w:t>
      </w:r>
    </w:p>
    <w:p>
      <w:pPr>
        <w:pStyle w:val="Lista"/>
      </w:pPr>
      <w:r>
        <w:t>in your translation, select one translation of the double entendre as the primary or more literal one</w:t>
      </w:r>
    </w:p>
    <w:p>
      <w:pPr>
        <w:pStyle w:val="Lista2"/>
      </w:pPr>
      <w:r>
        <w:lastRenderedPageBreak/>
        <w:t>apply no markup to the primary translation</w:t>
      </w:r>
    </w:p>
    <w:p>
      <w:pPr>
        <w:pStyle w:val="Lista"/>
      </w:pPr>
      <w:r>
        <w:t>any alternative translations of the same word or phrase will be designated as secondary</w:t>
      </w:r>
    </w:p>
    <w:p>
      <w:pPr>
        <w:pStyle w:val="Lista2"/>
      </w:pPr>
      <w:r>
        <w:rPr>
          <w:noProof/>
        </w:rPr>
        <w:t xml:space="preserve">wrap the translations of all </w:t>
      </w:r>
      <w:r>
        <w:t xml:space="preserve">secondary meanings in </w:t>
      </w:r>
      <w:r>
        <w:rPr>
          <w:rStyle w:val="Code"/>
        </w:rPr>
        <w:t xml:space="preserve">&lt;seg </w:t>
      </w:r>
      <w:r>
        <w:rPr>
          <w:rStyle w:val="Codeattribute"/>
        </w:rPr>
        <w:t>rend</w:t>
      </w:r>
      <w:r>
        <w:rPr>
          <w:rStyle w:val="Code"/>
        </w:rPr>
        <w:t>=</w:t>
      </w:r>
      <w:r>
        <w:rPr>
          <w:rStyle w:val="Codevalue"/>
        </w:rPr>
        <w:t>"pun"</w:t>
      </w:r>
      <w:r>
        <w:rPr>
          <w:rStyle w:val="Code"/>
        </w:rPr>
        <w:t>&gt;</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822" w:name="_Ref233296405"/>
            <w:r>
              <w:t xml:space="preserve">Exhibit </w:t>
            </w:r>
            <w:fldSimple w:instr=" STYLEREF 2 \s ">
              <w:r>
                <w:rPr>
                  <w:noProof/>
                </w:rPr>
                <w:t>11.4</w:t>
              </w:r>
            </w:fldSimple>
            <w:r>
              <w:t>.</w:t>
            </w:r>
            <w:fldSimple w:instr=" SEQ Exhibit \* ALPHABETIC \s 2 ">
              <w:r>
                <w:rPr>
                  <w:noProof/>
                </w:rPr>
                <w:t>B</w:t>
              </w:r>
            </w:fldSimple>
            <w:bookmarkEnd w:id="822"/>
            <w:r>
              <w:t>: translation with bitextual words dispersed across a stretch of text</w:t>
            </w:r>
          </w:p>
        </w:tc>
      </w:tr>
      <w:tr>
        <w:tc>
          <w:tcPr>
            <w:tcW w:w="5000" w:type="pct"/>
          </w:tcPr>
          <w:p>
            <w:pPr>
              <w:pStyle w:val="Tabletext"/>
              <w:rPr>
                <w:rStyle w:val="Foreign"/>
              </w:rPr>
            </w:pPr>
            <w:r>
              <w:rPr>
                <w:rStyle w:val="Foreign"/>
              </w:rPr>
              <w:t>meruṁ vividha-budha-samāśrayatayānukurvvaN</w:t>
            </w:r>
          </w:p>
        </w:tc>
      </w:tr>
      <w:tr>
        <w:tc>
          <w:tcPr>
            <w:tcW w:w="5000" w:type="pct"/>
          </w:tcPr>
          <w:p>
            <w:pPr>
              <w:pStyle w:val="CodeParagraph"/>
            </w:pPr>
            <w:r>
              <w:rPr>
                <w:rStyle w:val="Codetext"/>
              </w:rPr>
              <w:t xml:space="preserve">... he resembles Mount Meru in being a supporter </w:t>
            </w:r>
            <w:r>
              <w:rPr>
                <w:rStyle w:val="Code"/>
              </w:rPr>
              <w:t xml:space="preserve">&lt;seg </w:t>
            </w:r>
            <w:r>
              <w:rPr>
                <w:rStyle w:val="Codeattribute"/>
              </w:rPr>
              <w:t>rend</w:t>
            </w:r>
            <w:r>
              <w:rPr>
                <w:rStyle w:val="Code"/>
              </w:rPr>
              <w:t>=</w:t>
            </w:r>
            <w:r>
              <w:rPr>
                <w:rStyle w:val="Codevalue"/>
              </w:rPr>
              <w:t>"pun"</w:t>
            </w:r>
            <w:r>
              <w:rPr>
                <w:rStyle w:val="Code"/>
              </w:rPr>
              <w:t>&gt;</w:t>
            </w:r>
            <w:r>
              <w:rPr>
                <w:rStyle w:val="Codetext"/>
              </w:rPr>
              <w:t>the abode</w:t>
            </w:r>
            <w:r>
              <w:rPr>
                <w:rStyle w:val="Code"/>
              </w:rPr>
              <w:t>&lt;/seg&gt;</w:t>
            </w:r>
            <w:r>
              <w:rPr>
                <w:rStyle w:val="Codetext"/>
              </w:rPr>
              <w:t xml:space="preserve"> of diverse learned men </w:t>
            </w:r>
            <w:r>
              <w:rPr>
                <w:rStyle w:val="Code"/>
              </w:rPr>
              <w:t xml:space="preserve">&lt;seg </w:t>
            </w:r>
            <w:r>
              <w:rPr>
                <w:rStyle w:val="Codeattribute"/>
              </w:rPr>
              <w:t>rend</w:t>
            </w:r>
            <w:r>
              <w:rPr>
                <w:rStyle w:val="Code"/>
              </w:rPr>
              <w:t>=</w:t>
            </w:r>
            <w:r>
              <w:rPr>
                <w:rStyle w:val="Codevalue"/>
              </w:rPr>
              <w:t>"pun"</w:t>
            </w:r>
            <w:r>
              <w:rPr>
                <w:rStyle w:val="Code"/>
              </w:rPr>
              <w:t>&gt;</w:t>
            </w:r>
            <w:r>
              <w:rPr>
                <w:rStyle w:val="Codetext"/>
              </w:rPr>
              <w:t>gods</w:t>
            </w:r>
            <w:r>
              <w:rPr>
                <w:rStyle w:val="Code"/>
              </w:rPr>
              <w:t>&lt;/seg&gt; ...</w:t>
            </w:r>
          </w:p>
        </w:tc>
      </w:tr>
      <w:tr>
        <w:tc>
          <w:tcPr>
            <w:tcW w:w="5000" w:type="pct"/>
          </w:tcPr>
          <w:p>
            <w:pPr>
              <w:pStyle w:val="TableNote"/>
            </w:pPr>
            <w:r>
              <w:t>display: … he resembles Mount Meru in being a supporter {the abode} of diverse learned men {gods} …</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823" w:name="_Ref233296432"/>
            <w:r>
              <w:t xml:space="preserve">Exhibit </w:t>
            </w:r>
            <w:fldSimple w:instr=" STYLEREF 2 \s ">
              <w:r>
                <w:rPr>
                  <w:noProof/>
                </w:rPr>
                <w:t>11.4</w:t>
              </w:r>
            </w:fldSimple>
            <w:r>
              <w:t>.</w:t>
            </w:r>
            <w:fldSimple w:instr=" SEQ Exhibit \* ALPHABETIC \s 2 ">
              <w:r>
                <w:rPr>
                  <w:noProof/>
                </w:rPr>
                <w:t>C</w:t>
              </w:r>
            </w:fldSimple>
            <w:bookmarkEnd w:id="823"/>
            <w:r>
              <w:t>: translation with bitextual interpretation integrated into one sentence</w:t>
            </w:r>
          </w:p>
        </w:tc>
      </w:tr>
      <w:tr>
        <w:tc>
          <w:tcPr>
            <w:tcW w:w="5000" w:type="pct"/>
          </w:tcPr>
          <w:p>
            <w:pPr>
              <w:pStyle w:val="Tabletext"/>
              <w:rPr>
                <w:rStyle w:val="Foreign"/>
              </w:rPr>
            </w:pPr>
            <w:r>
              <w:rPr>
                <w:rStyle w:val="Foreign"/>
              </w:rPr>
              <w:t>droṇa Iva kr̥pānugataḥ</w:t>
            </w:r>
          </w:p>
        </w:tc>
      </w:tr>
      <w:tr>
        <w:tc>
          <w:tcPr>
            <w:tcW w:w="5000" w:type="pct"/>
          </w:tcPr>
          <w:p>
            <w:pPr>
              <w:pStyle w:val="CodeParagraph"/>
              <w:keepNext/>
            </w:pPr>
            <w:r>
              <w:rPr>
                <w:rStyle w:val="Codetext"/>
              </w:rPr>
              <w:t xml:space="preserve">... who is attended by mercy just as Droṇa </w:t>
            </w:r>
            <w:r>
              <w:rPr>
                <w:rStyle w:val="Code"/>
              </w:rPr>
              <w:t xml:space="preserve">&lt;seg </w:t>
            </w:r>
            <w:r>
              <w:rPr>
                <w:rStyle w:val="Codeattribute"/>
              </w:rPr>
              <w:t>rend</w:t>
            </w:r>
            <w:r>
              <w:rPr>
                <w:rStyle w:val="Code"/>
              </w:rPr>
              <w:t>=</w:t>
            </w:r>
            <w:r>
              <w:rPr>
                <w:rStyle w:val="Codevalue"/>
              </w:rPr>
              <w:t>"pun"</w:t>
            </w:r>
            <w:r>
              <w:rPr>
                <w:rStyle w:val="Code"/>
              </w:rPr>
              <w:t>&gt;</w:t>
            </w:r>
            <w:r>
              <w:rPr>
                <w:rStyle w:val="Codetext"/>
              </w:rPr>
              <w:t>is followed by Kr̥pā</w:t>
            </w:r>
            <w:r>
              <w:rPr>
                <w:rStyle w:val="Code"/>
              </w:rPr>
              <w:t>&lt;/seg&gt; ...</w:t>
            </w:r>
          </w:p>
        </w:tc>
      </w:tr>
      <w:tr>
        <w:tc>
          <w:tcPr>
            <w:tcW w:w="5000" w:type="pct"/>
          </w:tcPr>
          <w:p>
            <w:pPr>
              <w:pStyle w:val="TableNote"/>
            </w:pPr>
            <w:r>
              <w:t xml:space="preserve">display: … who is attended by mercy just as </w:t>
            </w:r>
            <w:r>
              <w:rPr>
                <w:rStyle w:val="ForeignIndic"/>
              </w:rPr>
              <w:t>Droṇa</w:t>
            </w:r>
            <w:r>
              <w:t xml:space="preserve"> {is followed by </w:t>
            </w:r>
            <w:r>
              <w:rPr>
                <w:rStyle w:val="ForeignIndic"/>
              </w:rPr>
              <w:t>Kr̥pā</w:t>
            </w:r>
            <w:r>
              <w:t>} …</w:t>
            </w:r>
          </w:p>
        </w:tc>
      </w:tr>
    </w:tbl>
    <w:p>
      <w:pPr>
        <w:pStyle w:val="Cmsor3"/>
      </w:pPr>
      <w:bookmarkStart w:id="824" w:name="_r5nlq6s8z4nw" w:colFirst="0" w:colLast="0"/>
      <w:bookmarkStart w:id="825" w:name="_Ref53128241"/>
      <w:bookmarkStart w:id="826" w:name="_Ref43978788"/>
      <w:bookmarkStart w:id="827" w:name="_Toc242976703"/>
      <w:bookmarkEnd w:id="824"/>
      <w:r>
        <w:t>Original space in the translation</w:t>
      </w:r>
      <w:bookmarkEnd w:id="827"/>
    </w:p>
    <w:p>
      <w:r>
        <w:t>Spaces encoded in the edition (§</w:t>
      </w:r>
      <w:r>
        <w:fldChar w:fldCharType="begin"/>
      </w:r>
      <w:r>
        <w:instrText xml:space="preserve"> REF _Ref43989284 \r \h </w:instrText>
      </w:r>
      <w:r>
        <w:fldChar w:fldCharType="separate"/>
      </w:r>
      <w:r>
        <w:t>5.3.5</w:t>
      </w:r>
      <w:r>
        <w:fldChar w:fldCharType="end"/>
      </w:r>
      <w:r>
        <w:t>) generally need not and must not be preserved in the translation. However, spaces left blank in the original with the intent of subsequent filling (</w:t>
      </w:r>
      <w:r>
        <w:rPr>
          <w:rStyle w:val="Foreign"/>
        </w:rPr>
        <w:t>vacat</w:t>
      </w:r>
      <w:r>
        <w:t>, §</w:t>
      </w:r>
      <w:r>
        <w:fldChar w:fldCharType="begin"/>
      </w:r>
      <w:r>
        <w:instrText xml:space="preserve"> REF _Ref43987728 \r \h </w:instrText>
      </w:r>
      <w:r>
        <w:fldChar w:fldCharType="separate"/>
      </w:r>
      <w:r>
        <w:t>5.4.2.1</w:t>
      </w:r>
      <w:r>
        <w:fldChar w:fldCharType="end"/>
      </w:r>
      <w:r>
        <w:t>) may be optionally represented in the translation if you feel that this serves a useful purpose.</w:t>
      </w:r>
    </w:p>
    <w:p>
      <w:pPr>
        <w:pStyle w:val="Lista"/>
      </w:pPr>
      <w:r>
        <w:t xml:space="preserve">in this case, use the </w:t>
      </w:r>
      <w:r>
        <w:rPr>
          <w:rStyle w:val="Code"/>
        </w:rPr>
        <w:t>&lt;space/&gt;</w:t>
      </w:r>
      <w:r>
        <w:t xml:space="preserve"> element exactly as encoded in the edition division, e.g. </w:t>
      </w:r>
      <w:r>
        <w:rPr>
          <w:rStyle w:val="Code"/>
        </w:rPr>
        <w:t xml:space="preserve">&lt;space </w:t>
      </w:r>
      <w:r>
        <w:rPr>
          <w:rStyle w:val="Codeattribute"/>
        </w:rPr>
        <w:t>type</w:t>
      </w:r>
      <w:r>
        <w:rPr>
          <w:rStyle w:val="Code"/>
        </w:rPr>
        <w:t>=</w:t>
      </w:r>
      <w:r>
        <w:rPr>
          <w:rStyle w:val="Codevalue"/>
        </w:rPr>
        <w:t>"vacat"</w:t>
      </w:r>
      <w:r>
        <w:rPr>
          <w:rStyle w:val="Code"/>
        </w:rPr>
        <w:t xml:space="preserv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"character"</w:t>
      </w:r>
      <w:r>
        <w:rPr>
          <w:rStyle w:val="Code"/>
        </w:rPr>
        <w:t>/&gt;</w:t>
      </w:r>
    </w:p>
    <w:p>
      <w:pPr>
        <w:pStyle w:val="Cmsor2"/>
      </w:pPr>
      <w:bookmarkStart w:id="828" w:name="_Ref43990725"/>
      <w:bookmarkEnd w:id="825"/>
      <w:r>
        <w:t>Reproducing a published translation</w:t>
      </w:r>
      <w:bookmarkEnd w:id="828"/>
    </w:p>
    <w:p>
      <w:pPr>
        <w:pStyle w:val="Cmsor3"/>
      </w:pPr>
      <w:bookmarkStart w:id="829" w:name="_Ref233299001"/>
      <w:bookmarkStart w:id="830" w:name="_Toc242976704"/>
      <w:r>
        <w:t>Adapting a previous translation</w:t>
      </w:r>
      <w:bookmarkEnd w:id="829"/>
      <w:bookmarkEnd w:id="830"/>
    </w:p>
    <w:p>
      <w:pPr>
        <w:rPr>
          <w:lang w:eastAsia="en-US" w:bidi="ar-SA"/>
        </w:rPr>
      </w:pPr>
      <w:r>
        <w:rPr>
          <w:lang w:eastAsia="en-US" w:bidi="ar-SA"/>
        </w:rPr>
        <w:t>When you make any improvement to a previously published translation, for instance by adding parts not translated there, revising parts based on a reading you have revised in the edition or on a new interpretation of the same reading, or simply increasing its accuracy or fluency, then for practical purposes you are the intellectual author of the new translation.</w:t>
      </w:r>
    </w:p>
    <w:p>
      <w:pPr>
        <w:pStyle w:val="Lista"/>
        <w:rPr>
          <w:lang w:eastAsia="en-US" w:bidi="ar-SA"/>
        </w:rPr>
      </w:pPr>
      <w:r>
        <w:rPr>
          <w:lang w:eastAsia="en-US" w:bidi="ar-SA"/>
        </w:rPr>
        <w:t xml:space="preserve">encode your authorship with </w:t>
      </w:r>
      <w:r>
        <w:rPr>
          <w:rStyle w:val="Codeattribute"/>
        </w:rPr>
        <w:t>@resp</w:t>
      </w:r>
      <w:r>
        <w:t xml:space="preserve"> (</w:t>
      </w:r>
      <w:r>
        <w:rPr>
          <w:lang w:eastAsia="en-US" w:bidi="ar-SA"/>
        </w:rPr>
        <w:t>§</w:t>
      </w:r>
      <w:r>
        <w:rPr>
          <w:lang w:eastAsia="en-US" w:bidi="ar-SA"/>
        </w:rPr>
        <w:fldChar w:fldCharType="begin"/>
      </w:r>
      <w:r>
        <w:rPr>
          <w:lang w:eastAsia="en-US" w:bidi="ar-SA"/>
        </w:rPr>
        <w:instrText xml:space="preserve"> REF _Ref233276652 \r \h </w:instrText>
      </w:r>
      <w:r>
        <w:rPr>
          <w:lang w:eastAsia="en-US" w:bidi="ar-SA"/>
        </w:rPr>
      </w:r>
      <w:r>
        <w:rPr>
          <w:lang w:eastAsia="en-US" w:bidi="ar-SA"/>
        </w:rPr>
        <w:fldChar w:fldCharType="separate"/>
      </w:r>
      <w:r>
        <w:rPr>
          <w:lang w:eastAsia="en-US" w:bidi="ar-SA"/>
        </w:rPr>
        <w:t>11.1.2</w:t>
      </w:r>
      <w:r>
        <w:rPr>
          <w:lang w:eastAsia="en-US" w:bidi="ar-SA"/>
        </w:rPr>
        <w:fldChar w:fldCharType="end"/>
      </w:r>
      <w:r>
        <w:t>) and add a credit note (§</w:t>
      </w:r>
      <w:r>
        <w:fldChar w:fldCharType="begin"/>
      </w:r>
      <w:r>
        <w:instrText xml:space="preserve"> REF _Ref242888161 \r \h </w:instrText>
      </w:r>
      <w:r>
        <w:fldChar w:fldCharType="separate"/>
      </w:r>
      <w:r>
        <w:t>11.1.2.1</w:t>
      </w:r>
      <w:r>
        <w:fldChar w:fldCharType="end"/>
      </w:r>
      <w:r>
        <w:t>) to name the original translator and clarify the nature and extent of your contribution</w:t>
      </w:r>
    </w:p>
    <w:p>
      <w:pPr>
        <w:pStyle w:val="Cmsor3"/>
      </w:pPr>
      <w:bookmarkStart w:id="831" w:name="_Ref233887001"/>
      <w:bookmarkStart w:id="832" w:name="_Toc242976705"/>
      <w:r>
        <w:t>Adopting a previous translation verbatim</w:t>
      </w:r>
      <w:bookmarkEnd w:id="831"/>
      <w:bookmarkEnd w:id="832"/>
    </w:p>
    <w:p>
      <w:pPr>
        <w:rPr>
          <w:lang w:eastAsia="en-US" w:bidi="ar-SA"/>
        </w:rPr>
      </w:pPr>
      <w:r>
        <w:rPr>
          <w:lang w:eastAsia="en-US" w:bidi="ar-SA"/>
        </w:rPr>
        <w:t>It is sometimes desirable to create a “digital facsimile” of a previously published translation. When doing so, be mindful of the following considerations.</w:t>
      </w:r>
    </w:p>
    <w:p>
      <w:pPr>
        <w:pStyle w:val="Lista"/>
      </w:pPr>
      <w:r>
        <w:t xml:space="preserve">the author of the translation must be credited with the attribute </w:t>
      </w:r>
      <w:r>
        <w:rPr>
          <w:rStyle w:val="Codeattribute"/>
        </w:rPr>
        <w:t>@source</w:t>
      </w:r>
      <w:r>
        <w:t xml:space="preserve"> as per §</w:t>
      </w:r>
      <w:r>
        <w:rPr>
          <w:lang w:eastAsia="en-US" w:bidi="ar-SA"/>
        </w:rPr>
        <w:fldChar w:fldCharType="begin"/>
      </w:r>
      <w:r>
        <w:rPr>
          <w:lang w:eastAsia="en-US" w:bidi="ar-SA"/>
        </w:rPr>
        <w:instrText xml:space="preserve"> REF _Ref233276652 \r \h </w:instrText>
      </w:r>
      <w:r>
        <w:rPr>
          <w:lang w:eastAsia="en-US" w:bidi="ar-SA"/>
        </w:rPr>
      </w:r>
      <w:r>
        <w:rPr>
          <w:lang w:eastAsia="en-US" w:bidi="ar-SA"/>
        </w:rPr>
        <w:fldChar w:fldCharType="separate"/>
      </w:r>
      <w:r>
        <w:rPr>
          <w:lang w:eastAsia="en-US" w:bidi="ar-SA"/>
        </w:rPr>
        <w:t>11.1.2</w:t>
      </w:r>
      <w:r>
        <w:rPr>
          <w:lang w:eastAsia="en-US" w:bidi="ar-SA"/>
        </w:rPr>
        <w:fldChar w:fldCharType="end"/>
      </w:r>
      <w:r>
        <w:rPr>
          <w:lang w:eastAsia="en-US" w:bidi="ar-SA"/>
        </w:rPr>
        <w:t xml:space="preserve"> and </w:t>
      </w:r>
      <w:r>
        <w:t>§</w:t>
      </w:r>
      <w:r>
        <w:fldChar w:fldCharType="begin"/>
      </w:r>
      <w:r>
        <w:instrText xml:space="preserve"> REF _Ref43989551 \w \h  \* MERGEFORMAT </w:instrText>
      </w:r>
      <w:r>
        <w:fldChar w:fldCharType="separate"/>
      </w:r>
      <w:r>
        <w:t>14.6.2</w:t>
      </w:r>
      <w:r>
        <w:fldChar w:fldCharType="end"/>
      </w:r>
    </w:p>
    <w:p>
      <w:pPr>
        <w:pStyle w:val="Lista"/>
      </w:pPr>
      <w:r>
        <w:t>any character-based markup (brackets, etc.) in the translation must be converted to its encoding equivalent as far as feasible</w:t>
      </w:r>
    </w:p>
    <w:p>
      <w:pPr>
        <w:pStyle w:val="Lista2"/>
      </w:pPr>
      <w:r>
        <w:t>translator’s markup for which our encoding provides no equivalent, or which cannot be interpreted confidently, may be exceptionally retained</w:t>
      </w:r>
    </w:p>
    <w:p>
      <w:pPr>
        <w:pStyle w:val="Lista3"/>
      </w:pPr>
      <w:r>
        <w:t>clarify any such markup within a credit note (</w:t>
      </w:r>
      <w:r>
        <w:rPr>
          <w:lang w:eastAsia="en-US" w:bidi="ar-SA"/>
        </w:rPr>
        <w:t>§</w:t>
      </w:r>
      <w:r>
        <w:t>§</w:t>
      </w:r>
      <w:r>
        <w:fldChar w:fldCharType="begin"/>
      </w:r>
      <w:r>
        <w:instrText xml:space="preserve"> REF _Ref242888161 \r \h </w:instrText>
      </w:r>
      <w:r>
        <w:fldChar w:fldCharType="separate"/>
      </w:r>
      <w:r>
        <w:t>11.1.2.1</w:t>
      </w:r>
      <w:r>
        <w:fldChar w:fldCharType="end"/>
      </w:r>
      <w:r>
        <w:t>) attached to the translation</w:t>
      </w:r>
    </w:p>
    <w:p>
      <w:pPr>
        <w:pStyle w:val="Lista"/>
      </w:pPr>
      <w:r>
        <w:t>the transliteration of any words in a source language must be silently converted to the DHARMA transliteration whenever feasible</w:t>
      </w:r>
    </w:p>
    <w:p>
      <w:pPr>
        <w:pStyle w:val="Lista"/>
      </w:pPr>
      <w:r>
        <w:t>when a published translation you are encoding omits a stretch of the text (for example because it is unintelligible or because the original translator considered a part of the text not worthy of attention), this shall be indicated in your encoding as per §</w:t>
      </w:r>
      <w:r>
        <w:fldChar w:fldCharType="begin"/>
      </w:r>
      <w:r>
        <w:instrText xml:space="preserve"> REF _Ref233298630 \r \h </w:instrText>
      </w:r>
      <w:r>
        <w:fldChar w:fldCharType="separate"/>
      </w:r>
      <w:r>
        <w:t>11.4.3.3</w:t>
      </w:r>
      <w:r>
        <w:fldChar w:fldCharType="end"/>
      </w:r>
    </w:p>
    <w:p>
      <w:pPr>
        <w:pStyle w:val="Lista"/>
      </w:pPr>
      <w:r>
        <w:t>if a published translation is based on a reading, restoration or emendation different from what you show in your edition, it is highly recommended that you point this out in a note of your own (§</w:t>
      </w:r>
      <w:r>
        <w:fldChar w:fldCharType="begin"/>
      </w:r>
      <w:r>
        <w:instrText xml:space="preserve"> REF _Ref233298582 \r \h </w:instrText>
      </w:r>
      <w:r>
        <w:fldChar w:fldCharType="separate"/>
      </w:r>
      <w:r>
        <w:t>11.5.3</w:t>
      </w:r>
      <w:r>
        <w:fldChar w:fldCharType="end"/>
      </w:r>
      <w:r>
        <w:t>), attached to the spot where the translation is based on divergent text</w:t>
      </w:r>
    </w:p>
    <w:p>
      <w:pPr>
        <w:pStyle w:val="Lista"/>
      </w:pPr>
      <w:r>
        <w:lastRenderedPageBreak/>
        <w:t>obvious typographic mistakes and errors of transliteration in a previous translation should be corrected silently in your digital version</w:t>
      </w:r>
    </w:p>
    <w:p>
      <w:pPr>
        <w:pStyle w:val="Lista2"/>
      </w:pPr>
      <w:r>
        <w:t>unusual mistakes or anomalies, especially if they affect the interpretation of the text, should be left as in the original translation and preferably accompanied by a note of your own (§</w:t>
      </w:r>
      <w:r>
        <w:fldChar w:fldCharType="begin"/>
      </w:r>
      <w:r>
        <w:instrText xml:space="preserve"> REF _Ref233298582 \r \h </w:instrText>
      </w:r>
      <w:r>
        <w:fldChar w:fldCharType="separate"/>
      </w:r>
      <w:r>
        <w:t>11.5.3</w:t>
      </w:r>
      <w:r>
        <w:fldChar w:fldCharType="end"/>
      </w:r>
      <w:r>
        <w:t>)</w:t>
      </w:r>
    </w:p>
    <w:p>
      <w:pPr>
        <w:pStyle w:val="Cmsor3"/>
      </w:pPr>
      <w:bookmarkStart w:id="833" w:name="_Ref233298582"/>
      <w:bookmarkStart w:id="834" w:name="_Toc242976706"/>
      <w:r>
        <w:t>Adopting and adapting notes to a translation</w:t>
      </w:r>
      <w:bookmarkEnd w:id="833"/>
      <w:bookmarkEnd w:id="834"/>
    </w:p>
    <w:p>
      <w:r>
        <w:rPr>
          <w:lang w:eastAsia="en-US" w:bidi="ar-SA"/>
        </w:rPr>
        <w:t xml:space="preserve">Any notes in a translation will by default be considered to have been written by the author of the translation indicated with </w:t>
      </w:r>
      <w:r>
        <w:rPr>
          <w:rStyle w:val="Codeattribute"/>
        </w:rPr>
        <w:t>@source</w:t>
      </w:r>
      <w:r>
        <w:t xml:space="preserve"> </w:t>
      </w:r>
      <w:r>
        <w:rPr>
          <w:noProof/>
        </w:rPr>
        <w:t xml:space="preserve">or </w:t>
      </w:r>
      <w:r>
        <w:rPr>
          <w:rStyle w:val="Codeattribute"/>
        </w:rPr>
        <w:t>@resp</w:t>
      </w:r>
      <w:r>
        <w:t xml:space="preserve"> on the translation division (§</w:t>
      </w:r>
      <w:r>
        <w:fldChar w:fldCharType="begin"/>
      </w:r>
      <w:r>
        <w:instrText xml:space="preserve"> REF _Ref233276652 \r \h </w:instrText>
      </w:r>
      <w:r>
        <w:fldChar w:fldCharType="separate"/>
      </w:r>
      <w:r>
        <w:t>11.1.2</w:t>
      </w:r>
      <w:r>
        <w:fldChar w:fldCharType="end"/>
      </w:r>
      <w:r>
        <w:t>). Complications shall be handled as follows.</w:t>
      </w:r>
    </w:p>
    <w:p>
      <w:pPr>
        <w:pStyle w:val="Lista"/>
        <w:rPr>
          <w:lang w:eastAsia="en-US" w:bidi="ar-SA"/>
        </w:rPr>
      </w:pPr>
      <w:r>
        <w:t>if you are technically the author of the translation (either because the translation is fully yours or because you have adapted a previous translation as per §</w:t>
      </w:r>
      <w:r>
        <w:fldChar w:fldCharType="begin"/>
      </w:r>
      <w:r>
        <w:instrText xml:space="preserve"> REF _Ref233299001 \r \h </w:instrText>
      </w:r>
      <w:r>
        <w:fldChar w:fldCharType="separate"/>
      </w:r>
      <w:r>
        <w:t>11.5.1</w:t>
      </w:r>
      <w:r>
        <w:fldChar w:fldCharType="end"/>
      </w:r>
      <w:r>
        <w:t>), but you wish to include a note written by someone else (who may be, but need not be the author of a translation you are adapting)</w:t>
      </w:r>
    </w:p>
    <w:p>
      <w:pPr>
        <w:pStyle w:val="Lista2"/>
        <w:rPr>
          <w:lang w:eastAsia="en-US" w:bidi="ar-SA"/>
        </w:rPr>
      </w:pPr>
      <w:r>
        <w:rPr>
          <w:lang w:eastAsia="en-US" w:bidi="ar-SA"/>
        </w:rPr>
        <w:t>preferably paraphrase the note instead of using it verbatim, thus making it your own note</w:t>
      </w:r>
    </w:p>
    <w:p>
      <w:pPr>
        <w:pStyle w:val="Lista3"/>
        <w:rPr>
          <w:lang w:eastAsia="en-US" w:bidi="ar-SA"/>
        </w:rPr>
      </w:pPr>
      <w:r>
        <w:rPr>
          <w:lang w:eastAsia="en-US" w:bidi="ar-SA"/>
        </w:rPr>
        <w:t>in the paraphrased note, credit the original author of the note</w:t>
      </w:r>
    </w:p>
    <w:p>
      <w:pPr>
        <w:pStyle w:val="Lista4"/>
        <w:rPr>
          <w:lang w:eastAsia="en-US" w:bidi="ar-SA"/>
        </w:rPr>
      </w:pPr>
      <w:r>
        <w:rPr>
          <w:lang w:eastAsia="en-US" w:bidi="ar-SA"/>
        </w:rPr>
        <w:t>simply by name if the note is from a published translation you are adapting and have specified in the credit note of your translation</w:t>
      </w:r>
      <w:r>
        <w:t>, e.g. “Fleet observes that…”</w:t>
      </w:r>
    </w:p>
    <w:p>
      <w:pPr>
        <w:pStyle w:val="Lista4"/>
        <w:rPr>
          <w:lang w:eastAsia="en-US" w:bidi="ar-SA"/>
        </w:rPr>
      </w:pPr>
      <w:r>
        <w:t>by an encoded bibliographic citation (§</w:t>
      </w:r>
      <w:r>
        <w:fldChar w:fldCharType="begin"/>
      </w:r>
      <w:r>
        <w:instrText xml:space="preserve"> REF _Ref233877601 \r \h </w:instrText>
      </w:r>
      <w:r>
        <w:fldChar w:fldCharType="separate"/>
      </w:r>
      <w:r>
        <w:t>14.6.1</w:t>
      </w:r>
      <w:r>
        <w:fldChar w:fldCharType="end"/>
      </w:r>
      <w:r>
        <w:t>) otherwise</w:t>
      </w:r>
    </w:p>
    <w:p>
      <w:pPr>
        <w:pStyle w:val="Lista2"/>
        <w:rPr>
          <w:lang w:eastAsia="en-US" w:bidi="ar-SA"/>
        </w:rPr>
      </w:pPr>
      <w:r>
        <w:rPr>
          <w:lang w:eastAsia="en-US" w:bidi="ar-SA"/>
        </w:rPr>
        <w:t xml:space="preserve">if you wish to reproduce a note from a previous translation verbatim, you must add </w:t>
      </w:r>
      <w:r>
        <w:rPr>
          <w:rStyle w:val="Codeattribute"/>
        </w:rPr>
        <w:t>@source</w:t>
      </w:r>
      <w:r>
        <w:t xml:space="preserve"> to the </w:t>
      </w:r>
      <w:r>
        <w:rPr>
          <w:rStyle w:val="Code"/>
        </w:rPr>
        <w:t>&lt;note&gt;</w:t>
      </w:r>
      <w:r>
        <w:t xml:space="preserve"> element as per §</w:t>
      </w:r>
      <w:r>
        <w:fldChar w:fldCharType="begin"/>
      </w:r>
      <w:r>
        <w:instrText xml:space="preserve"> REF _Ref44490119 \r \h </w:instrText>
      </w:r>
      <w:r>
        <w:fldChar w:fldCharType="separate"/>
      </w:r>
      <w:r>
        <w:t>14.6.2</w:t>
      </w:r>
      <w:r>
        <w:fldChar w:fldCharType="end"/>
      </w:r>
    </w:p>
    <w:p>
      <w:pPr>
        <w:pStyle w:val="Lista"/>
      </w:pPr>
      <w:r>
        <w:t xml:space="preserve">if the translation is from a previous publication (encoded as the </w:t>
      </w:r>
      <w:r>
        <w:rPr>
          <w:rStyle w:val="Codeattribute"/>
        </w:rPr>
        <w:t>@source</w:t>
      </w:r>
      <w:r>
        <w:t xml:space="preserve"> of the translation division),</w:t>
      </w:r>
    </w:p>
    <w:p>
      <w:pPr>
        <w:pStyle w:val="Lista2"/>
      </w:pPr>
      <w:r>
        <w:t>notes from that publication can and must be duplicated verbatim and without any additional attribution</w:t>
      </w:r>
    </w:p>
    <w:p>
      <w:pPr>
        <w:pStyle w:val="Lista3"/>
      </w:pPr>
      <w:r>
        <w:t>it is, however, not mandatory to reproduce all notes by the original translator</w:t>
      </w:r>
    </w:p>
    <w:p>
      <w:pPr>
        <w:pStyle w:val="Lista2"/>
      </w:pPr>
      <w:r>
        <w:t xml:space="preserve">notes of your own added to a previously published translation must be credited explicitly to you, using </w:t>
      </w:r>
      <w:r>
        <w:rPr>
          <w:rStyle w:val="Codeattribute"/>
        </w:rPr>
        <w:t>@resp</w:t>
      </w:r>
      <w:r>
        <w:t xml:space="preserve"> </w:t>
      </w:r>
      <w:r>
        <w:rPr>
          <w:noProof/>
        </w:rPr>
        <w:t>(</w:t>
      </w:r>
      <w:r>
        <w:t>§</w:t>
      </w:r>
      <w:r>
        <w:fldChar w:fldCharType="begin"/>
      </w:r>
      <w:r>
        <w:instrText xml:space="preserve"> REF _Ref43989765 \w \h  \* MERGEFORMAT </w:instrText>
      </w:r>
      <w:r>
        <w:fldChar w:fldCharType="separate"/>
      </w:r>
      <w:r>
        <w:t>14.6.5</w:t>
      </w:r>
      <w:r>
        <w:fldChar w:fldCharType="end"/>
      </w:r>
      <w:r>
        <w:t>) on each such note</w:t>
      </w:r>
    </w:p>
    <w:p>
      <w:pPr>
        <w:pStyle w:val="Lista2"/>
      </w:pPr>
      <w:r>
        <w:t>should you wish to include notes from a different previously published translation, do one of the following</w:t>
      </w:r>
    </w:p>
    <w:p>
      <w:pPr>
        <w:pStyle w:val="Lista3"/>
      </w:pPr>
      <w:r>
        <w:t xml:space="preserve">paraphrase the original note, encode it as your own note with </w:t>
      </w:r>
      <w:r>
        <w:rPr>
          <w:rStyle w:val="Codeattribute"/>
        </w:rPr>
        <w:t>@resp</w:t>
      </w:r>
      <w:r>
        <w:t>, and credit its original author with a bibliographic citation</w:t>
      </w:r>
    </w:p>
    <w:p>
      <w:pPr>
        <w:pStyle w:val="Lista3"/>
      </w:pPr>
      <w:r>
        <w:t xml:space="preserve">reproduce the note verbatim and credit it with </w:t>
      </w:r>
      <w:r>
        <w:rPr>
          <w:lang w:eastAsia="en-US" w:bidi="ar-SA"/>
        </w:rPr>
        <w:t xml:space="preserve">add </w:t>
      </w:r>
      <w:r>
        <w:rPr>
          <w:rStyle w:val="Codeattribute"/>
        </w:rPr>
        <w:t>@source</w:t>
      </w:r>
      <w:r>
        <w:t xml:space="preserve"> on the </w:t>
      </w:r>
      <w:r>
        <w:rPr>
          <w:rStyle w:val="Code"/>
        </w:rPr>
        <w:t>&lt;note&gt;</w:t>
      </w:r>
      <w:r>
        <w:t xml:space="preserve"> element</w:t>
      </w:r>
    </w:p>
    <w:p>
      <w:pPr>
        <w:pStyle w:val="Cmsor1"/>
      </w:pPr>
      <w:bookmarkStart w:id="835" w:name="_Ref181352286"/>
      <w:r>
        <w:lastRenderedPageBreak/>
        <w:t>The commentary</w:t>
      </w:r>
      <w:bookmarkEnd w:id="826"/>
      <w:bookmarkEnd w:id="835"/>
    </w:p>
    <w:p>
      <w:pPr>
        <w:rPr>
          <w:lang w:eastAsia="en-US" w:bidi="ar-SA"/>
        </w:rPr>
      </w:pPr>
      <w:bookmarkStart w:id="836" w:name="_5cjqjha8yozn" w:colFirst="0" w:colLast="0"/>
      <w:bookmarkEnd w:id="836"/>
      <w:r>
        <w:rPr>
          <w:lang w:eastAsia="en-US" w:bidi="ar-SA"/>
        </w:rPr>
        <w:t>A scholarly commentary on any aspect of the edition may be included as a separate division of the XML file.</w:t>
      </w:r>
    </w:p>
    <w:p>
      <w:pPr>
        <w:pStyle w:val="Lista"/>
      </w:pPr>
      <w:r>
        <w:t>the commentary is not the ideal place for</w:t>
      </w:r>
    </w:p>
    <w:p>
      <w:pPr>
        <w:pStyle w:val="Lista2"/>
      </w:pPr>
      <w:r>
        <w:t>palaeographic observations on the document as a whole</w:t>
      </w:r>
    </w:p>
    <w:p>
      <w:pPr>
        <w:pStyle w:val="Lista3"/>
      </w:pPr>
      <w:r>
        <w:t xml:space="preserve">which belong in the </w:t>
      </w:r>
      <w:r>
        <w:rPr>
          <w:rStyle w:val="Code"/>
        </w:rPr>
        <w:t>&lt;handDesc&gt;</w:t>
      </w:r>
      <w:r>
        <w:t xml:space="preserve"> section of the TEI header (§</w:t>
      </w:r>
      <w:r>
        <w:fldChar w:fldCharType="begin"/>
      </w:r>
      <w:r>
        <w:instrText xml:space="preserve"> REF _Ref43987455 \w \h  \* MERGEFORMAT </w:instrText>
      </w:r>
      <w:r>
        <w:fldChar w:fldCharType="separate"/>
      </w:r>
      <w:r>
        <w:t>15.2.1</w:t>
      </w:r>
      <w:r>
        <w:fldChar w:fldCharType="end"/>
      </w:r>
      <w:r>
        <w:t>)</w:t>
      </w:r>
    </w:p>
    <w:p>
      <w:pPr>
        <w:pStyle w:val="Lista2"/>
      </w:pPr>
      <w:r>
        <w:t>remarks concerning specific small-scale loci in the text</w:t>
      </w:r>
    </w:p>
    <w:p>
      <w:pPr>
        <w:pStyle w:val="Lista3"/>
      </w:pPr>
      <w:r>
        <w:t xml:space="preserve">which are better recorded in the apparatus as notes </w:t>
      </w:r>
      <w:r>
        <w:rPr>
          <w:noProof/>
        </w:rPr>
        <w:t>(</w:t>
      </w:r>
      <w:r>
        <w:t>§</w:t>
      </w:r>
      <w:r>
        <w:fldChar w:fldCharType="begin"/>
      </w:r>
      <w:r>
        <w:instrText xml:space="preserve"> REF _Ref43988104 \w \h  \* MERGEFORMAT </w:instrText>
      </w:r>
      <w:r>
        <w:fldChar w:fldCharType="separate"/>
      </w:r>
      <w:r>
        <w:t>10.7</w:t>
      </w:r>
      <w:r>
        <w:fldChar w:fldCharType="end"/>
      </w:r>
      <w:r>
        <w:t>), unless they are so long that they would disrupt the apparatus</w:t>
      </w:r>
    </w:p>
    <w:p>
      <w:pPr>
        <w:pStyle w:val="Lista"/>
      </w:pPr>
      <w:r>
        <w:t>typical topics that do belong in the commentary include</w:t>
      </w:r>
    </w:p>
    <w:p>
      <w:pPr>
        <w:pStyle w:val="Lista2"/>
      </w:pPr>
      <w:r>
        <w:t>remarks pertaining to specific loci when they are too long to put in the apparatus</w:t>
      </w:r>
    </w:p>
    <w:p>
      <w:pPr>
        <w:pStyle w:val="Lista2"/>
      </w:pPr>
      <w:r>
        <w:t>discussion of metrical phenomena and uncertainty about verse metres</w:t>
      </w:r>
    </w:p>
    <w:p>
      <w:pPr>
        <w:pStyle w:val="Lista2"/>
      </w:pPr>
      <w:r>
        <w:t>discussion of the interpretation as reflected in your translation and any alternatives</w:t>
      </w:r>
    </w:p>
    <w:p>
      <w:pPr>
        <w:pStyle w:val="Lista2"/>
      </w:pPr>
      <w:r>
        <w:t>literal translations of phrases more elegantly translated in your translation, but for this reason, possibly obscure</w:t>
      </w:r>
    </w:p>
    <w:p>
      <w:pPr>
        <w:pStyle w:val="Lista2"/>
      </w:pPr>
      <w:r>
        <w:t>pointing out parallel passages in other sources, especially if these are used as the basis of restoration in the present text</w:t>
      </w:r>
    </w:p>
    <w:p>
      <w:pPr>
        <w:pStyle w:val="Cmsor2"/>
      </w:pPr>
      <w:bookmarkStart w:id="837" w:name="_Ref233792738"/>
      <w:r>
        <w:t>Encoding the commentary</w:t>
      </w:r>
      <w:bookmarkEnd w:id="837"/>
    </w:p>
    <w:p>
      <w:pPr>
        <w:pStyle w:val="Lista"/>
      </w:pPr>
      <w:r>
        <w:t xml:space="preserve">the commentary to your text must be wrapped in </w:t>
      </w:r>
      <w:r>
        <w:rPr>
          <w:rStyle w:val="Code"/>
        </w:rPr>
        <w:t xml:space="preserve">&lt;div </w:t>
      </w:r>
      <w:r>
        <w:rPr>
          <w:rStyle w:val="Codeattribute"/>
        </w:rPr>
        <w:t>type</w:t>
      </w:r>
      <w:r>
        <w:rPr>
          <w:rStyle w:val="Code"/>
        </w:rPr>
        <w:t>=</w:t>
      </w:r>
      <w:r>
        <w:rPr>
          <w:rStyle w:val="Codevalue"/>
        </w:rPr>
        <w:t>"commentary"</w:t>
      </w:r>
      <w:r>
        <w:rPr>
          <w:rStyle w:val="Code"/>
        </w:rPr>
        <w:t>&gt;</w:t>
      </w:r>
      <w:r>
        <w:t>, without any attributes</w:t>
      </w:r>
    </w:p>
    <w:p>
      <w:pPr>
        <w:pStyle w:val="Lista2"/>
      </w:pPr>
      <w:r>
        <w:t>this division follows the translation division</w:t>
      </w:r>
      <w:r>
        <w:rPr>
          <w:noProof/>
        </w:rPr>
        <w:t>(</w:t>
      </w:r>
      <w:r>
        <w:t>s) and is already present in our templates</w:t>
      </w:r>
    </w:p>
    <w:p>
      <w:pPr>
        <w:pStyle w:val="Lista"/>
      </w:pPr>
      <w:r>
        <w:t xml:space="preserve">the commentary division shall contain only one or more </w:t>
      </w:r>
      <w:r>
        <w:rPr>
          <w:rStyle w:val="Code"/>
        </w:rPr>
        <w:t>&lt;p&gt;</w:t>
      </w:r>
      <w:r>
        <w:t xml:space="preserve"> elements, which in turn contain freeform discursive English text</w:t>
      </w:r>
    </w:p>
    <w:p>
      <w:pPr>
        <w:pStyle w:val="Cmsor3"/>
      </w:pPr>
      <w:bookmarkStart w:id="838" w:name="_Toc242976707"/>
      <w:r>
        <w:t>Textpart divisions within the commentary</w:t>
      </w:r>
      <w:bookmarkEnd w:id="838"/>
    </w:p>
    <w:p>
      <w:r>
        <w:rPr>
          <w:lang w:eastAsia="en-US" w:bidi="ar-SA"/>
        </w:rPr>
        <w:t xml:space="preserve">Unlike the apparatus and the translation, the commentary accompanying an edition segmented into textpart divisions does not have to be likewise segmented. However, textpart divisions may be created as desired to </w:t>
      </w:r>
      <w:r>
        <w:t>break up a long commentary into sections (chapters).</w:t>
      </w:r>
    </w:p>
    <w:p>
      <w:pPr>
        <w:pStyle w:val="Lista"/>
      </w:pPr>
      <w:r>
        <w:t xml:space="preserve">use any arbitrary number of textpart divisions, keeping in mind the requirement of tessellation </w:t>
      </w:r>
      <w:r>
        <w:rPr>
          <w:noProof/>
        </w:rPr>
        <w:t>(</w:t>
      </w:r>
      <w:r>
        <w:t>§</w:t>
      </w:r>
      <w:r>
        <w:fldChar w:fldCharType="begin"/>
      </w:r>
      <w:r>
        <w:instrText xml:space="preserve"> REF _Ref43990385 \r \h  \* MERGEFORMAT </w:instrText>
      </w:r>
      <w:r>
        <w:fldChar w:fldCharType="separate"/>
      </w:r>
      <w:r>
        <w:t>4.7.3.4</w:t>
      </w:r>
      <w:r>
        <w:fldChar w:fldCharType="end"/>
      </w:r>
      <w:r>
        <w:t>), i.e. that if a textpart division is present within your commentary, then all your commentarial text must be contained within textpart divisions</w:t>
      </w:r>
    </w:p>
    <w:p>
      <w:pPr>
        <w:pStyle w:val="Lista"/>
      </w:pPr>
      <w:r>
        <w:t xml:space="preserve">always add the attribute </w:t>
      </w:r>
      <w:r>
        <w:rPr>
          <w:rStyle w:val="Codeattribute"/>
        </w:rPr>
        <w:t>@n</w:t>
      </w:r>
      <w:r>
        <w:t xml:space="preserve"> to number commentarial textparts, using plain Arabic numerals as values</w:t>
      </w:r>
    </w:p>
    <w:p>
      <w:pPr>
        <w:pStyle w:val="Lista"/>
      </w:pPr>
      <w:r>
        <w:t xml:space="preserve">always add a heading to commentarial textparts, by creating the element </w:t>
      </w:r>
      <w:r>
        <w:rPr>
          <w:rStyle w:val="Code"/>
        </w:rPr>
        <w:t>&lt;head&gt;</w:t>
      </w:r>
      <w:r>
        <w:t xml:space="preserve"> </w:t>
      </w:r>
      <w:r>
        <w:rPr>
          <w:noProof/>
        </w:rPr>
        <w:t>(</w:t>
      </w:r>
      <w:r>
        <w:t>containing free text to be displayed as a heading) as the first item within each textpart division</w:t>
      </w:r>
    </w:p>
    <w:p>
      <w:pPr>
        <w:pStyle w:val="Lista2"/>
      </w:pPr>
      <w:r>
        <w:t xml:space="preserve">the attribute </w:t>
      </w:r>
      <w:r>
        <w:rPr>
          <w:rStyle w:val="Codeattribute"/>
        </w:rPr>
        <w:t>@xml:lang</w:t>
      </w:r>
      <w:r>
        <w:t xml:space="preserve"> is not required on these </w:t>
      </w:r>
      <w:r>
        <w:rPr>
          <w:rStyle w:val="Code"/>
        </w:rPr>
        <w:t>&lt;head&gt;</w:t>
      </w:r>
      <w:r>
        <w:t xml:space="preserve"> elements, since they are in the same language as the rest of the commentary</w:t>
      </w:r>
    </w:p>
    <w:p>
      <w:pPr>
        <w:pStyle w:val="Cmsor2"/>
      </w:pPr>
      <w:r>
        <w:t>Indicating reference to the text</w:t>
      </w:r>
    </w:p>
    <w:p>
      <w:pPr>
        <w:rPr>
          <w:lang w:eastAsia="en-US" w:bidi="ar-SA"/>
        </w:rPr>
      </w:pPr>
      <w:r>
        <w:rPr>
          <w:lang w:eastAsia="en-US" w:bidi="ar-SA"/>
        </w:rPr>
        <w:t>We are not implementing any machine-actionable linking between the text and the commentary. As and when desired, commentarial passages may include human-readable references to the edition.</w:t>
      </w:r>
    </w:p>
    <w:p>
      <w:pPr>
        <w:pStyle w:val="Lista"/>
      </w:pPr>
      <w:r>
        <w:t xml:space="preserve">as in any written commentary, refer to lines, stanzas, </w:t>
      </w:r>
      <w:r>
        <w:rPr>
          <w:rStyle w:val="Foreign"/>
        </w:rPr>
        <w:t>pāda</w:t>
      </w:r>
      <w:r>
        <w:rPr>
          <w:noProof/>
        </w:rPr>
        <w:t>s</w:t>
      </w:r>
      <w:r>
        <w:t xml:space="preserve"> or particular words/phrases as and when necessary, spelling out such references in a clear human-readable manner</w:t>
      </w:r>
    </w:p>
    <w:p>
      <w:pPr>
        <w:pStyle w:val="Lista"/>
      </w:pPr>
      <w:r>
        <w:t>should you wish to create a structured commentary with entries referred to particular sections of the text, you may employ the human-readable linking method described for translations in §</w:t>
      </w:r>
      <w:r>
        <w:fldChar w:fldCharType="begin"/>
      </w:r>
      <w:r>
        <w:instrText xml:space="preserve"> REF _Ref233620814 \r \h </w:instrText>
      </w:r>
      <w:r>
        <w:fldChar w:fldCharType="separate"/>
      </w:r>
      <w:r>
        <w:t>11.3.1</w:t>
      </w:r>
      <w:r>
        <w:fldChar w:fldCharType="end"/>
      </w:r>
      <w:r>
        <w:t xml:space="preserve"> above, i.e.</w:t>
      </w:r>
    </w:p>
    <w:p>
      <w:pPr>
        <w:pStyle w:val="Lista2"/>
      </w:pPr>
      <w:r>
        <w:t xml:space="preserve">add to any </w:t>
      </w:r>
      <w:r>
        <w:rPr>
          <w:rStyle w:val="Code"/>
        </w:rPr>
        <w:t>&lt;p&gt;</w:t>
      </w:r>
      <w:r>
        <w:t xml:space="preserve"> element in the commentary the attribute </w:t>
      </w:r>
      <w:r>
        <w:rPr>
          <w:rStyle w:val="Codeattribute"/>
        </w:rPr>
        <w:t>@n</w:t>
      </w:r>
      <w:r>
        <w:t>, corresponding to a line number, a range of line numbers, or a set of non-contiguous line numbers in the text</w:t>
      </w:r>
    </w:p>
    <w:p>
      <w:pPr>
        <w:pStyle w:val="Lista2"/>
      </w:pPr>
      <w:r>
        <w:lastRenderedPageBreak/>
        <w:t xml:space="preserve">add to any </w:t>
      </w:r>
      <w:r>
        <w:rPr>
          <w:rStyle w:val="Code"/>
        </w:rPr>
        <w:t>&lt;p&gt;</w:t>
      </w:r>
      <w:r>
        <w:t xml:space="preserve"> element in the commentary the attribute </w:t>
      </w:r>
      <w:r>
        <w:rPr>
          <w:rStyle w:val="Codeattribute"/>
        </w:rPr>
        <w:t>@rend</w:t>
      </w:r>
      <w:r>
        <w:t xml:space="preserve"> with the value </w:t>
      </w:r>
      <w:r>
        <w:rPr>
          <w:rStyle w:val="Codevalue"/>
        </w:rPr>
        <w:t>"stanza"</w:t>
      </w:r>
      <w:r>
        <w:t xml:space="preserve"> and the attribute </w:t>
      </w:r>
      <w:r>
        <w:rPr>
          <w:rStyle w:val="Codeattribute"/>
        </w:rPr>
        <w:t>@n</w:t>
      </w:r>
      <w:r>
        <w:t>, corresponding to a stanza number, a range of stanza numbers, or a set of non-contiguous stanza numbers in the text</w:t>
      </w:r>
    </w:p>
    <w:p>
      <w:pPr>
        <w:pStyle w:val="Cmsor2"/>
      </w:pPr>
      <w:r>
        <w:t>Markup within the commentary</w:t>
      </w:r>
    </w:p>
    <w:p>
      <w:pPr>
        <w:pStyle w:val="Lista"/>
      </w:pPr>
      <w:r>
        <w:t xml:space="preserve">the commentary </w:t>
      </w:r>
      <w:r>
        <w:rPr>
          <w:lang w:eastAsia="en-US" w:bidi="ar-SA"/>
        </w:rPr>
        <w:t xml:space="preserve">may include the </w:t>
      </w:r>
      <w:r>
        <w:t>globally permitted miscellaneous markup elements discussed in §</w:t>
      </w:r>
      <w:r>
        <w:fldChar w:fldCharType="begin"/>
      </w:r>
      <w:r>
        <w:instrText xml:space="preserve"> REF _Ref43990225 \w \h  \* MERGEFORMAT </w:instrText>
      </w:r>
      <w:r>
        <w:fldChar w:fldCharType="separate"/>
      </w:r>
      <w:r>
        <w:t>14</w:t>
      </w:r>
      <w:r>
        <w:fldChar w:fldCharType="end"/>
      </w:r>
      <w:r>
        <w:t>, including in particular</w:t>
      </w:r>
    </w:p>
    <w:p>
      <w:pPr>
        <w:pStyle w:val="Lista2"/>
      </w:pPr>
      <w:r>
        <w:t>lemmas and excerpts from the edition (§</w:t>
      </w:r>
      <w:r>
        <w:fldChar w:fldCharType="begin"/>
      </w:r>
      <w:r>
        <w:instrText xml:space="preserve"> REF _Ref43990337 \r \h </w:instrText>
      </w:r>
      <w:r>
        <w:fldChar w:fldCharType="separate"/>
      </w:r>
      <w:r>
        <w:t>14.1</w:t>
      </w:r>
      <w:r>
        <w:fldChar w:fldCharType="end"/>
      </w:r>
      <w:r>
        <w:t>)</w:t>
      </w:r>
    </w:p>
    <w:p>
      <w:pPr>
        <w:pStyle w:val="Lista2"/>
      </w:pPr>
      <w:r>
        <w:t>bibliographic citations (§</w:t>
      </w:r>
      <w:r>
        <w:fldChar w:fldCharType="begin"/>
      </w:r>
      <w:r>
        <w:instrText xml:space="preserve"> REF _Ref233877601 \r \h </w:instrText>
      </w:r>
      <w:r>
        <w:fldChar w:fldCharType="separate"/>
      </w:r>
      <w:r>
        <w:t>14.6.1</w:t>
      </w:r>
      <w:r>
        <w:fldChar w:fldCharType="end"/>
      </w:r>
      <w:r>
        <w:t>)</w:t>
      </w:r>
    </w:p>
    <w:p>
      <w:pPr>
        <w:pStyle w:val="Lista"/>
      </w:pPr>
      <w:r>
        <w:t>the commentary should not contain text-based markup such as brackets, asterisks and other signs</w:t>
      </w:r>
    </w:p>
    <w:p>
      <w:pPr>
        <w:pStyle w:val="Cmsor1"/>
      </w:pPr>
      <w:bookmarkStart w:id="839" w:name="_lvf2agfolatw" w:colFirst="0" w:colLast="0"/>
      <w:bookmarkStart w:id="840" w:name="_l90e8jlwm99j" w:colFirst="0" w:colLast="0"/>
      <w:bookmarkStart w:id="841" w:name="_Ref43978796"/>
      <w:bookmarkEnd w:id="839"/>
      <w:bookmarkEnd w:id="840"/>
      <w:r>
        <w:lastRenderedPageBreak/>
        <w:t>The bibliography</w:t>
      </w:r>
      <w:bookmarkEnd w:id="841"/>
    </w:p>
    <w:p>
      <w:pPr>
        <w:rPr>
          <w:lang w:eastAsia="en-US" w:bidi="ar-SA"/>
        </w:rPr>
      </w:pPr>
      <w:r>
        <w:rPr>
          <w:lang w:eastAsia="en-US" w:bidi="ar-SA"/>
        </w:rPr>
        <w:t xml:space="preserve">DHARMA editions must always be accompanied by a bibliography, with the encoding structure and content specified in this section. The present section of the Guide is </w:t>
      </w:r>
      <w:r>
        <w:rPr>
          <w:i/>
          <w:iCs/>
          <w:lang w:eastAsia="en-US" w:bidi="ar-SA"/>
        </w:rPr>
        <w:t>not</w:t>
      </w:r>
      <w:r>
        <w:rPr>
          <w:lang w:eastAsia="en-US" w:bidi="ar-SA"/>
        </w:rPr>
        <w:t xml:space="preserve"> concerned with other bibliographic details such as</w:t>
      </w:r>
    </w:p>
    <w:p>
      <w:pPr>
        <w:pStyle w:val="Lista"/>
        <w:rPr>
          <w:lang w:eastAsia="en-US" w:bidi="ar-SA"/>
        </w:rPr>
      </w:pPr>
      <w:r>
        <w:rPr>
          <w:lang w:eastAsia="en-US" w:bidi="ar-SA"/>
        </w:rPr>
        <w:t>the project’s master bibliography, which is maintained in Zotero and discussed in the ZG</w:t>
      </w:r>
    </w:p>
    <w:p>
      <w:pPr>
        <w:pStyle w:val="Lista"/>
      </w:pPr>
      <w:r>
        <w:t>bibliographic citations, which are treated in §</w:t>
      </w:r>
      <w:r>
        <w:fldChar w:fldCharType="begin"/>
      </w:r>
      <w:r>
        <w:instrText xml:space="preserve"> REF _Ref233877601 \r \h </w:instrText>
      </w:r>
      <w:r>
        <w:fldChar w:fldCharType="separate"/>
      </w:r>
      <w:r>
        <w:t>14.6.1</w:t>
      </w:r>
      <w:r>
        <w:fldChar w:fldCharType="end"/>
      </w:r>
      <w:r>
        <w:t xml:space="preserve"> </w:t>
      </w:r>
    </w:p>
    <w:p>
      <w:pPr>
        <w:pStyle w:val="Cmsor2"/>
      </w:pPr>
      <w:r>
        <w:t>Encoding the bibliography</w:t>
      </w:r>
    </w:p>
    <w:p>
      <w:pPr>
        <w:pStyle w:val="Lista"/>
      </w:pPr>
      <w:r>
        <w:t xml:space="preserve">the bibliography must be wrapped in </w:t>
      </w:r>
      <w:r>
        <w:rPr>
          <w:rStyle w:val="Code"/>
        </w:rPr>
        <w:t xml:space="preserve">&lt;div </w:t>
      </w:r>
      <w:r>
        <w:rPr>
          <w:rStyle w:val="Codeattribute"/>
        </w:rPr>
        <w:t>type</w:t>
      </w:r>
      <w:r>
        <w:rPr>
          <w:rStyle w:val="Code"/>
        </w:rPr>
        <w:t>=</w:t>
      </w:r>
      <w:r>
        <w:rPr>
          <w:rStyle w:val="Codevalue"/>
        </w:rPr>
        <w:t>"bibliography"</w:t>
      </w:r>
      <w:r>
        <w:rPr>
          <w:rStyle w:val="Code"/>
        </w:rPr>
        <w:t>&gt;</w:t>
      </w:r>
      <w:r>
        <w:t xml:space="preserve"> without any attributes</w:t>
      </w:r>
    </w:p>
    <w:p>
      <w:pPr>
        <w:pStyle w:val="Lista"/>
      </w:pPr>
      <w:r>
        <w:t xml:space="preserve">this division follows the commentary and is the last element within the </w:t>
      </w:r>
      <w:r>
        <w:rPr>
          <w:rStyle w:val="Code"/>
        </w:rPr>
        <w:t>&lt;body&gt;</w:t>
      </w:r>
      <w:r>
        <w:t xml:space="preserve"> of your document, where its skeleton structure is already present in our templates</w:t>
      </w:r>
    </w:p>
    <w:p>
      <w:pPr>
        <w:pStyle w:val="Lista"/>
      </w:pPr>
      <w:r>
        <w:t xml:space="preserve">in all DHARMA editions, the bibliography division mandatorily contains each of the following items, in this order, as pre-structured in our template and as illustrated in </w:t>
      </w:r>
      <w:r>
        <w:fldChar w:fldCharType="begin"/>
      </w:r>
      <w:r>
        <w:instrText xml:space="preserve"> REF _Ref233623329 \h </w:instrText>
      </w:r>
      <w:r>
        <w:fldChar w:fldCharType="separate"/>
      </w:r>
      <w:r>
        <w:t xml:space="preserve">Exhibit </w:t>
      </w:r>
      <w:r>
        <w:rPr>
          <w:noProof/>
        </w:rPr>
        <w:t>13.1</w:t>
      </w:r>
      <w:r>
        <w:t>.</w:t>
      </w:r>
      <w:r>
        <w:rPr>
          <w:noProof/>
        </w:rPr>
        <w:t>A</w:t>
      </w:r>
      <w:r>
        <w:fldChar w:fldCharType="end"/>
      </w:r>
    </w:p>
    <w:p>
      <w:pPr>
        <w:pStyle w:val="Lista2"/>
      </w:pPr>
      <w:r>
        <w:t>an “epigraphic lemma”, §</w:t>
      </w:r>
      <w:r>
        <w:fldChar w:fldCharType="begin"/>
      </w:r>
      <w:r>
        <w:instrText xml:space="preserve"> REF _Ref233623221 \r \h </w:instrText>
      </w:r>
      <w:r>
        <w:fldChar w:fldCharType="separate"/>
      </w:r>
      <w:r>
        <w:t>13.2</w:t>
      </w:r>
      <w:r>
        <w:fldChar w:fldCharType="end"/>
      </w:r>
    </w:p>
    <w:p>
      <w:pPr>
        <w:pStyle w:val="Lista2"/>
      </w:pPr>
      <w:r>
        <w:t>a structured bibliography (§</w:t>
      </w:r>
      <w:r>
        <w:fldChar w:fldCharType="begin"/>
      </w:r>
      <w:r>
        <w:instrText xml:space="preserve"> REF _Ref63676627 \r \h </w:instrText>
      </w:r>
      <w:r>
        <w:fldChar w:fldCharType="separate"/>
      </w:r>
      <w:r>
        <w:t>13.3</w:t>
      </w:r>
      <w:r>
        <w:fldChar w:fldCharType="end"/>
      </w:r>
      <w:r>
        <w:t>) subdivided into</w:t>
      </w:r>
    </w:p>
    <w:p>
      <w:pPr>
        <w:pStyle w:val="Lista3"/>
      </w:pPr>
      <w:r>
        <w:t>a primary bibliography, §</w:t>
      </w:r>
      <w:r>
        <w:fldChar w:fldCharType="begin"/>
      </w:r>
      <w:r>
        <w:instrText xml:space="preserve"> REF _Ref233625697 \r \h </w:instrText>
      </w:r>
      <w:r>
        <w:fldChar w:fldCharType="separate"/>
      </w:r>
      <w:r>
        <w:t>13.3.1</w:t>
      </w:r>
      <w:r>
        <w:fldChar w:fldCharType="end"/>
      </w:r>
    </w:p>
    <w:p>
      <w:pPr>
        <w:pStyle w:val="Lista3"/>
      </w:pPr>
      <w:r>
        <w:t>a secondary bibliography, §</w:t>
      </w:r>
      <w:r>
        <w:fldChar w:fldCharType="begin"/>
      </w:r>
      <w:r>
        <w:instrText xml:space="preserve"> REF _Ref233623410 \r \h </w:instrText>
      </w:r>
      <w:r>
        <w:fldChar w:fldCharType="separate"/>
      </w:r>
      <w:r>
        <w:t>13.3.2</w:t>
      </w:r>
      <w:r>
        <w:fldChar w:fldCharType="end"/>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842" w:name="_Ref233623329"/>
            <w:bookmarkStart w:id="843" w:name="_Ref233623325"/>
            <w:r>
              <w:t xml:space="preserve">Exhibit </w:t>
            </w:r>
            <w:fldSimple w:instr=" STYLEREF 2 \s ">
              <w:r>
                <w:rPr>
                  <w:noProof/>
                </w:rPr>
                <w:t>13.1</w:t>
              </w:r>
            </w:fldSimple>
            <w:r>
              <w:t>.</w:t>
            </w:r>
            <w:fldSimple w:instr=" SEQ Exhibit \* ALPHABETIC \s 2 ">
              <w:r>
                <w:rPr>
                  <w:noProof/>
                </w:rPr>
                <w:t>A</w:t>
              </w:r>
            </w:fldSimple>
            <w:bookmarkEnd w:id="842"/>
            <w:r>
              <w:t>: encoding the bibliography division</w:t>
            </w:r>
            <w:bookmarkEnd w:id="843"/>
          </w:p>
        </w:tc>
      </w:tr>
      <w:tr>
        <w:tc>
          <w:tcPr>
            <w:tcW w:w="5000" w:type="pct"/>
          </w:tcPr>
          <w:p>
            <w:pPr>
              <w:pStyle w:val="CodeParagraph"/>
            </w:pPr>
            <w:r>
              <w:rPr>
                <w:rStyle w:val="Code"/>
              </w:rPr>
              <w:t xml:space="preserve">&lt;div </w:t>
            </w:r>
            <w:r>
              <w:rPr>
                <w:rStyle w:val="Codeattribute"/>
              </w:rPr>
              <w:t>type</w:t>
            </w:r>
            <w:r>
              <w:rPr>
                <w:rStyle w:val="Code"/>
              </w:rPr>
              <w:t>=</w:t>
            </w:r>
            <w:r>
              <w:rPr>
                <w:rStyle w:val="Codevalue"/>
              </w:rPr>
              <w:t>"bibliography"</w:t>
            </w:r>
            <w:r>
              <w:rPr>
                <w:rStyle w:val="Code"/>
              </w:rPr>
              <w:t>&gt;</w:t>
            </w:r>
            <w:r>
              <w:rPr>
                <w:rStyle w:val="Codetext"/>
              </w:rPr>
              <w:br/>
              <w:t xml:space="preserve">  </w:t>
            </w:r>
            <w:r>
              <w:rPr>
                <w:rStyle w:val="Code"/>
              </w:rPr>
              <w:t>&lt;p&gt;</w:t>
            </w:r>
            <w:r>
              <w:rPr>
                <w:rStyle w:val="Codetext"/>
              </w:rPr>
              <w:t xml:space="preserve">First edited by Cohen Stuart </w:t>
            </w:r>
            <w:r>
              <w:rPr>
                <w:rStyle w:val="Code"/>
              </w:rPr>
              <w:t xml:space="preserve">&lt;bibl </w:t>
            </w:r>
            <w:r>
              <w:rPr>
                <w:rStyle w:val="Codeattribute"/>
              </w:rPr>
              <w:t>rend</w:t>
            </w:r>
            <w:r>
              <w:rPr>
                <w:rStyle w:val="Code"/>
              </w:rPr>
              <w:t>=</w:t>
            </w:r>
            <w:r>
              <w:rPr>
                <w:rStyle w:val="Codevalue"/>
              </w:rPr>
              <w:t>"omitname"</w:t>
            </w:r>
            <w:r>
              <w:rPr>
                <w:rStyle w:val="Code"/>
              </w:rPr>
              <w:t xml:space="preserve">&gt;&lt;ptr </w:t>
            </w:r>
            <w:r>
              <w:rPr>
                <w:rStyle w:val="Codeattribute"/>
              </w:rPr>
              <w:t>target</w:t>
            </w:r>
            <w:r>
              <w:rPr>
                <w:rStyle w:val="Code"/>
              </w:rPr>
              <w:t>=</w:t>
            </w:r>
            <w:r>
              <w:rPr>
                <w:rStyle w:val="Codevalue"/>
              </w:rPr>
              <w:t>"bib:CohenStuart1875_01"</w:t>
            </w:r>
            <w:r>
              <w:rPr>
                <w:rStyle w:val="Code"/>
              </w:rPr>
              <w:t xml:space="preserve">/&gt;&lt;citedRange </w:t>
            </w:r>
            <w:r>
              <w:rPr>
                <w:rStyle w:val="Codeattribute"/>
              </w:rPr>
              <w:t>unit</w:t>
            </w:r>
            <w:r>
              <w:rPr>
                <w:rStyle w:val="Code"/>
              </w:rPr>
              <w:t>=</w:t>
            </w:r>
            <w:r>
              <w:rPr>
                <w:rStyle w:val="Codevalue"/>
              </w:rPr>
              <w:t>"page"</w:t>
            </w:r>
            <w:r>
              <w:rPr>
                <w:rStyle w:val="Code"/>
              </w:rPr>
              <w:t>&gt;</w:t>
            </w:r>
            <w:r>
              <w:rPr>
                <w:rStyle w:val="Codetext"/>
              </w:rPr>
              <w:t>23</w:t>
            </w:r>
            <w:r>
              <w:rPr>
                <w:rStyle w:val="Code"/>
              </w:rPr>
              <w:t xml:space="preserve">&lt;/citedRange&gt;&lt;citedRange </w:t>
            </w:r>
            <w:r>
              <w:rPr>
                <w:rStyle w:val="Codeattribute"/>
              </w:rPr>
              <w:t>unit</w:t>
            </w:r>
            <w:r>
              <w:rPr>
                <w:rStyle w:val="Code"/>
              </w:rPr>
              <w:t>=</w:t>
            </w:r>
            <w:r>
              <w:rPr>
                <w:rStyle w:val="Codevalue"/>
              </w:rPr>
              <w:t>"item"</w:t>
            </w:r>
            <w:r>
              <w:rPr>
                <w:rStyle w:val="Code"/>
              </w:rPr>
              <w:t>&gt;</w:t>
            </w:r>
            <w:r>
              <w:rPr>
                <w:rStyle w:val="Codetext"/>
              </w:rPr>
              <w:t>XIII</w:t>
            </w:r>
            <w:r>
              <w:rPr>
                <w:rStyle w:val="Code"/>
              </w:rPr>
              <w:t>&lt;/citedRange&gt;&lt;/bibl&gt;</w:t>
            </w:r>
            <w:r>
              <w:rPr>
                <w:rStyle w:val="Codetext"/>
              </w:rPr>
              <w:t xml:space="preserve"> with a lithographic reproduction in the accompanying volume of plates </w:t>
            </w:r>
            <w:r>
              <w:rPr>
                <w:rStyle w:val="Code"/>
              </w:rPr>
              <w:t xml:space="preserve">&lt;bibl&gt;&lt;ptr </w:t>
            </w:r>
            <w:r>
              <w:rPr>
                <w:rStyle w:val="Codeattribute"/>
              </w:rPr>
              <w:t>target</w:t>
            </w:r>
            <w:r>
              <w:rPr>
                <w:rStyle w:val="Code"/>
              </w:rPr>
              <w:t>=</w:t>
            </w:r>
            <w:r>
              <w:rPr>
                <w:rStyle w:val="Codevalue"/>
              </w:rPr>
              <w:t>"bib:Huart+Hooiberg1875_01"</w:t>
            </w:r>
            <w:r>
              <w:rPr>
                <w:rStyle w:val="Code"/>
              </w:rPr>
              <w:t>/&gt;&lt;/bibl&gt;</w:t>
            </w:r>
            <w:r>
              <w:rPr>
                <w:rStyle w:val="Codetext"/>
              </w:rPr>
              <w:t xml:space="preserve">; edited again by Boechari </w:t>
            </w:r>
            <w:r>
              <w:rPr>
                <w:rStyle w:val="Code"/>
              </w:rPr>
              <w:t xml:space="preserve">&lt;bibl </w:t>
            </w:r>
            <w:r>
              <w:rPr>
                <w:rStyle w:val="Codeattribute"/>
              </w:rPr>
              <w:t>rend</w:t>
            </w:r>
            <w:r>
              <w:rPr>
                <w:rStyle w:val="Code"/>
              </w:rPr>
              <w:t>=</w:t>
            </w:r>
            <w:r>
              <w:rPr>
                <w:rStyle w:val="Codevalue"/>
              </w:rPr>
              <w:t>"omitname"</w:t>
            </w:r>
            <w:r>
              <w:rPr>
                <w:rStyle w:val="Code"/>
              </w:rPr>
              <w:t xml:space="preserve">&gt;&lt;ptr </w:t>
            </w:r>
            <w:r>
              <w:rPr>
                <w:rStyle w:val="Codeattribute"/>
              </w:rPr>
              <w:t>target</w:t>
            </w:r>
            <w:r>
              <w:rPr>
                <w:rStyle w:val="Code"/>
              </w:rPr>
              <w:t>=</w:t>
            </w:r>
            <w:r>
              <w:rPr>
                <w:rStyle w:val="Codevalue"/>
              </w:rPr>
              <w:t>"bib:Boechari1985-1986_01"</w:t>
            </w:r>
            <w:r>
              <w:rPr>
                <w:rStyle w:val="Code"/>
              </w:rPr>
              <w:t xml:space="preserve">/&gt;&lt;citedRange </w:t>
            </w:r>
            <w:r>
              <w:rPr>
                <w:rStyle w:val="Codeattribute"/>
              </w:rPr>
              <w:t>unit</w:t>
            </w:r>
            <w:r>
              <w:rPr>
                <w:rStyle w:val="Code"/>
              </w:rPr>
              <w:t>=</w:t>
            </w:r>
            <w:r>
              <w:rPr>
                <w:rStyle w:val="Codevalue"/>
              </w:rPr>
              <w:t>"page"</w:t>
            </w:r>
            <w:r>
              <w:rPr>
                <w:rStyle w:val="Code"/>
              </w:rPr>
              <w:t>&gt;</w:t>
            </w:r>
            <w:r>
              <w:rPr>
                <w:rStyle w:val="Codetext"/>
              </w:rPr>
              <w:t>53</w:t>
            </w:r>
            <w:r>
              <w:rPr>
                <w:rStyle w:val="Code"/>
              </w:rPr>
              <w:t>&lt;/citedRange&gt;</w:t>
            </w:r>
            <w:r>
              <w:rPr>
                <w:rStyle w:val="Codetext"/>
              </w:rP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E.16</w:t>
            </w:r>
            <w:r>
              <w:rPr>
                <w:rStyle w:val="Code"/>
              </w:rPr>
              <w:t>&lt;/citedRange&gt;&lt;/bibl&gt;</w:t>
            </w:r>
            <w:r>
              <w:rPr>
                <w:rStyle w:val="Codetext"/>
              </w:rPr>
              <w:t>; re-edited here by Arlo Griffiths from the Leiden estampage of the plate.</w:t>
            </w:r>
            <w:r>
              <w:rPr>
                <w:rStyle w:val="Codetext"/>
              </w:rPr>
              <w:br/>
              <w:t xml:space="preserve">  </w:t>
            </w:r>
            <w:r>
              <w:rPr>
                <w:rStyle w:val="Code"/>
              </w:rPr>
              <w:t>&lt;/p&gt;</w:t>
            </w:r>
            <w:r>
              <w:rPr>
                <w:rStyle w:val="Codetext"/>
              </w:rPr>
              <w:br/>
              <w:t xml:space="preserve">  </w:t>
            </w:r>
            <w:r>
              <w:rPr>
                <w:rStyle w:val="Code"/>
              </w:rPr>
              <w:t xml:space="preserve">&lt;listBibl </w:t>
            </w:r>
            <w:r>
              <w:rPr>
                <w:rStyle w:val="Codeattribute"/>
              </w:rPr>
              <w:t>type</w:t>
            </w:r>
            <w:r>
              <w:rPr>
                <w:rStyle w:val="Code"/>
              </w:rPr>
              <w:t>=</w:t>
            </w:r>
            <w:r>
              <w:rPr>
                <w:rStyle w:val="Codevalue"/>
              </w:rPr>
              <w:t>"primary"</w:t>
            </w:r>
            <w:r>
              <w:rPr>
                <w:rStyle w:val="Code"/>
              </w:rPr>
              <w:t>&gt;</w:t>
            </w:r>
            <w:r>
              <w:rPr>
                <w:rStyle w:val="Codetext"/>
              </w:rPr>
              <w:br/>
              <w:t xml:space="preserve">    </w:t>
            </w:r>
            <w:r>
              <w:rPr>
                <w:rStyle w:val="Code"/>
              </w:rPr>
              <w:t xml:space="preserve">&lt;bibl </w:t>
            </w:r>
            <w:r>
              <w:rPr>
                <w:rStyle w:val="Codeattribute"/>
              </w:rPr>
              <w:t>n</w:t>
            </w:r>
            <w:r>
              <w:rPr>
                <w:rStyle w:val="Code"/>
              </w:rPr>
              <w:t>=</w:t>
            </w:r>
            <w:r>
              <w:rPr>
                <w:rStyle w:val="Codevalue"/>
              </w:rPr>
              <w:t>"B"</w:t>
            </w:r>
            <w:r>
              <w:rPr>
                <w:rStyle w:val="Code"/>
              </w:rPr>
              <w:t>&gt;</w:t>
            </w:r>
            <w:r>
              <w:rPr>
                <w:rStyle w:val="Codetext"/>
              </w:rPr>
              <w:br/>
              <w:t xml:space="preserve">      </w:t>
            </w:r>
            <w:r>
              <w:rPr>
                <w:rStyle w:val="Code"/>
              </w:rPr>
              <w:t xml:space="preserve">&lt;ptr </w:t>
            </w:r>
            <w:r>
              <w:rPr>
                <w:rStyle w:val="Codeattribute"/>
              </w:rPr>
              <w:t>target</w:t>
            </w:r>
            <w:r>
              <w:rPr>
                <w:rStyle w:val="Code"/>
              </w:rPr>
              <w:t>=</w:t>
            </w:r>
            <w:r>
              <w:rPr>
                <w:rStyle w:val="Codevalue"/>
              </w:rPr>
              <w:t>"bib:Boechari1985-1986_01"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"page"</w:t>
            </w:r>
            <w:r>
              <w:rPr>
                <w:rStyle w:val="Code"/>
              </w:rPr>
              <w:t>&gt;</w:t>
            </w:r>
            <w:r>
              <w:rPr>
                <w:rStyle w:val="Codetext"/>
              </w:rPr>
              <w:t>53</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E.16</w:t>
            </w:r>
            <w:r>
              <w:rPr>
                <w:rStyle w:val="Code"/>
              </w:rPr>
              <w:t>&lt;/citedRange&gt;</w:t>
            </w:r>
            <w:r>
              <w:rPr>
                <w:rStyle w:val="Codetext"/>
              </w:rPr>
              <w:br/>
              <w:t xml:space="preserve">    </w:t>
            </w:r>
            <w:r>
              <w:rPr>
                <w:rStyle w:val="Code"/>
              </w:rPr>
              <w:t>&lt;/bibl&gt;</w:t>
            </w:r>
            <w:r>
              <w:rPr>
                <w:rStyle w:val="Codetext"/>
              </w:rPr>
              <w:br/>
              <w:t xml:space="preserve">    </w:t>
            </w:r>
            <w:r>
              <w:rPr>
                <w:rStyle w:val="Code"/>
              </w:rPr>
              <w:t xml:space="preserve">&lt;bibl </w:t>
            </w:r>
            <w:r>
              <w:rPr>
                <w:rStyle w:val="Codeattribute"/>
              </w:rPr>
              <w:t>n</w:t>
            </w:r>
            <w:r>
              <w:rPr>
                <w:rStyle w:val="Code"/>
              </w:rPr>
              <w:t>=</w:t>
            </w:r>
            <w:r>
              <w:rPr>
                <w:rStyle w:val="Codevalue"/>
              </w:rPr>
              <w:t>"CS"</w:t>
            </w:r>
            <w:r>
              <w:rPr>
                <w:rStyle w:val="Code"/>
              </w:rPr>
              <w:t>&gt;</w:t>
            </w:r>
            <w:r>
              <w:rPr>
                <w:rStyle w:val="Codetext"/>
              </w:rPr>
              <w:br/>
              <w:t xml:space="preserve">      </w:t>
            </w:r>
            <w:r>
              <w:rPr>
                <w:rStyle w:val="Code"/>
              </w:rPr>
              <w:t xml:space="preserve">&lt;ptr </w:t>
            </w:r>
            <w:r>
              <w:rPr>
                <w:rStyle w:val="Codeattribute"/>
              </w:rPr>
              <w:t>target</w:t>
            </w:r>
            <w:r>
              <w:rPr>
                <w:rStyle w:val="Code"/>
              </w:rPr>
              <w:t>=</w:t>
            </w:r>
            <w:r>
              <w:rPr>
                <w:rStyle w:val="Codevalue"/>
              </w:rPr>
              <w:t>"bib:CohenStuart1875_01"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"page"</w:t>
            </w:r>
            <w:r>
              <w:rPr>
                <w:rStyle w:val="Code"/>
              </w:rPr>
              <w:t>&gt;</w:t>
            </w:r>
            <w:r>
              <w:rPr>
                <w:rStyle w:val="Codetext"/>
              </w:rPr>
              <w:t>23</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XIII</w:t>
            </w:r>
            <w:r>
              <w:rPr>
                <w:rStyle w:val="Code"/>
              </w:rPr>
              <w:t>&lt;/citedRange&gt;</w:t>
            </w:r>
            <w:r>
              <w:rPr>
                <w:rStyle w:val="Codetext"/>
              </w:rPr>
              <w:br/>
              <w:t xml:space="preserve">    </w:t>
            </w:r>
            <w:r>
              <w:rPr>
                <w:rStyle w:val="Code"/>
              </w:rPr>
              <w:t>&lt;/bibl&gt;</w:t>
            </w:r>
            <w:r>
              <w:rPr>
                <w:rStyle w:val="Codetext"/>
              </w:rPr>
              <w:br/>
              <w:t xml:space="preserve">    </w:t>
            </w:r>
            <w:r>
              <w:rPr>
                <w:rStyle w:val="Code"/>
              </w:rPr>
              <w:t xml:space="preserve">&lt;bibl </w:t>
            </w:r>
            <w:r>
              <w:rPr>
                <w:rStyle w:val="Codeattribute"/>
              </w:rPr>
              <w:t>n</w:t>
            </w:r>
            <w:r>
              <w:rPr>
                <w:rStyle w:val="Code"/>
              </w:rPr>
              <w:t>=</w:t>
            </w:r>
            <w:r>
              <w:rPr>
                <w:rStyle w:val="Codevalue"/>
              </w:rPr>
              <w:t>"HH"</w:t>
            </w:r>
            <w:r>
              <w:rPr>
                <w:rStyle w:val="Code"/>
              </w:rPr>
              <w:t>&gt;</w:t>
            </w:r>
            <w:r>
              <w:rPr>
                <w:rStyle w:val="Codetext"/>
              </w:rPr>
              <w:br/>
              <w:t xml:space="preserve">      </w:t>
            </w:r>
            <w:r>
              <w:rPr>
                <w:rStyle w:val="Code"/>
              </w:rPr>
              <w:t xml:space="preserve">&lt;ptr </w:t>
            </w:r>
            <w:r>
              <w:rPr>
                <w:rStyle w:val="Codeattribute"/>
              </w:rPr>
              <w:t>target</w:t>
            </w:r>
            <w:r>
              <w:rPr>
                <w:rStyle w:val="Code"/>
              </w:rPr>
              <w:t>=</w:t>
            </w:r>
            <w:r>
              <w:rPr>
                <w:rStyle w:val="Codevalue"/>
              </w:rPr>
              <w:t>"bib:Huart+Hooiberg1875_01"</w:t>
            </w:r>
            <w:r>
              <w:rPr>
                <w:rStyle w:val="Code"/>
              </w:rPr>
              <w:t>/&gt;</w:t>
            </w:r>
            <w:r>
              <w:rPr>
                <w:rStyle w:val="Codetext"/>
              </w:rPr>
              <w:br/>
              <w:t xml:space="preserve">    </w:t>
            </w:r>
            <w:r>
              <w:rPr>
                <w:rStyle w:val="Code"/>
              </w:rPr>
              <w:t>&lt;/bibl&gt;</w:t>
            </w:r>
            <w:r>
              <w:rPr>
                <w:rStyle w:val="Codetext"/>
              </w:rPr>
              <w:br/>
              <w:t xml:space="preserve">  </w:t>
            </w:r>
            <w:r>
              <w:rPr>
                <w:rStyle w:val="Code"/>
              </w:rPr>
              <w:t>&lt;/listBibl&gt;</w:t>
            </w:r>
            <w:r>
              <w:rPr>
                <w:rStyle w:val="Codetext"/>
              </w:rPr>
              <w:br/>
              <w:t xml:space="preserve">  </w:t>
            </w:r>
            <w:r>
              <w:rPr>
                <w:rStyle w:val="Code"/>
              </w:rPr>
              <w:t xml:space="preserve">&lt;listBibl </w:t>
            </w:r>
            <w:r>
              <w:rPr>
                <w:rStyle w:val="Codeattribute"/>
              </w:rPr>
              <w:t>type</w:t>
            </w:r>
            <w:r>
              <w:rPr>
                <w:rStyle w:val="Code"/>
              </w:rPr>
              <w:t>=</w:t>
            </w:r>
            <w:r>
              <w:rPr>
                <w:rStyle w:val="Codevalue"/>
              </w:rPr>
              <w:t>"secondary"</w:t>
            </w:r>
            <w:r>
              <w:rPr>
                <w:rStyle w:val="Code"/>
              </w:rPr>
              <w:t>&gt;</w:t>
            </w:r>
            <w:r>
              <w:rPr>
                <w:rStyle w:val="Codetext"/>
              </w:rPr>
              <w:br/>
              <w:t xml:space="preserve">    </w:t>
            </w:r>
            <w:r>
              <w:rPr>
                <w:rStyle w:val="Code"/>
              </w:rPr>
              <w:t xml:space="preserve">&lt;bibl&gt;&lt;ptr </w:t>
            </w:r>
            <w:r>
              <w:rPr>
                <w:rStyle w:val="Codeattribute"/>
              </w:rPr>
              <w:t>target</w:t>
            </w:r>
            <w:r>
              <w:rPr>
                <w:rStyle w:val="Code"/>
              </w:rPr>
              <w:t>=</w:t>
            </w:r>
            <w:r>
              <w:rPr>
                <w:rStyle w:val="Codevalue"/>
              </w:rPr>
              <w:t>"bib:NBG08_1870"</w:t>
            </w:r>
            <w:r>
              <w:rPr>
                <w:rStyle w:val="Code"/>
              </w:rPr>
              <w:t>/&gt;&lt;date&gt;</w:t>
            </w:r>
            <w:r>
              <w:rPr>
                <w:rStyle w:val="Codetext"/>
              </w:rPr>
              <w:t>1870</w:t>
            </w:r>
            <w:r>
              <w:rPr>
                <w:rStyle w:val="Code"/>
              </w:rPr>
              <w:t>&lt;/date&gt;&lt;citedRange&gt;</w:t>
            </w:r>
            <w:r>
              <w:rPr>
                <w:rStyle w:val="Codetext"/>
              </w:rPr>
              <w:t>72, 78</w:t>
            </w:r>
            <w:r>
              <w:rPr>
                <w:rStyle w:val="Code"/>
              </w:rPr>
              <w:t>&lt;/citedRange&gt;&lt;/bibl&gt;</w:t>
            </w:r>
            <w:r>
              <w:rPr>
                <w:rStyle w:val="Codetext"/>
              </w:rPr>
              <w:br/>
              <w:t xml:space="preserve">    </w:t>
            </w:r>
            <w:r>
              <w:rPr>
                <w:rStyle w:val="Code"/>
              </w:rPr>
              <w:t xml:space="preserve">&lt;bibl&gt;&lt;ptr </w:t>
            </w:r>
            <w:r>
              <w:rPr>
                <w:rStyle w:val="Codeattribute"/>
              </w:rPr>
              <w:t>target</w:t>
            </w:r>
            <w:r>
              <w:rPr>
                <w:rStyle w:val="Code"/>
              </w:rPr>
              <w:t>=</w:t>
            </w:r>
            <w:r>
              <w:rPr>
                <w:rStyle w:val="Codevalue"/>
              </w:rPr>
              <w:t>"bib:Verbeek1891_01"</w:t>
            </w:r>
            <w:r>
              <w:rPr>
                <w:rStyle w:val="Code"/>
              </w:rPr>
              <w:t xml:space="preserve">/&gt;&lt;citedRange </w:t>
            </w:r>
            <w:r>
              <w:rPr>
                <w:rStyle w:val="Codeattribute"/>
              </w:rPr>
              <w:t>unit</w:t>
            </w:r>
            <w:r>
              <w:rPr>
                <w:rStyle w:val="Code"/>
              </w:rPr>
              <w:t>=</w:t>
            </w:r>
            <w:r>
              <w:rPr>
                <w:rStyle w:val="Codevalue"/>
              </w:rPr>
              <w:t>"page"</w:t>
            </w:r>
            <w:r>
              <w:rPr>
                <w:rStyle w:val="Code"/>
              </w:rPr>
              <w:t>&gt;</w:t>
            </w:r>
            <w:r>
              <w:rPr>
                <w:rStyle w:val="Codetext"/>
              </w:rPr>
              <w:t>149-150</w:t>
            </w:r>
            <w:r>
              <w:rPr>
                <w:rStyle w:val="Code"/>
              </w:rPr>
              <w:t>&lt;/citedRange&gt;</w:t>
            </w:r>
            <w:r>
              <w:rPr>
                <w:rStyle w:val="Codetext"/>
              </w:rP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276</w:t>
            </w:r>
            <w:r>
              <w:rPr>
                <w:rStyle w:val="Code"/>
              </w:rPr>
              <w:t>&lt;/citedRange&gt;&lt;/bibl&gt;</w:t>
            </w:r>
            <w:r>
              <w:rPr>
                <w:rStyle w:val="Codetext"/>
              </w:rPr>
              <w:br/>
              <w:t xml:space="preserve">    </w:t>
            </w:r>
            <w:r>
              <w:rPr>
                <w:rStyle w:val="Code"/>
              </w:rPr>
              <w:t xml:space="preserve">&lt;bibl&gt;&lt;ptr </w:t>
            </w:r>
            <w:r>
              <w:rPr>
                <w:rStyle w:val="Codeattribute"/>
              </w:rPr>
              <w:t>target</w:t>
            </w:r>
            <w:r>
              <w:rPr>
                <w:rStyle w:val="Code"/>
              </w:rPr>
              <w:t>=</w:t>
            </w:r>
            <w:r>
              <w:rPr>
                <w:rStyle w:val="Codevalue"/>
              </w:rPr>
              <w:t>"bib:Damais1970_01"</w:t>
            </w:r>
            <w:r>
              <w:rPr>
                <w:rStyle w:val="Code"/>
              </w:rPr>
              <w:t xml:space="preserve">/&gt;&lt;citedRange </w:t>
            </w:r>
            <w:r>
              <w:rPr>
                <w:rStyle w:val="Codeattribute"/>
              </w:rPr>
              <w:t>unit</w:t>
            </w:r>
            <w:r>
              <w:rPr>
                <w:rStyle w:val="Code"/>
              </w:rPr>
              <w:t>=</w:t>
            </w:r>
            <w:r>
              <w:rPr>
                <w:rStyle w:val="Codevalue"/>
              </w:rPr>
              <w:t>"page"</w:t>
            </w:r>
            <w:r>
              <w:rPr>
                <w:rStyle w:val="Code"/>
              </w:rPr>
              <w:t>&gt;</w:t>
            </w:r>
            <w:r>
              <w:rPr>
                <w:rStyle w:val="Codetext"/>
              </w:rPr>
              <w:t>48</w:t>
            </w:r>
            <w:r>
              <w:rPr>
                <w:rStyle w:val="Code"/>
              </w:rPr>
              <w:t xml:space="preserve">&lt;/citedRange&gt;&lt;citedRange </w:t>
            </w:r>
            <w:r>
              <w:rPr>
                <w:rStyle w:val="Codeattribute"/>
              </w:rPr>
              <w:t>unit</w:t>
            </w:r>
            <w:r>
              <w:rPr>
                <w:rStyle w:val="Code"/>
              </w:rPr>
              <w:t>=</w:t>
            </w:r>
            <w:r>
              <w:rPr>
                <w:rStyle w:val="Codevalue"/>
              </w:rPr>
              <w:t>"item"</w:t>
            </w:r>
            <w:r>
              <w:rPr>
                <w:rStyle w:val="Code"/>
              </w:rPr>
              <w:t>&gt;</w:t>
            </w:r>
            <w:r>
              <w:rPr>
                <w:rStyle w:val="Codetext"/>
              </w:rPr>
              <w:t>86</w:t>
            </w:r>
            <w:r>
              <w:rPr>
                <w:rStyle w:val="Code"/>
              </w:rPr>
              <w:t xml:space="preserve">&lt;/citedRange&gt;&lt;citedRange </w:t>
            </w:r>
            <w:r>
              <w:rPr>
                <w:rStyle w:val="Codeattribute"/>
              </w:rPr>
              <w:t>unit</w:t>
            </w:r>
            <w:r>
              <w:rPr>
                <w:rStyle w:val="Code"/>
              </w:rPr>
              <w:t>=</w:t>
            </w:r>
            <w:r>
              <w:rPr>
                <w:rStyle w:val="Codevalue"/>
              </w:rPr>
              <w:t>"note"</w:t>
            </w:r>
            <w:r>
              <w:rPr>
                <w:rStyle w:val="Code"/>
              </w:rPr>
              <w:t>&gt;</w:t>
            </w:r>
            <w:r>
              <w:rPr>
                <w:rStyle w:val="Codetext"/>
              </w:rPr>
              <w:t>13</w:t>
            </w:r>
            <w:r>
              <w:rPr>
                <w:rStyle w:val="Code"/>
              </w:rPr>
              <w:t>&lt;/citedRange&gt;&lt;/bibl&gt;</w:t>
            </w:r>
          </w:p>
          <w:p>
            <w:pPr>
              <w:pStyle w:val="CodeParagraph"/>
            </w:pPr>
            <w:r>
              <w:rPr>
                <w:rStyle w:val="Codetext"/>
              </w:rPr>
              <w:t xml:space="preserve">  </w:t>
            </w:r>
            <w:r>
              <w:rPr>
                <w:rStyle w:val="Code"/>
              </w:rPr>
              <w:t>&lt;/listBibl&gt;</w:t>
            </w:r>
            <w:r>
              <w:rPr>
                <w:rStyle w:val="Codetext"/>
              </w:rPr>
              <w:br/>
            </w:r>
            <w:r>
              <w:rPr>
                <w:rStyle w:val="Code"/>
              </w:rPr>
              <w:t>&lt;/div&gt;</w:t>
            </w:r>
          </w:p>
        </w:tc>
      </w:tr>
    </w:tbl>
    <w:p/>
    <w:p>
      <w:pPr>
        <w:pStyle w:val="Cmsor2"/>
      </w:pPr>
      <w:bookmarkStart w:id="844" w:name="_Ref233623221"/>
      <w:r>
        <w:lastRenderedPageBreak/>
        <w:t>The epigraphic lemma</w:t>
      </w:r>
      <w:bookmarkEnd w:id="844"/>
    </w:p>
    <w:p>
      <w:r>
        <w:rPr>
          <w:lang w:eastAsia="en-US" w:bidi="ar-SA"/>
        </w:rPr>
        <w:t xml:space="preserve">An epigraphic lemma (called by this name in Greek and Roman epigraphy) </w:t>
      </w:r>
      <w:r>
        <w:t xml:space="preserve">is a paragraph which explains the history of research leading up the present edition. Our epigraphic lemmas shall be encoded as a single </w:t>
      </w:r>
      <w:r>
        <w:rPr>
          <w:rStyle w:val="Code"/>
        </w:rPr>
        <w:t>&lt;p&gt;</w:t>
      </w:r>
      <w:r>
        <w:t xml:space="preserve"> element that is the first child of the bibliography division, containing freeform discursive English text, as illustrated in </w:t>
      </w:r>
      <w:r>
        <w:fldChar w:fldCharType="begin"/>
      </w:r>
      <w:r>
        <w:instrText xml:space="preserve"> REF _Ref233623329 \h </w:instrText>
      </w:r>
      <w:r>
        <w:fldChar w:fldCharType="separate"/>
      </w:r>
      <w:r>
        <w:t xml:space="preserve">Exhibit </w:t>
      </w:r>
      <w:r>
        <w:rPr>
          <w:noProof/>
        </w:rPr>
        <w:t>13.1</w:t>
      </w:r>
      <w:r>
        <w:t>.</w:t>
      </w:r>
      <w:r>
        <w:rPr>
          <w:noProof/>
        </w:rPr>
        <w:t>A</w:t>
      </w:r>
      <w:r>
        <w:fldChar w:fldCharType="end"/>
      </w:r>
      <w:r>
        <w:t xml:space="preserve">. </w:t>
      </w:r>
    </w:p>
    <w:p>
      <w:pPr>
        <w:pStyle w:val="Lista"/>
      </w:pPr>
      <w:r>
        <w:t>the epigraphic lemma will normally be centred around a list of the principal publications pertaining to the study of the text and its translation, in ascending chronological order up to the one that most immediately precedes the present edition</w:t>
      </w:r>
    </w:p>
    <w:p>
      <w:pPr>
        <w:pStyle w:val="Lista2"/>
      </w:pPr>
      <w:r>
        <w:t>principal publications are typically the same as the items of the primary bibliography (§</w:t>
      </w:r>
      <w:r>
        <w:fldChar w:fldCharType="begin"/>
      </w:r>
      <w:r>
        <w:instrText xml:space="preserve"> REF _Ref63676627 \r \h </w:instrText>
      </w:r>
      <w:r>
        <w:fldChar w:fldCharType="separate"/>
      </w:r>
      <w:r>
        <w:t>13.3</w:t>
      </w:r>
      <w:r>
        <w:fldChar w:fldCharType="end"/>
      </w:r>
      <w:r>
        <w:t>), but early reports, facsimiles and translations without an accompanying edition may also be mentioned here</w:t>
      </w:r>
    </w:p>
    <w:p>
      <w:pPr>
        <w:pStyle w:val="Lista2"/>
      </w:pPr>
      <w:r>
        <w:t xml:space="preserve">each reference must be encoded as a bibliographic citation </w:t>
      </w:r>
      <w:r>
        <w:rPr>
          <w:noProof/>
        </w:rPr>
        <w:t>(</w:t>
      </w:r>
      <w:r>
        <w:t>§</w:t>
      </w:r>
      <w:r>
        <w:fldChar w:fldCharType="begin"/>
      </w:r>
      <w:r>
        <w:instrText xml:space="preserve"> REF _Ref233877601 \r \h </w:instrText>
      </w:r>
      <w:r>
        <w:fldChar w:fldCharType="separate"/>
      </w:r>
      <w:r>
        <w:t>14.6.1</w:t>
      </w:r>
      <w:r>
        <w:fldChar w:fldCharType="end"/>
      </w:r>
      <w:r>
        <w:t xml:space="preserve">) </w:t>
      </w:r>
    </w:p>
    <w:p>
      <w:pPr>
        <w:pStyle w:val="Lista3"/>
      </w:pPr>
      <w:r>
        <w:t>the encoding can be copied and pasted from or to the structured bibliography, then edited as needed</w:t>
      </w:r>
    </w:p>
    <w:p>
      <w:pPr>
        <w:pStyle w:val="Lista2"/>
      </w:pPr>
      <w:r>
        <w:t>each reference must be integrated into a sentence explaining the relevance of the item</w:t>
      </w:r>
    </w:p>
    <w:p>
      <w:pPr>
        <w:pStyle w:val="Lista3"/>
      </w:pPr>
      <w:r>
        <w:t>specify whether the item includes an edition, a facsimile or a translation of the text</w:t>
      </w:r>
    </w:p>
    <w:p>
      <w:pPr>
        <w:pStyle w:val="Lista3"/>
      </w:pPr>
      <w:r>
        <w:t>for any publication that includes visual documentation, give a full account of such documentation in the epigraphic lemma (reproduction method, print quality, missing parts, etc.)</w:t>
      </w:r>
    </w:p>
    <w:p>
      <w:pPr>
        <w:pStyle w:val="Lista3"/>
      </w:pPr>
      <w:r>
        <w:t>for editions, specify the kind and source of the visual documentation on which the edition was based</w:t>
      </w:r>
    </w:p>
    <w:p>
      <w:pPr>
        <w:pStyle w:val="Lista"/>
      </w:pPr>
      <w:r>
        <w:t>the epigraphic lemma shall end with the introduction of the present edition</w:t>
      </w:r>
    </w:p>
    <w:p>
      <w:pPr>
        <w:pStyle w:val="Lista2"/>
      </w:pPr>
      <w:r>
        <w:t>this will be the only item of the epigraphic lemma for texts which have not been published before</w:t>
      </w:r>
    </w:p>
    <w:p>
      <w:pPr>
        <w:pStyle w:val="Lista2"/>
      </w:pPr>
      <w:r>
        <w:t xml:space="preserve">include your name (along with the names of any collaborators) in this item, stating in human-readable form the same information that has been encoded in the </w:t>
      </w:r>
      <w:r>
        <w:rPr>
          <w:rStyle w:val="Code"/>
        </w:rPr>
        <w:t>&lt;respStmt&gt;</w:t>
      </w:r>
      <w:r>
        <w:t xml:space="preserve"> (§</w:t>
      </w:r>
      <w:r>
        <w:fldChar w:fldCharType="begin"/>
      </w:r>
      <w:r>
        <w:instrText xml:space="preserve"> REF _Ref43990001 \w \h  \* MERGEFORMAT </w:instrText>
      </w:r>
      <w:r>
        <w:fldChar w:fldCharType="separate"/>
      </w:r>
      <w:r>
        <w:t>15.1.2</w:t>
      </w:r>
      <w:r>
        <w:fldChar w:fldCharType="end"/>
      </w:r>
      <w:r>
        <w:t>) and, if applicable, elaborating it</w:t>
      </w:r>
    </w:p>
    <w:p>
      <w:pPr>
        <w:pStyle w:val="Lista2"/>
      </w:pPr>
      <w:r>
        <w:t>specify the kind and source of the visual documentation on which your edition is based</w:t>
      </w:r>
    </w:p>
    <w:p>
      <w:pPr>
        <w:pStyle w:val="Lista3"/>
      </w:pPr>
      <w:r>
        <w:t>see also §</w:t>
      </w:r>
      <w:r>
        <w:fldChar w:fldCharType="begin"/>
      </w:r>
      <w:r>
        <w:instrText xml:space="preserve"> REF _Ref240361060 \r \h </w:instrText>
      </w:r>
      <w:r>
        <w:fldChar w:fldCharType="separate"/>
      </w:r>
      <w:r>
        <w:t>13.2.1</w:t>
      </w:r>
      <w:r>
        <w:fldChar w:fldCharType="end"/>
      </w:r>
      <w:r>
        <w:t xml:space="preserve"> and </w:t>
      </w:r>
      <w:r>
        <w:fldChar w:fldCharType="begin"/>
      </w:r>
      <w:r>
        <w:instrText xml:space="preserve"> REF _Ref240361012 \h </w:instrText>
      </w:r>
      <w:r>
        <w:fldChar w:fldCharType="separate"/>
      </w:r>
      <w:r>
        <w:t xml:space="preserve">Exhibit </w:t>
      </w:r>
      <w:r>
        <w:rPr>
          <w:noProof/>
        </w:rPr>
        <w:t>13.2</w:t>
      </w:r>
      <w:r>
        <w:t>.</w:t>
      </w:r>
      <w:r>
        <w:rPr>
          <w:noProof/>
        </w:rPr>
        <w:t>A</w:t>
      </w:r>
      <w:r>
        <w:fldChar w:fldCharType="end"/>
      </w:r>
    </w:p>
    <w:p>
      <w:pPr>
        <w:pStyle w:val="Cmsor3"/>
      </w:pPr>
      <w:bookmarkStart w:id="845" w:name="_Ref240361060"/>
      <w:bookmarkStart w:id="846" w:name="_Toc242976708"/>
      <w:r>
        <w:t>Markup within the epigraphic lemma</w:t>
      </w:r>
      <w:bookmarkEnd w:id="845"/>
      <w:bookmarkEnd w:id="846"/>
    </w:p>
    <w:p>
      <w:pPr>
        <w:pStyle w:val="Lista"/>
      </w:pPr>
      <w:r>
        <w:rPr>
          <w:lang w:eastAsia="en-US" w:bidi="ar-SA"/>
        </w:rPr>
        <w:t xml:space="preserve">as free text, the epigraphic lemma may include the </w:t>
      </w:r>
      <w:r>
        <w:t>globally permitted miscellaneous markup elements discussed in §</w:t>
      </w:r>
      <w:r>
        <w:fldChar w:fldCharType="begin"/>
      </w:r>
      <w:r>
        <w:instrText xml:space="preserve"> REF _Ref43990225 \w \h  \* MERGEFORMAT </w:instrText>
      </w:r>
      <w:r>
        <w:fldChar w:fldCharType="separate"/>
      </w:r>
      <w:r>
        <w:t>14</w:t>
      </w:r>
      <w:r>
        <w:fldChar w:fldCharType="end"/>
      </w:r>
      <w:r>
        <w:t>, including in particular</w:t>
      </w:r>
    </w:p>
    <w:p>
      <w:pPr>
        <w:pStyle w:val="Lista2"/>
        <w:rPr>
          <w:lang w:eastAsia="en-US" w:bidi="ar-SA"/>
        </w:rPr>
      </w:pPr>
      <w:r>
        <w:t>bibliographic citations (§</w:t>
      </w:r>
      <w:r>
        <w:fldChar w:fldCharType="begin"/>
      </w:r>
      <w:r>
        <w:instrText xml:space="preserve"> REF _Ref233877601 \r \h </w:instrText>
      </w:r>
      <w:r>
        <w:fldChar w:fldCharType="separate"/>
      </w:r>
      <w:r>
        <w:t>14.6.1</w:t>
      </w:r>
      <w:r>
        <w:fldChar w:fldCharType="end"/>
      </w:r>
      <w:r>
        <w:t>), which are mandatory as described in §</w:t>
      </w:r>
      <w:r>
        <w:fldChar w:fldCharType="begin"/>
      </w:r>
      <w:r>
        <w:instrText xml:space="preserve"> REF _Ref233623221 \r \h </w:instrText>
      </w:r>
      <w:r>
        <w:fldChar w:fldCharType="separate"/>
      </w:r>
      <w:r>
        <w:t>13.2</w:t>
      </w:r>
      <w:r>
        <w:fldChar w:fldCharType="end"/>
      </w:r>
      <w:r>
        <w:t xml:space="preserve"> above</w:t>
      </w:r>
    </w:p>
    <w:p>
      <w:pPr>
        <w:pStyle w:val="Lista2"/>
      </w:pPr>
      <w:r>
        <w:t>notes (§</w:t>
      </w:r>
      <w:r>
        <w:fldChar w:fldCharType="begin"/>
      </w:r>
      <w:r>
        <w:instrText xml:space="preserve"> REF _Ref43989684 \r \h </w:instrText>
      </w:r>
      <w:r>
        <w:fldChar w:fldCharType="separate"/>
      </w:r>
      <w:r>
        <w:t>14.5</w:t>
      </w:r>
      <w:r>
        <w:fldChar w:fldCharType="end"/>
      </w:r>
      <w:r>
        <w:t xml:space="preserve">) </w:t>
      </w:r>
    </w:p>
    <w:p>
      <w:pPr>
        <w:pStyle w:val="Lista3"/>
      </w:pPr>
      <w:r>
        <w:t xml:space="preserve">if you wish to add a note to a particular bibliographic citation, remember to place the </w:t>
      </w:r>
      <w:r>
        <w:rPr>
          <w:rStyle w:val="Code"/>
        </w:rPr>
        <w:t>&lt;note&gt;</w:t>
      </w:r>
      <w:r>
        <w:t xml:space="preserve"> element outside, and immediately after, the </w:t>
      </w:r>
      <w:r>
        <w:rPr>
          <w:rStyle w:val="Code"/>
        </w:rPr>
        <w:t>&lt;bibl&gt;</w:t>
      </w:r>
      <w:r>
        <w:t xml:space="preserve"> element</w:t>
      </w:r>
    </w:p>
    <w:p>
      <w:pPr>
        <w:pStyle w:val="Lista2"/>
      </w:pPr>
      <w:r>
        <w:t>reference to websites (§</w:t>
      </w:r>
      <w:r>
        <w:fldChar w:fldCharType="begin"/>
      </w:r>
      <w:r>
        <w:instrText xml:space="preserve"> REF _Ref155689459 \r \h </w:instrText>
      </w:r>
      <w:r>
        <w:fldChar w:fldCharType="separate"/>
      </w:r>
      <w:r>
        <w:t>14.6.4.2</w:t>
      </w:r>
      <w:r>
        <w:fldChar w:fldCharType="end"/>
      </w:r>
      <w:r>
        <w:t>), especially when visual documentation or metadata have been made available in a public repository</w:t>
      </w:r>
    </w:p>
    <w:p>
      <w:pPr>
        <w:pStyle w:val="Lista2"/>
      </w:pPr>
      <w:r>
        <w:t xml:space="preserve">see </w:t>
      </w:r>
      <w:r>
        <w:fldChar w:fldCharType="begin"/>
      </w:r>
      <w:r>
        <w:instrText xml:space="preserve"> REF _Ref240361012 \h </w:instrText>
      </w:r>
      <w:r>
        <w:fldChar w:fldCharType="separate"/>
      </w:r>
      <w:r>
        <w:t xml:space="preserve">Exhibit </w:t>
      </w:r>
      <w:r>
        <w:rPr>
          <w:noProof/>
        </w:rPr>
        <w:t>13.2</w:t>
      </w:r>
      <w:r>
        <w:t>.</w:t>
      </w:r>
      <w:r>
        <w:rPr>
          <w:noProof/>
        </w:rPr>
        <w:t>A</w:t>
      </w:r>
      <w:r>
        <w:fldChar w:fldCharType="end"/>
      </w:r>
      <w:r>
        <w:t xml:space="preserve"> for an illustration with various references</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847" w:name="_Ref240361012"/>
            <w:r>
              <w:t xml:space="preserve">Exhibit </w:t>
            </w:r>
            <w:fldSimple w:instr=" STYLEREF 2 \s ">
              <w:r>
                <w:rPr>
                  <w:noProof/>
                </w:rPr>
                <w:t>13.2</w:t>
              </w:r>
            </w:fldSimple>
            <w:r>
              <w:t>.</w:t>
            </w:r>
            <w:fldSimple w:instr=" SEQ Exhibit \* ALPHABETIC \s 2 ">
              <w:r>
                <w:rPr>
                  <w:noProof/>
                </w:rPr>
                <w:t>A</w:t>
              </w:r>
            </w:fldSimple>
            <w:bookmarkEnd w:id="847"/>
            <w:r>
              <w:t>: epigraphic lemma with encoded external links</w:t>
            </w:r>
          </w:p>
        </w:tc>
      </w:tr>
      <w:tr>
        <w:tc>
          <w:tcPr>
            <w:tcW w:w="5000" w:type="pct"/>
          </w:tcPr>
          <w:p>
            <w:pPr>
              <w:pStyle w:val="CodeParagraph"/>
              <w:rPr>
                <w:rStyle w:val="Code"/>
              </w:rPr>
            </w:pPr>
            <w:r>
              <w:rPr>
                <w:rStyle w:val="Code"/>
              </w:rPr>
              <w:t xml:space="preserve">&lt;div </w:t>
            </w:r>
            <w:r>
              <w:rPr>
                <w:rStyle w:val="Codeattribute"/>
              </w:rPr>
              <w:t>type</w:t>
            </w:r>
            <w:r>
              <w:rPr>
                <w:rStyle w:val="Code"/>
              </w:rPr>
              <w:t>=</w:t>
            </w:r>
            <w:r>
              <w:rPr>
                <w:rStyle w:val="Codevalue"/>
              </w:rPr>
              <w:t>"bibliography"</w:t>
            </w:r>
            <w:r>
              <w:rPr>
                <w:rStyle w:val="Code"/>
              </w:rPr>
              <w:t>&gt;</w:t>
            </w:r>
            <w:r>
              <w:rPr>
                <w:rStyle w:val="Codetext"/>
              </w:rPr>
              <w:br/>
              <w:t xml:space="preserve">  </w:t>
            </w:r>
            <w:r>
              <w:rPr>
                <w:rStyle w:val="Code"/>
              </w:rPr>
              <w:t>&lt;p&gt;</w:t>
            </w:r>
            <w:r>
              <w:rPr>
                <w:rStyle w:val="Codetext"/>
              </w:rPr>
              <w:t>First published, with translation into Dutch, by F. D. K. Bosch (</w:t>
            </w:r>
            <w:r>
              <w:rPr>
                <w:rStyle w:val="Code"/>
              </w:rPr>
              <w:t xml:space="preserve">&lt;bibl </w:t>
            </w:r>
            <w:r>
              <w:rPr>
                <w:rStyle w:val="Codeattribute"/>
              </w:rPr>
              <w:t>rend=</w:t>
            </w:r>
            <w:r>
              <w:rPr>
                <w:rStyle w:val="Codevalue"/>
              </w:rPr>
              <w:t>"omitname"</w:t>
            </w:r>
            <w:r>
              <w:rPr>
                <w:rStyle w:val="Code"/>
              </w:rPr>
              <w:t xml:space="preserve">&gt;&lt;ptr </w:t>
            </w:r>
            <w:r>
              <w:rPr>
                <w:rStyle w:val="Codeattribute"/>
              </w:rPr>
              <w:t>target=</w:t>
            </w:r>
            <w:r>
              <w:rPr>
                <w:rStyle w:val="Codevalue"/>
              </w:rPr>
              <w:t>"bib:Bosch1919-1921_02"</w:t>
            </w:r>
            <w:r>
              <w:rPr>
                <w:rStyle w:val="Code"/>
              </w:rPr>
              <w:t>/&gt;&lt;/bibl&gt;</w:t>
            </w:r>
            <w:r>
              <w:rPr>
                <w:rStyle w:val="Codetext"/>
              </w:rPr>
              <w:t xml:space="preserve">). A new edition by Arlo Griffiths was published, with translation into Indonesian, in </w:t>
            </w:r>
            <w:r>
              <w:rPr>
                <w:rStyle w:val="Code"/>
              </w:rPr>
              <w:t xml:space="preserve">&lt;bibl&gt;&lt;ptr </w:t>
            </w:r>
            <w:r>
              <w:rPr>
                <w:rStyle w:val="Codeattribute"/>
              </w:rPr>
              <w:t>target=</w:t>
            </w:r>
            <w:r>
              <w:rPr>
                <w:rStyle w:val="Codevalue"/>
              </w:rPr>
              <w:t>"bib:TitiSurtiNastiti+al2025_01"</w:t>
            </w:r>
            <w:r>
              <w:rPr>
                <w:rStyle w:val="Code"/>
              </w:rPr>
              <w:t>/&gt;&lt;/bibl&gt;</w:t>
            </w:r>
            <w:r>
              <w:rPr>
                <w:rStyle w:val="Codetext"/>
              </w:rPr>
              <w:t xml:space="preserve">, making use of available surrogates, notably the OD estampage (447, captured in photograph </w:t>
            </w:r>
            <w:r>
              <w:rPr>
                <w:rStyle w:val="Code"/>
              </w:rPr>
              <w:t xml:space="preserve">&lt;ref </w:t>
            </w:r>
            <w:r>
              <w:rPr>
                <w:rStyle w:val="Codeattribute"/>
              </w:rPr>
              <w:t>target=</w:t>
            </w:r>
            <w:r>
              <w:rPr>
                <w:rStyle w:val="Codevalue"/>
              </w:rPr>
              <w:t>"http://hdl.handle.net/1887.1/item:4101102"</w:t>
            </w:r>
            <w:r>
              <w:rPr>
                <w:rStyle w:val="Code"/>
              </w:rPr>
              <w:t>&gt;</w:t>
            </w:r>
            <w:r>
              <w:rPr>
                <w:rStyle w:val="Codetext"/>
              </w:rPr>
              <w:t>OD 3809</w:t>
            </w:r>
            <w:r>
              <w:rPr>
                <w:rStyle w:val="Code"/>
              </w:rPr>
              <w:t>&lt;/ref&gt;</w:t>
            </w:r>
            <w:r>
              <w:rPr>
                <w:rStyle w:val="Codetext"/>
              </w:rPr>
              <w:t xml:space="preserve">), the EFEO estampage (n. 2247), and BRIN-EFEO </w:t>
            </w:r>
            <w:r>
              <w:rPr>
                <w:rStyle w:val="Code"/>
              </w:rPr>
              <w:t xml:space="preserve">&lt;ref </w:t>
            </w:r>
            <w:r>
              <w:rPr>
                <w:rStyle w:val="Codeattribute"/>
              </w:rPr>
              <w:t>target=</w:t>
            </w:r>
            <w:r>
              <w:rPr>
                <w:rStyle w:val="Codevalue"/>
              </w:rPr>
              <w:t>"https://nakala.fr/10.34847/nkl.dccf5f0p"</w:t>
            </w:r>
            <w:r>
              <w:rPr>
                <w:rStyle w:val="Code"/>
              </w:rPr>
              <w:t>&gt;</w:t>
            </w:r>
            <w:r>
              <w:rPr>
                <w:rStyle w:val="Codetext"/>
              </w:rPr>
              <w:t>orthophotos</w:t>
            </w:r>
            <w:r>
              <w:rPr>
                <w:rStyle w:val="Code"/>
              </w:rPr>
              <w:t>&lt;/ref&gt;</w:t>
            </w:r>
            <w:r>
              <w:rPr>
                <w:rStyle w:val="Codetext"/>
              </w:rPr>
              <w:t xml:space="preserve">. That edition is reproduced here, with addition of an English translation. For a full listing of photographs of the statue and of surrogates of the inscription, bibliographic references and other metadata, see </w:t>
            </w:r>
            <w:r>
              <w:rPr>
                <w:rStyle w:val="Code"/>
              </w:rPr>
              <w:t xml:space="preserve">&lt;ref </w:t>
            </w:r>
            <w:r>
              <w:rPr>
                <w:rStyle w:val="Codeattribute"/>
              </w:rPr>
              <w:t>target=</w:t>
            </w:r>
            <w:r>
              <w:rPr>
                <w:rStyle w:val="Codevalue"/>
              </w:rPr>
              <w:t>"https://heurist.huma-num.fr/IDENK/INS-EN/00649"</w:t>
            </w:r>
            <w:r>
              <w:rPr>
                <w:rStyle w:val="Code"/>
              </w:rPr>
              <w:t>&gt;</w:t>
            </w:r>
            <w:r>
              <w:rPr>
                <w:rStyle w:val="Codetext"/>
              </w:rPr>
              <w:t>IDENK N. 649</w:t>
            </w:r>
            <w:r>
              <w:rPr>
                <w:rStyle w:val="Code"/>
              </w:rPr>
              <w:t>&lt;/ref&gt;</w:t>
            </w:r>
            <w:r>
              <w:rPr>
                <w:rStyle w:val="Codetext"/>
              </w:rPr>
              <w:t>.</w:t>
            </w:r>
            <w:r>
              <w:rPr>
                <w:rStyle w:val="Code"/>
              </w:rPr>
              <w:t>&lt;/p&gt;</w:t>
            </w:r>
            <w:r>
              <w:rPr>
                <w:rStyle w:val="Codetext"/>
              </w:rPr>
              <w:br/>
              <w:t xml:space="preserve">  </w:t>
            </w:r>
            <w:r>
              <w:rPr>
                <w:rStyle w:val="Code"/>
              </w:rPr>
              <w:t>...</w:t>
            </w:r>
          </w:p>
          <w:p>
            <w:pPr>
              <w:pStyle w:val="CodeParagraph"/>
            </w:pPr>
            <w:r>
              <w:rPr>
                <w:rStyle w:val="Code"/>
              </w:rPr>
              <w:t>&lt;/div&gt;</w:t>
            </w:r>
          </w:p>
        </w:tc>
      </w:tr>
    </w:tbl>
    <w:p/>
    <w:p/>
    <w:p>
      <w:pPr>
        <w:pStyle w:val="Cmsor2"/>
      </w:pPr>
      <w:bookmarkStart w:id="848" w:name="_hp16ctxmuxyv" w:colFirst="0" w:colLast="0"/>
      <w:bookmarkStart w:id="849" w:name="_Ref63676627"/>
      <w:bookmarkEnd w:id="848"/>
      <w:r>
        <w:lastRenderedPageBreak/>
        <w:t>The structured bibliography</w:t>
      </w:r>
      <w:bookmarkEnd w:id="849"/>
    </w:p>
    <w:p>
      <w:r>
        <w:t>The structured bibliography may not contain free text except in the form of notes. It is subdivided into a primary (§</w:t>
      </w:r>
      <w:r>
        <w:fldChar w:fldCharType="begin"/>
      </w:r>
      <w:r>
        <w:instrText xml:space="preserve"> REF _Ref233625697 \r \h </w:instrText>
      </w:r>
      <w:r>
        <w:fldChar w:fldCharType="separate"/>
      </w:r>
      <w:r>
        <w:t>13.3.1</w:t>
      </w:r>
      <w:r>
        <w:fldChar w:fldCharType="end"/>
      </w:r>
      <w:r>
        <w:t>) and a secondary section (§</w:t>
      </w:r>
      <w:r>
        <w:fldChar w:fldCharType="begin"/>
      </w:r>
      <w:r>
        <w:instrText xml:space="preserve"> REF _Ref233625847 \r \h </w:instrText>
      </w:r>
      <w:r>
        <w:fldChar w:fldCharType="separate"/>
      </w:r>
      <w:r>
        <w:t>13.3.2</w:t>
      </w:r>
      <w:r>
        <w:fldChar w:fldCharType="end"/>
      </w:r>
      <w:r>
        <w:t xml:space="preserve">), each of which is encoded as a </w:t>
      </w:r>
      <w:r>
        <w:rPr>
          <w:rStyle w:val="Code"/>
        </w:rPr>
        <w:t>&lt;listBibl&gt;</w:t>
      </w:r>
      <w:r>
        <w:t xml:space="preserve"> container</w:t>
      </w:r>
    </w:p>
    <w:p>
      <w:pPr>
        <w:pStyle w:val="Lista"/>
      </w:pPr>
      <w:r>
        <w:t xml:space="preserve">each such container must contain one </w:t>
      </w:r>
      <w:r>
        <w:rPr>
          <w:rStyle w:val="Code"/>
        </w:rPr>
        <w:t>&lt;bibl&gt;</w:t>
      </w:r>
      <w:r>
        <w:t xml:space="preserve"> element for each bibliographic entry, and nothing else</w:t>
      </w:r>
    </w:p>
    <w:p>
      <w:pPr>
        <w:pStyle w:val="Lista2"/>
      </w:pPr>
      <w:r>
        <w:t>the individual citations must be encoded as per §</w:t>
      </w:r>
      <w:r>
        <w:fldChar w:fldCharType="begin"/>
      </w:r>
      <w:r>
        <w:instrText xml:space="preserve"> REF _Ref233877601 \r \h </w:instrText>
      </w:r>
      <w:r>
        <w:fldChar w:fldCharType="separate"/>
      </w:r>
      <w:r>
        <w:t>14.6.1</w:t>
      </w:r>
      <w:r>
        <w:fldChar w:fldCharType="end"/>
      </w:r>
      <w:r>
        <w:t xml:space="preserve"> </w:t>
      </w:r>
    </w:p>
    <w:p>
      <w:pPr>
        <w:pStyle w:val="Lista2"/>
      </w:pPr>
      <w:r>
        <w:t>with the addition of a siglum (§</w:t>
      </w:r>
      <w:r>
        <w:fldChar w:fldCharType="begin"/>
      </w:r>
      <w:r>
        <w:instrText xml:space="preserve"> REF _Ref233625904 \r \h </w:instrText>
      </w:r>
      <w:r>
        <w:fldChar w:fldCharType="separate"/>
      </w:r>
      <w:r>
        <w:t>13.3.3</w:t>
      </w:r>
      <w:r>
        <w:fldChar w:fldCharType="end"/>
      </w:r>
      <w:r>
        <w:t>) for each item cited in your apparatus</w:t>
      </w:r>
    </w:p>
    <w:p>
      <w:pPr>
        <w:pStyle w:val="Lista"/>
      </w:pPr>
      <w:r>
        <w:t xml:space="preserve">should there be no bibliographic references available for either the primary or the secondary bibliography (typically when encoding a previously unedited document, or during work in progress), create one empty </w:t>
      </w:r>
      <w:r>
        <w:rPr>
          <w:rStyle w:val="Code"/>
        </w:rPr>
        <w:t>&lt;bibl/&gt;</w:t>
      </w:r>
      <w:r>
        <w:t xml:space="preserve"> element as a placeholder within the applicable </w:t>
      </w:r>
      <w:r>
        <w:rPr>
          <w:rStyle w:val="Code"/>
        </w:rPr>
        <w:t>&lt;listBibl&gt;</w:t>
      </w:r>
      <w:r>
        <w:t xml:space="preserve"> element</w:t>
      </w:r>
    </w:p>
    <w:p>
      <w:pPr>
        <w:pStyle w:val="Lista"/>
      </w:pPr>
      <w:r>
        <w:t xml:space="preserve">when necessary, notes may be added to the bibliography in the form of a </w:t>
      </w:r>
      <w:r>
        <w:rPr>
          <w:rStyle w:val="Code"/>
        </w:rPr>
        <w:t>&lt;note&gt;</w:t>
      </w:r>
      <w:r>
        <w:t xml:space="preserve"> element encoded as per §</w:t>
      </w:r>
      <w:r>
        <w:fldChar w:fldCharType="begin"/>
      </w:r>
      <w:r>
        <w:instrText xml:space="preserve"> REF _Ref43989684 \r \h </w:instrText>
      </w:r>
      <w:r>
        <w:fldChar w:fldCharType="separate"/>
      </w:r>
      <w:r>
        <w:t>14.5</w:t>
      </w:r>
      <w:r>
        <w:fldChar w:fldCharType="end"/>
      </w:r>
    </w:p>
    <w:p>
      <w:pPr>
        <w:pStyle w:val="Lista2"/>
      </w:pPr>
      <w:r>
        <w:t xml:space="preserve">such a note must be the last child of a </w:t>
      </w:r>
      <w:r>
        <w:rPr>
          <w:rStyle w:val="Code"/>
        </w:rPr>
        <w:t>&lt;bibl&gt;</w:t>
      </w:r>
      <w:r>
        <w:t xml:space="preserve"> element, and may not be created between </w:t>
      </w:r>
      <w:r>
        <w:rPr>
          <w:rStyle w:val="Code"/>
        </w:rPr>
        <w:t>&lt;bibl&gt;</w:t>
      </w:r>
      <w:r>
        <w:t xml:space="preserve"> elements, nor at a non-ultimate position within a </w:t>
      </w:r>
      <w:r>
        <w:rPr>
          <w:rStyle w:val="Code"/>
        </w:rPr>
        <w:t>&lt;bibl&gt;</w:t>
      </w:r>
      <w:r>
        <w:t xml:space="preserve"> element</w:t>
      </w:r>
    </w:p>
    <w:p>
      <w:pPr>
        <w:pStyle w:val="Cmsor3"/>
      </w:pPr>
      <w:bookmarkStart w:id="850" w:name="_Ref233625697"/>
      <w:bookmarkStart w:id="851" w:name="_Toc242976709"/>
      <w:r>
        <w:t>The primary bibliography</w:t>
      </w:r>
      <w:bookmarkEnd w:id="850"/>
      <w:bookmarkEnd w:id="851"/>
    </w:p>
    <w:p>
      <w:pPr>
        <w:pStyle w:val="Lista"/>
        <w:rPr>
          <w:lang w:eastAsia="en-US" w:bidi="ar-SA"/>
        </w:rPr>
      </w:pPr>
      <w:r>
        <w:rPr>
          <w:lang w:eastAsia="en-US" w:bidi="ar-SA"/>
        </w:rPr>
        <w:t xml:space="preserve">the primary bibliography of a DHARMA edition collects any and all known </w:t>
      </w:r>
      <w:r>
        <w:t>independent integral editions of the document</w:t>
      </w:r>
    </w:p>
    <w:p>
      <w:pPr>
        <w:pStyle w:val="Lista"/>
      </w:pPr>
      <w:r>
        <w:t xml:space="preserve">the container for the primary bibliography is the element </w:t>
      </w:r>
      <w:r>
        <w:rPr>
          <w:rStyle w:val="Code"/>
        </w:rPr>
        <w:t xml:space="preserve">&lt;listBibl </w:t>
      </w:r>
      <w:r>
        <w:rPr>
          <w:rStyle w:val="Codeattribute"/>
        </w:rPr>
        <w:t>type</w:t>
      </w:r>
      <w:r>
        <w:rPr>
          <w:rStyle w:val="Code"/>
        </w:rPr>
        <w:t>=</w:t>
      </w:r>
      <w:r>
        <w:rPr>
          <w:rStyle w:val="Codevalue"/>
        </w:rPr>
        <w:t>"primary"</w:t>
      </w:r>
      <w:r>
        <w:rPr>
          <w:rStyle w:val="Code"/>
        </w:rPr>
        <w:t>&gt;</w:t>
      </w:r>
      <w:r>
        <w:t xml:space="preserve">, placed immediately after the </w:t>
      </w:r>
      <w:r>
        <w:rPr>
          <w:rStyle w:val="Code"/>
        </w:rPr>
        <w:t>&lt;p&gt;</w:t>
      </w:r>
      <w:r>
        <w:t xml:space="preserve"> element containing the epigraphic lemma</w:t>
      </w:r>
    </w:p>
    <w:p>
      <w:pPr>
        <w:pStyle w:val="Cmsor3"/>
      </w:pPr>
      <w:bookmarkStart w:id="852" w:name="_Ref233625847"/>
      <w:bookmarkStart w:id="853" w:name="_Ref233623410"/>
      <w:bookmarkStart w:id="854" w:name="_Ref43989610"/>
      <w:bookmarkStart w:id="855" w:name="_Toc242976710"/>
      <w:r>
        <w:t>The secondary bibliography</w:t>
      </w:r>
      <w:bookmarkEnd w:id="852"/>
      <w:bookmarkEnd w:id="855"/>
    </w:p>
    <w:p>
      <w:pPr>
        <w:pStyle w:val="Lista"/>
      </w:pPr>
      <w:r>
        <w:t>the secondary bibliography of a DHARMA edition collects any publications relevant to the inscription other than independent integral editions, such as</w:t>
      </w:r>
    </w:p>
    <w:p>
      <w:pPr>
        <w:pStyle w:val="Lista2"/>
      </w:pPr>
      <w:r>
        <w:t xml:space="preserve">re-publications of previous editions </w:t>
      </w:r>
      <w:r>
        <w:rPr>
          <w:noProof/>
        </w:rPr>
        <w:t>(</w:t>
      </w:r>
      <w:r>
        <w:t>without new insights)</w:t>
      </w:r>
    </w:p>
    <w:p>
      <w:pPr>
        <w:pStyle w:val="Lista2"/>
      </w:pPr>
      <w:r>
        <w:t xml:space="preserve">reports </w:t>
      </w:r>
      <w:r>
        <w:rPr>
          <w:noProof/>
        </w:rPr>
        <w:t>(</w:t>
      </w:r>
      <w:r>
        <w:t>ARIE, etc.)</w:t>
      </w:r>
    </w:p>
    <w:p>
      <w:pPr>
        <w:pStyle w:val="Lista2"/>
      </w:pPr>
      <w:r>
        <w:t>partial readings or translations</w:t>
      </w:r>
    </w:p>
    <w:p>
      <w:pPr>
        <w:pStyle w:val="Lista2"/>
      </w:pPr>
      <w:r>
        <w:t>descriptions/discussions of the inscription’s content, the support, specific readings, etc.</w:t>
      </w:r>
    </w:p>
    <w:p>
      <w:pPr>
        <w:pStyle w:val="Lista"/>
      </w:pPr>
      <w:r>
        <w:t xml:space="preserve">the container for the secondary bibliography is the element </w:t>
      </w:r>
      <w:r>
        <w:rPr>
          <w:rStyle w:val="Code"/>
        </w:rPr>
        <w:t xml:space="preserve">&lt;listBibl </w:t>
      </w:r>
      <w:r>
        <w:rPr>
          <w:rStyle w:val="Codeattribute"/>
        </w:rPr>
        <w:t>type</w:t>
      </w:r>
      <w:r>
        <w:rPr>
          <w:rStyle w:val="Code"/>
        </w:rPr>
        <w:t>=</w:t>
      </w:r>
      <w:r>
        <w:rPr>
          <w:rStyle w:val="Codevalue"/>
        </w:rPr>
        <w:t>"secondary"</w:t>
      </w:r>
      <w:r>
        <w:rPr>
          <w:rStyle w:val="Code"/>
        </w:rPr>
        <w:t>&gt;</w:t>
      </w:r>
      <w:r>
        <w:t>, placed immediately after the primary bibliography</w:t>
      </w:r>
    </w:p>
    <w:p>
      <w:pPr>
        <w:pStyle w:val="Cmsor3"/>
      </w:pPr>
      <w:bookmarkStart w:id="856" w:name="_Ref233625904"/>
      <w:bookmarkStart w:id="857" w:name="_Ref233636572"/>
      <w:bookmarkStart w:id="858" w:name="_Toc242976711"/>
      <w:r>
        <w:t>Bibliographic sigla</w:t>
      </w:r>
      <w:bookmarkEnd w:id="856"/>
      <w:bookmarkEnd w:id="858"/>
    </w:p>
    <w:p>
      <w:r>
        <w:t xml:space="preserve">If your apparatus cites a previous publication as the </w:t>
      </w:r>
      <w:r>
        <w:rPr>
          <w:rStyle w:val="Codeattribute"/>
        </w:rPr>
        <w:t>@source</w:t>
      </w:r>
      <w:r>
        <w:t xml:space="preserve"> of a lemma (§</w:t>
      </w:r>
      <w:r>
        <w:fldChar w:fldCharType="begin"/>
      </w:r>
      <w:r>
        <w:instrText xml:space="preserve"> REF _Ref233625530 \r \h </w:instrText>
      </w:r>
      <w:r>
        <w:fldChar w:fldCharType="separate"/>
      </w:r>
      <w:r>
        <w:t>10.3.3</w:t>
      </w:r>
      <w:r>
        <w:fldChar w:fldCharType="end"/>
      </w:r>
      <w:r>
        <w:t>) or an alternative reading (§</w:t>
      </w:r>
      <w:r>
        <w:fldChar w:fldCharType="begin"/>
      </w:r>
      <w:r>
        <w:instrText xml:space="preserve"> REF _Ref233625579 \r \h </w:instrText>
      </w:r>
      <w:r>
        <w:fldChar w:fldCharType="separate"/>
      </w:r>
      <w:r>
        <w:t>10.4.3</w:t>
      </w:r>
      <w:r>
        <w:fldChar w:fldCharType="end"/>
      </w:r>
      <w:r>
        <w:t xml:space="preserve">), then the full citation of each such publication in your bibliography division must include a manually encoded siglum </w:t>
      </w:r>
      <w:r>
        <w:rPr>
          <w:noProof/>
        </w:rPr>
        <w:t>(</w:t>
      </w:r>
      <w:r>
        <w:t>an abbreviation by which they will be shown in the apparatus). This applies regardless of whether the full citation is in your primary bibliography or the secondary one.</w:t>
      </w:r>
    </w:p>
    <w:p>
      <w:pPr>
        <w:pStyle w:val="Lista"/>
      </w:pPr>
      <w:r>
        <w:t xml:space="preserve">the siglum must be encoded in the attribute </w:t>
      </w:r>
      <w:r>
        <w:rPr>
          <w:rStyle w:val="Codeattribute"/>
        </w:rPr>
        <w:t>@n</w:t>
      </w:r>
      <w:r>
        <w:t xml:space="preserve"> on the relevant </w:t>
      </w:r>
      <w:r>
        <w:rPr>
          <w:rStyle w:val="Code"/>
        </w:rPr>
        <w:t>&lt;bibl&gt;</w:t>
      </w:r>
      <w:r>
        <w:t xml:space="preserve"> item</w:t>
      </w:r>
    </w:p>
    <w:p>
      <w:pPr>
        <w:pStyle w:val="Lista"/>
      </w:pPr>
      <w:r>
        <w:t>sigla may be assigned to publications arbitrarily, provided that they are unique within an XML document and reasonably straightforward for the reader to understand</w:t>
      </w:r>
    </w:p>
    <w:p>
      <w:pPr>
        <w:pStyle w:val="Lista"/>
      </w:pPr>
      <w:r>
        <w:t>the following guidelines apply to creating sigla, but feel free to deviate from these whenever you feel you have good reason to</w:t>
      </w:r>
    </w:p>
    <w:p>
      <w:pPr>
        <w:pStyle w:val="Lista2"/>
      </w:pPr>
      <w:r>
        <w:t>sigla should be kept as short and simple as feasible</w:t>
      </w:r>
    </w:p>
    <w:p>
      <w:pPr>
        <w:pStyle w:val="Lista2"/>
      </w:pPr>
      <w:r>
        <w:t>for the sake of clarity, letters of the English alphabet and numbers are preferred in sigla, but symbol characters and letters with diacritics may be used whenever you feel they are necessary</w:t>
      </w:r>
    </w:p>
    <w:p>
      <w:pPr>
        <w:pStyle w:val="Lista3"/>
      </w:pPr>
      <w:r>
        <w:t xml:space="preserve">except that the characters </w:t>
      </w:r>
      <w:r>
        <w:rPr>
          <w:rStyle w:val="Codetext"/>
        </w:rPr>
        <w:t>&amp;</w:t>
      </w:r>
      <w:r>
        <w:t xml:space="preserve">, </w:t>
      </w:r>
      <w:r>
        <w:rPr>
          <w:rStyle w:val="Codetext"/>
        </w:rPr>
        <w:t>&lt;</w:t>
      </w:r>
      <w:r>
        <w:t xml:space="preserve"> and </w:t>
      </w:r>
      <w:r>
        <w:rPr>
          <w:rStyle w:val="Codetext"/>
        </w:rPr>
        <w:t>&gt;</w:t>
      </w:r>
      <w:r>
        <w:t xml:space="preserve"> must be avoided to eliminate interference with code processing</w:t>
      </w:r>
    </w:p>
    <w:p>
      <w:pPr>
        <w:pStyle w:val="Lista3"/>
      </w:pPr>
      <w:r>
        <w:t xml:space="preserve">the character </w:t>
      </w:r>
      <w:r>
        <w:rPr>
          <w:rStyle w:val="Codetext"/>
        </w:rPr>
        <w:t>+</w:t>
      </w:r>
      <w:r>
        <w:t xml:space="preserve"> will be transformed to </w:t>
      </w:r>
      <w:r>
        <w:rPr>
          <w:rStyle w:val="Code"/>
        </w:rPr>
        <w:t>&amp;</w:t>
      </w:r>
      <w:r>
        <w:t xml:space="preserve"> in the display of sigla, and is recommended for the sigla of multi-author editions</w:t>
      </w:r>
    </w:p>
    <w:p>
      <w:pPr>
        <w:pStyle w:val="Lista2"/>
      </w:pPr>
      <w:r>
        <w:t xml:space="preserve">generally, use only the initial of the surname of the author, as in </w:t>
      </w:r>
      <w:r>
        <w:fldChar w:fldCharType="begin"/>
      </w:r>
      <w:r>
        <w:instrText xml:space="preserve"> REF _Ref233637912 \h </w:instrText>
      </w:r>
      <w:r>
        <w:fldChar w:fldCharType="separate"/>
      </w:r>
      <w:r>
        <w:t xml:space="preserve">Exhibit </w:t>
      </w:r>
      <w:r>
        <w:rPr>
          <w:noProof/>
        </w:rPr>
        <w:t>13.3</w:t>
      </w:r>
      <w:r>
        <w:t>.</w:t>
      </w:r>
      <w:r>
        <w:rPr>
          <w:noProof/>
        </w:rPr>
        <w:t>A</w:t>
      </w:r>
      <w:r>
        <w:fldChar w:fldCharType="end"/>
      </w:r>
    </w:p>
    <w:p>
      <w:pPr>
        <w:pStyle w:val="Lista3"/>
      </w:pPr>
      <w:r>
        <w:t>e.g. “F” for “Fleet”</w:t>
      </w:r>
    </w:p>
    <w:p>
      <w:pPr>
        <w:pStyle w:val="Lista2"/>
      </w:pPr>
      <w:r>
        <w:t xml:space="preserve">for names beginning with </w:t>
      </w:r>
      <w:proofErr w:type="spellStart"/>
      <w:r>
        <w:t>Sh</w:t>
      </w:r>
      <w:proofErr w:type="spellEnd"/>
      <w:r>
        <w:t>, Ch and aspirates, use only the first initial unless you find this disturbing</w:t>
      </w:r>
    </w:p>
    <w:p>
      <w:pPr>
        <w:pStyle w:val="Lista3"/>
      </w:pPr>
      <w:r>
        <w:lastRenderedPageBreak/>
        <w:t>e.g. “C” for “Chhabra”</w:t>
      </w:r>
    </w:p>
    <w:p>
      <w:pPr>
        <w:pStyle w:val="Lista2"/>
      </w:pPr>
      <w:r>
        <w:t>for publications with more than one author, use the initial of the surname of each author</w:t>
      </w:r>
    </w:p>
    <w:p>
      <w:pPr>
        <w:pStyle w:val="Lista3"/>
      </w:pPr>
      <w:r>
        <w:t xml:space="preserve">it is recommended that you use a </w:t>
      </w:r>
      <w:r>
        <w:rPr>
          <w:rStyle w:val="Codetext"/>
        </w:rPr>
        <w:t>+</w:t>
      </w:r>
      <w:r>
        <w:t xml:space="preserve"> sign between these initials, which will be rendered in display as an </w:t>
      </w:r>
      <w:r>
        <w:rPr>
          <w:rStyle w:val="Code"/>
        </w:rPr>
        <w:t>&amp;</w:t>
      </w:r>
      <w:r>
        <w:t xml:space="preserve"> sign</w:t>
      </w:r>
    </w:p>
    <w:p>
      <w:pPr>
        <w:pStyle w:val="Lista3"/>
      </w:pPr>
      <w:r>
        <w:t>e.g. “S+G” for “Sircar and Gai”, displayed as “S&amp;G”</w:t>
      </w:r>
    </w:p>
    <w:p>
      <w:pPr>
        <w:pStyle w:val="Lista2"/>
      </w:pPr>
      <w:r>
        <w:t>feel free to use more than one initial whenever you find this desirable</w:t>
      </w:r>
    </w:p>
    <w:p>
      <w:pPr>
        <w:pStyle w:val="Lista2"/>
      </w:pPr>
      <w:r>
        <w:t>additional initials are required (instead of optional) when this serves the purpose of disambiguation</w:t>
      </w:r>
    </w:p>
    <w:p>
      <w:pPr>
        <w:pStyle w:val="Lista3"/>
      </w:pPr>
      <w:r>
        <w:t>e.g. “DRB” and “RGB” to distinguish “Devadatta Ramakrishna Bhandarkar” from “Ramakrishna Gopal Bhandarkar”</w:t>
      </w:r>
    </w:p>
    <w:p>
      <w:pPr>
        <w:pStyle w:val="Lista3"/>
      </w:pPr>
      <w:r>
        <w:t>if initials are not sufficient for disambiguation, include part or whole of the authors’ last names in sigla, as most practicable</w:t>
      </w:r>
    </w:p>
    <w:p>
      <w:pPr>
        <w:pStyle w:val="Lista2"/>
      </w:pPr>
      <w:r>
        <w:t>should you need sigla for two or more publications of the same author (or the same combination of authors), add disambiguation to the sigla in the form of a serial number (e.g. “C1”, “C2”) or the year of publication (e.g. “C1911”, “C1913”)</w:t>
      </w:r>
    </w:p>
    <w:p>
      <w:pPr>
        <w:pStyle w:val="Lista2"/>
      </w:pPr>
      <w:r>
        <w:t xml:space="preserve">for publications that do not have a named author (as is the case with certain journal-type publications, for which see ZG §4.4.2), use the journal abbreviation, as in </w:t>
      </w:r>
      <w:r>
        <w:fldChar w:fldCharType="begin"/>
      </w:r>
      <w:r>
        <w:instrText xml:space="preserve"> REF _Ref233286760 \h </w:instrText>
      </w:r>
      <w:r>
        <w:fldChar w:fldCharType="separate"/>
      </w:r>
      <w:r>
        <w:t xml:space="preserve">Exhibit </w:t>
      </w:r>
      <w:r>
        <w:rPr>
          <w:noProof/>
        </w:rPr>
        <w:t>13.3</w:t>
      </w:r>
      <w:r>
        <w:t>.</w:t>
      </w:r>
      <w:r>
        <w:rPr>
          <w:noProof/>
        </w:rPr>
        <w:t>B</w:t>
      </w:r>
      <w:r>
        <w:fldChar w:fldCharType="end"/>
      </w:r>
    </w:p>
    <w:p>
      <w:pPr>
        <w:pStyle w:val="Lista3"/>
      </w:pPr>
      <w:r>
        <w:t>or, if disambiguation is needed, use the journal abbreviation and the year (i.e. the Zotero Short Title, ZG §4.10)</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859" w:name="_Ref233637912"/>
            <w:r>
              <w:t xml:space="preserve">Exhibit </w:t>
            </w:r>
            <w:fldSimple w:instr=" STYLEREF 2 \s ">
              <w:r>
                <w:rPr>
                  <w:noProof/>
                </w:rPr>
                <w:t>13.3</w:t>
              </w:r>
            </w:fldSimple>
            <w:r>
              <w:t>.</w:t>
            </w:r>
            <w:fldSimple w:instr=" SEQ Exhibit \* ALPHABETIC \s 2 ">
              <w:r>
                <w:rPr>
                  <w:noProof/>
                </w:rPr>
                <w:t>A</w:t>
              </w:r>
            </w:fldSimple>
            <w:bookmarkEnd w:id="859"/>
            <w:r>
              <w:t>: bibliographic citation with a siglum, within the primary bibliography</w:t>
            </w:r>
          </w:p>
        </w:tc>
      </w:tr>
      <w:tr>
        <w:tc>
          <w:tcPr>
            <w:tcW w:w="5000" w:type="pct"/>
          </w:tcPr>
          <w:p>
            <w:pPr>
              <w:pStyle w:val="CodeParagraph"/>
              <w:rPr>
                <w:rStyle w:val="Code"/>
              </w:rPr>
            </w:pPr>
            <w:r>
              <w:rPr>
                <w:rStyle w:val="Code"/>
              </w:rPr>
              <w:t xml:space="preserve">&lt;bibl </w:t>
            </w:r>
            <w:r>
              <w:rPr>
                <w:rStyle w:val="Codeattribute"/>
              </w:rPr>
              <w:t>n</w:t>
            </w:r>
            <w:r>
              <w:rPr>
                <w:rStyle w:val="Code"/>
              </w:rPr>
              <w:t>=</w:t>
            </w:r>
            <w:r>
              <w:rPr>
                <w:rStyle w:val="Codevalue"/>
              </w:rPr>
              <w:t>"H"</w:t>
            </w:r>
            <w:r>
              <w:rPr>
                <w:rStyle w:val="Code"/>
              </w:rPr>
              <w:t>&gt;</w:t>
            </w:r>
          </w:p>
          <w:p>
            <w:pPr>
              <w:pStyle w:val="CodeParagraph"/>
              <w:rPr>
                <w:rStyle w:val="Code"/>
              </w:rPr>
            </w:pPr>
            <w:r>
              <w:rPr>
                <w:rStyle w:val="Code"/>
              </w:rPr>
              <w:t xml:space="preserve">  &lt;ptr </w:t>
            </w:r>
            <w:r>
              <w:rPr>
                <w:rStyle w:val="Codeattribute"/>
              </w:rPr>
              <w:t>target</w:t>
            </w:r>
            <w:r>
              <w:rPr>
                <w:rStyle w:val="Code"/>
              </w:rPr>
              <w:t>=</w:t>
            </w:r>
            <w:r>
              <w:rPr>
                <w:rStyle w:val="Codevalue"/>
              </w:rPr>
              <w:t>"bib:Hultzsch1913-1914_01"</w:t>
            </w:r>
            <w:r>
              <w:rPr>
                <w:rStyle w:val="Code"/>
              </w:rPr>
              <w:t>/&gt;</w:t>
            </w:r>
          </w:p>
          <w:p>
            <w:pPr>
              <w:pStyle w:val="CodeParagraph"/>
              <w:rPr>
                <w:rStyle w:val="Code"/>
              </w:rPr>
            </w:pPr>
            <w:r>
              <w:rPr>
                <w:rStyle w:val="Code"/>
              </w:rPr>
              <w:t xml:space="preserve">  &lt;citedRange </w:t>
            </w:r>
            <w:r>
              <w:rPr>
                <w:rStyle w:val="Codeattribute"/>
              </w:rPr>
              <w:t>unit</w:t>
            </w:r>
            <w:r>
              <w:rPr>
                <w:rStyle w:val="Code"/>
              </w:rPr>
              <w:t>=</w:t>
            </w:r>
            <w:r>
              <w:rPr>
                <w:rStyle w:val="Codevalue"/>
              </w:rPr>
              <w:t>"page"</w:t>
            </w:r>
            <w:r>
              <w:rPr>
                <w:rStyle w:val="Code"/>
              </w:rPr>
              <w:t>&gt;</w:t>
            </w:r>
            <w:r>
              <w:rPr>
                <w:rStyle w:val="Codetext"/>
              </w:rPr>
              <w:t>225-226</w:t>
            </w:r>
            <w:r>
              <w:rPr>
                <w:rStyle w:val="Code"/>
              </w:rPr>
              <w:t>&lt;/citedRange&gt;</w:t>
            </w:r>
          </w:p>
          <w:p>
            <w:pPr>
              <w:pStyle w:val="CodeParagraph"/>
              <w:rPr>
                <w:rStyle w:val="Code"/>
              </w:rPr>
            </w:pPr>
            <w:r>
              <w:rPr>
                <w:rStyle w:val="Code"/>
              </w:rPr>
              <w:t xml:space="preserve">  &lt;citedRange </w:t>
            </w:r>
            <w:r>
              <w:rPr>
                <w:rStyle w:val="Codeattribute"/>
              </w:rPr>
              <w:t>unit</w:t>
            </w:r>
            <w:r>
              <w:rPr>
                <w:rStyle w:val="Code"/>
              </w:rPr>
              <w:t>=</w:t>
            </w:r>
            <w:r>
              <w:rPr>
                <w:rStyle w:val="Codevalue"/>
              </w:rPr>
              <w:t>"item"</w:t>
            </w:r>
            <w:r>
              <w:rPr>
                <w:rStyle w:val="Code"/>
              </w:rPr>
              <w:t>&gt;</w:t>
            </w:r>
            <w:r>
              <w:rPr>
                <w:rStyle w:val="Codetext"/>
              </w:rPr>
              <w:t>B</w:t>
            </w:r>
            <w:r>
              <w:rPr>
                <w:rStyle w:val="Code"/>
              </w:rPr>
              <w:t>&lt;/citedRange&gt;</w:t>
            </w:r>
          </w:p>
          <w:p>
            <w:pPr>
              <w:pStyle w:val="CodeParagraph"/>
              <w:rPr>
                <w:rFonts w:ascii="Consolas" w:hAnsi="Consolas" w:cs="Consolas"/>
                <w:noProof/>
                <w:color w:val="002060"/>
                <w:shd w:val="clear" w:color="auto" w:fill="F2F2F2" w:themeFill="background1" w:themeFillShade="F2"/>
              </w:rPr>
            </w:pPr>
            <w:r>
              <w:rPr>
                <w:rStyle w:val="Code"/>
              </w:rPr>
              <w:t>&lt;/bibl&gt;</w:t>
            </w:r>
          </w:p>
        </w:tc>
      </w:tr>
    </w:tbl>
    <w:p>
      <w:bookmarkStart w:id="860" w:name="_mjrrg3ve8nta" w:colFirst="0" w:colLast="0"/>
      <w:bookmarkEnd w:id="860"/>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861" w:name="_Ref233286760"/>
            <w:r>
              <w:t xml:space="preserve">Exhibit </w:t>
            </w:r>
            <w:fldSimple w:instr=" STYLEREF 2 \s ">
              <w:r>
                <w:rPr>
                  <w:noProof/>
                </w:rPr>
                <w:t>13.3</w:t>
              </w:r>
            </w:fldSimple>
            <w:r>
              <w:t>.</w:t>
            </w:r>
            <w:fldSimple w:instr=" SEQ Exhibit \* ALPHABETIC \s 2 ">
              <w:r>
                <w:rPr>
                  <w:noProof/>
                </w:rPr>
                <w:t>B</w:t>
              </w:r>
            </w:fldSimple>
            <w:bookmarkEnd w:id="861"/>
            <w:r>
              <w:t>: bibliographic citation of ARIE with a siglum, within the primary bibliography</w:t>
            </w:r>
          </w:p>
        </w:tc>
      </w:tr>
      <w:tr>
        <w:tc>
          <w:tcPr>
            <w:tcW w:w="5000" w:type="pct"/>
          </w:tcPr>
          <w:p>
            <w:pPr>
              <w:pStyle w:val="CodeParagraph"/>
              <w:rPr>
                <w:rStyle w:val="Code"/>
              </w:rPr>
            </w:pPr>
            <w:r>
              <w:rPr>
                <w:rStyle w:val="Code"/>
              </w:rPr>
              <w:t xml:space="preserve">&lt;bibl </w:t>
            </w:r>
            <w:r>
              <w:rPr>
                <w:rStyle w:val="Codeattribute"/>
              </w:rPr>
              <w:t>n</w:t>
            </w:r>
            <w:r>
              <w:rPr>
                <w:rStyle w:val="Code"/>
              </w:rPr>
              <w:t>="ARIE"&gt;</w:t>
            </w:r>
            <w:r>
              <w:rPr>
                <w:rStyle w:val="Code"/>
              </w:rPr>
              <w:br/>
              <w:t xml:space="preserve">  &lt;ptr </w:t>
            </w:r>
            <w:r>
              <w:rPr>
                <w:rStyle w:val="Codeattribute"/>
              </w:rPr>
              <w:t>target</w:t>
            </w:r>
            <w:r>
              <w:rPr>
                <w:rStyle w:val="Code"/>
              </w:rPr>
              <w:t>=</w:t>
            </w:r>
            <w:r>
              <w:rPr>
                <w:rStyle w:val="Codevalue"/>
              </w:rPr>
              <w:t>"bib:ARIE1904-1905"</w:t>
            </w:r>
            <w:r>
              <w:rPr>
                <w:rStyle w:val="Code"/>
              </w:rPr>
              <w:t>/&gt;</w:t>
            </w:r>
            <w:r>
              <w:rPr>
                <w:rStyle w:val="Code"/>
              </w:rPr>
              <w:br/>
              <w:t xml:space="preserve">  &lt;citedRange </w:t>
            </w:r>
            <w:r>
              <w:rPr>
                <w:rStyle w:val="Codeattribute"/>
              </w:rPr>
              <w:t>unit</w:t>
            </w:r>
            <w:r>
              <w:rPr>
                <w:rStyle w:val="Code"/>
              </w:rPr>
              <w:t>=</w:t>
            </w:r>
            <w:r>
              <w:rPr>
                <w:rStyle w:val="Codevalue"/>
              </w:rPr>
              <w:t>"page"</w:t>
            </w:r>
            <w:r>
              <w:rPr>
                <w:rStyle w:val="Code"/>
              </w:rPr>
              <w:t>&gt;</w:t>
            </w:r>
            <w:r>
              <w:rPr>
                <w:rStyle w:val="Codetext"/>
              </w:rPr>
              <w:t>33, 39</w:t>
            </w:r>
            <w:r>
              <w:rPr>
                <w:rStyle w:val="Code"/>
              </w:rPr>
              <w:t>&lt;/citedRange&gt;</w:t>
            </w:r>
            <w:r>
              <w:rPr>
                <w:rStyle w:val="Code"/>
              </w:rPr>
              <w:br/>
              <w:t xml:space="preserve">  &lt;citedRange </w:t>
            </w:r>
            <w:r>
              <w:rPr>
                <w:rStyle w:val="Codeattribute"/>
              </w:rPr>
              <w:t>unit</w:t>
            </w:r>
            <w:r>
              <w:rPr>
                <w:rStyle w:val="Code"/>
              </w:rPr>
              <w:t>=</w:t>
            </w:r>
            <w:r>
              <w:rPr>
                <w:rStyle w:val="Codevalue"/>
              </w:rPr>
              <w:t>"appendix"</w:t>
            </w:r>
            <w:r>
              <w:rPr>
                <w:rStyle w:val="Code"/>
              </w:rPr>
              <w:t>&gt;</w:t>
            </w:r>
            <w:r>
              <w:rPr>
                <w:rStyle w:val="Codetext"/>
              </w:rPr>
              <w:t>B/1905</w:t>
            </w:r>
            <w:r>
              <w:rPr>
                <w:rStyle w:val="Code"/>
              </w:rPr>
              <w:t>&lt;/citedRange&gt;</w:t>
            </w:r>
            <w:r>
              <w:rPr>
                <w:rStyle w:val="Code"/>
              </w:rPr>
              <w:br/>
              <w:t xml:space="preserve">  &lt;citedRange </w:t>
            </w:r>
            <w:r>
              <w:rPr>
                <w:rStyle w:val="Codeattribute"/>
              </w:rPr>
              <w:t>unit</w:t>
            </w:r>
            <w:r>
              <w:rPr>
                <w:rStyle w:val="Code"/>
              </w:rPr>
              <w:t>=</w:t>
            </w:r>
            <w:r>
              <w:rPr>
                <w:rStyle w:val="Codevalue"/>
              </w:rPr>
              <w:t>"item"</w:t>
            </w:r>
            <w:r>
              <w:rPr>
                <w:rStyle w:val="Code"/>
              </w:rPr>
              <w:t>&gt;</w:t>
            </w:r>
            <w:r>
              <w:rPr>
                <w:rStyle w:val="Codetext"/>
              </w:rPr>
              <w:t>56</w:t>
            </w:r>
            <w:r>
              <w:rPr>
                <w:rStyle w:val="Code"/>
              </w:rPr>
              <w:t>&lt;/citedRange&gt;</w:t>
            </w:r>
            <w:r>
              <w:rPr>
                <w:rStyle w:val="Code"/>
              </w:rPr>
              <w:br/>
              <w:t>&lt;/bibl&gt;</w:t>
            </w:r>
          </w:p>
        </w:tc>
      </w:tr>
    </w:tbl>
    <w:p>
      <w:bookmarkStart w:id="862" w:name="_v37b3rvxgvz" w:colFirst="0" w:colLast="0"/>
      <w:bookmarkEnd w:id="862"/>
    </w:p>
    <w:p>
      <w:pPr>
        <w:pStyle w:val="Cmsor1"/>
      </w:pPr>
      <w:bookmarkStart w:id="863" w:name="_80cu70li1mlm" w:colFirst="0" w:colLast="0"/>
      <w:bookmarkStart w:id="864" w:name="_s2c4wh2r29fy" w:colFirst="0" w:colLast="0"/>
      <w:bookmarkStart w:id="865" w:name="_Ref43990225"/>
      <w:bookmarkEnd w:id="853"/>
      <w:bookmarkEnd w:id="854"/>
      <w:bookmarkEnd w:id="857"/>
      <w:bookmarkEnd w:id="863"/>
      <w:bookmarkEnd w:id="864"/>
      <w:r>
        <w:lastRenderedPageBreak/>
        <w:t>Globally available markup outside the edition</w:t>
      </w:r>
      <w:bookmarkEnd w:id="865"/>
    </w:p>
    <w:p>
      <w:pPr>
        <w:rPr>
          <w:lang w:eastAsia="en-US" w:bidi="ar-SA"/>
        </w:rPr>
      </w:pPr>
      <w:r>
        <w:rPr>
          <w:lang w:eastAsia="en-US" w:bidi="ar-SA"/>
        </w:rPr>
        <w:t>This section introduces markup solutions that may be used in various parts of the XML document other than the edition division. Some of the same solutions are also available within the edition division, but only in the specific circumstances explicitly discussed in the sections concerning the encoding of the edition.</w:t>
      </w:r>
    </w:p>
    <w:p>
      <w:pPr>
        <w:pStyle w:val="Cmsor2"/>
      </w:pPr>
      <w:bookmarkStart w:id="866" w:name="_vn3bfilgag1u" w:colFirst="0" w:colLast="0"/>
      <w:bookmarkStart w:id="867" w:name="_Ref43990337"/>
      <w:bookmarkEnd w:id="866"/>
      <w:r>
        <w:t>Using editorial markup outside the edition</w:t>
      </w:r>
      <w:bookmarkEnd w:id="867"/>
    </w:p>
    <w:p>
      <w:r>
        <w:t xml:space="preserve">As a rule, the XML elements pertaining to the text edition </w:t>
      </w:r>
      <w:r>
        <w:rPr>
          <w:noProof/>
        </w:rPr>
        <w:t>(</w:t>
      </w:r>
      <w:r>
        <w:t>§</w:t>
      </w:r>
      <w:r>
        <w:fldChar w:fldCharType="begin"/>
      </w:r>
      <w:r>
        <w:instrText xml:space="preserve"> REF _Ref43978632 \r \h  \* MERGEFORMAT </w:instrText>
      </w:r>
      <w:r>
        <w:fldChar w:fldCharType="separate"/>
      </w:r>
      <w:r>
        <w:t>3</w:t>
      </w:r>
      <w:r>
        <w:fldChar w:fldCharType="end"/>
      </w:r>
      <w:r>
        <w:t xml:space="preserve"> to §</w:t>
      </w:r>
      <w:r>
        <w:fldChar w:fldCharType="begin"/>
      </w:r>
      <w:r>
        <w:instrText xml:space="preserve"> REF _Ref232002354 \r \h </w:instrText>
      </w:r>
      <w:r>
        <w:fldChar w:fldCharType="separate"/>
      </w:r>
      <w:r>
        <w:t>9</w:t>
      </w:r>
      <w:r>
        <w:fldChar w:fldCharType="end"/>
      </w:r>
      <w:r>
        <w:t>) should be avoided outside the edition division of your XML file, except as explicitly endorsed in the following sections of §</w:t>
      </w:r>
      <w:r>
        <w:fldChar w:fldCharType="begin"/>
      </w:r>
      <w:r>
        <w:instrText xml:space="preserve"> REF _Ref43990225 \w \h  \* MERGEFORMAT </w:instrText>
      </w:r>
      <w:r>
        <w:fldChar w:fldCharType="separate"/>
      </w:r>
      <w:r>
        <w:t>14</w:t>
      </w:r>
      <w:r>
        <w:fldChar w:fldCharType="end"/>
      </w:r>
      <w:r>
        <w:t xml:space="preserve"> and, for specific divisions of the XML file, viz. the apparatus (§</w:t>
      </w:r>
      <w:r>
        <w:fldChar w:fldCharType="begin"/>
      </w:r>
      <w:r>
        <w:instrText xml:space="preserve"> REF _Ref233640654 \r \h </w:instrText>
      </w:r>
      <w:r>
        <w:fldChar w:fldCharType="separate"/>
      </w:r>
      <w:r>
        <w:t>10.6</w:t>
      </w:r>
      <w:r>
        <w:fldChar w:fldCharType="end"/>
      </w:r>
      <w:r>
        <w:t>) and the translation (§</w:t>
      </w:r>
      <w:r>
        <w:fldChar w:fldCharType="begin"/>
      </w:r>
      <w:r>
        <w:instrText xml:space="preserve"> REF _Ref233640670 \r \h </w:instrText>
      </w:r>
      <w:r>
        <w:fldChar w:fldCharType="separate"/>
      </w:r>
      <w:r>
        <w:t>11.4</w:t>
      </w:r>
      <w:r>
        <w:fldChar w:fldCharType="end"/>
      </w:r>
      <w:r>
        <w:t xml:space="preserve">). When you cite an excerpt from your edition in other parts of the XML document, we generally recommend that you present the excerpt without any editorial markup, in its “curated” form obtained after any scribal and editorial interventions. However, sometimes you may deem it essential to cite a diplomatic reading with all its intricacies, particularly in a note or commentary section discussing the editorial difficulties connected to a reading, or in a translation when replicating an unintelligible stretch of text </w:t>
      </w:r>
      <w:r>
        <w:rPr>
          <w:noProof/>
        </w:rPr>
        <w:t>(</w:t>
      </w:r>
      <w:r>
        <w:t>§</w:t>
      </w:r>
      <w:r>
        <w:fldChar w:fldCharType="begin"/>
      </w:r>
      <w:r>
        <w:instrText xml:space="preserve"> REF _Ref43990112 \w \h  \* MERGEFORMAT </w:instrText>
      </w:r>
      <w:r>
        <w:fldChar w:fldCharType="separate"/>
      </w:r>
      <w:r>
        <w:t>11.4.3</w:t>
      </w:r>
      <w:r>
        <w:fldChar w:fldCharType="end"/>
      </w:r>
      <w:r>
        <w:t xml:space="preserve">). In such cases, you may use editorial markup outside the edition division, limited to features whose replication is deemed essential in the context </w:t>
      </w:r>
      <w:r>
        <w:rPr>
          <w:noProof/>
        </w:rPr>
        <w:t>(</w:t>
      </w:r>
      <w:r>
        <w:t>i.e. without an obligation to replicate all editorial markup).</w:t>
      </w:r>
    </w:p>
    <w:p>
      <w:pPr>
        <w:pStyle w:val="Lista"/>
      </w:pPr>
      <w:r>
        <w:t xml:space="preserve">foreign-language citations within a stretch of modern-language text must always be tagged as </w:t>
      </w:r>
      <w:r>
        <w:rPr>
          <w:rStyle w:val="Code"/>
        </w:rPr>
        <w:t>&lt;foreign&gt;</w:t>
      </w:r>
      <w:r>
        <w:t xml:space="preserve"> </w:t>
      </w:r>
      <w:r>
        <w:rPr>
          <w:noProof/>
        </w:rPr>
        <w:t>(</w:t>
      </w:r>
      <w:r>
        <w:t>§</w:t>
      </w:r>
      <w:r>
        <w:fldChar w:fldCharType="begin"/>
      </w:r>
      <w:r>
        <w:instrText xml:space="preserve"> REF _Ref43986658 \w \h  \* MERGEFORMAT </w:instrText>
      </w:r>
      <w:r>
        <w:fldChar w:fldCharType="separate"/>
      </w:r>
      <w:r>
        <w:t>14.4.2</w:t>
      </w:r>
      <w:r>
        <w:fldChar w:fldCharType="end"/>
      </w:r>
      <w:r>
        <w:t>), so all markup pertaining to the citation must be within these tags</w:t>
      </w:r>
    </w:p>
    <w:p>
      <w:pPr>
        <w:pStyle w:val="Lista"/>
      </w:pPr>
      <w:r>
        <w:t xml:space="preserve">tags for the edition’s block-level containers </w:t>
      </w:r>
      <w:r>
        <w:rPr>
          <w:noProof/>
        </w:rPr>
        <w:t>(</w:t>
      </w:r>
      <w:r>
        <w:rPr>
          <w:rStyle w:val="Code"/>
        </w:rPr>
        <w:t>&lt;p&gt;</w:t>
      </w:r>
      <w:r>
        <w:t xml:space="preserve">, </w:t>
      </w:r>
      <w:r>
        <w:rPr>
          <w:rStyle w:val="Code"/>
        </w:rPr>
        <w:t>&lt;ab&gt;</w:t>
      </w:r>
      <w:r>
        <w:t xml:space="preserve">, </w:t>
      </w:r>
      <w:r>
        <w:rPr>
          <w:rStyle w:val="Code"/>
        </w:rPr>
        <w:t>&lt;lg&gt;</w:t>
      </w:r>
      <w:r>
        <w:t xml:space="preserve"> and </w:t>
      </w:r>
      <w:r>
        <w:rPr>
          <w:rStyle w:val="Code"/>
        </w:rPr>
        <w:t>&lt;l&gt;</w:t>
      </w:r>
      <w:r>
        <w:t>) must not be included in citations</w:t>
      </w:r>
    </w:p>
    <w:p>
      <w:pPr>
        <w:pStyle w:val="Lista"/>
      </w:pPr>
      <w:r>
        <w:t>the following encoding solutions may be included in citations</w:t>
      </w:r>
    </w:p>
    <w:p>
      <w:pPr>
        <w:pStyle w:val="Lista2"/>
      </w:pPr>
      <w:r>
        <w:t>milestone elements for extrinsic structure (§</w:t>
      </w:r>
      <w:r>
        <w:fldChar w:fldCharType="begin"/>
      </w:r>
      <w:r>
        <w:instrText xml:space="preserve"> REF _Ref225327729 \r \h </w:instrText>
      </w:r>
      <w:r>
        <w:fldChar w:fldCharType="separate"/>
      </w:r>
      <w:r>
        <w:t>4.3</w:t>
      </w:r>
      <w:r>
        <w:fldChar w:fldCharType="end"/>
      </w:r>
      <w:r>
        <w:t>)</w:t>
      </w:r>
    </w:p>
    <w:p>
      <w:pPr>
        <w:pStyle w:val="Lista3"/>
      </w:pPr>
      <w:r>
        <w:t>to reduce code clutter, feel free to remove all attributes from such elements</w:t>
      </w:r>
    </w:p>
    <w:p>
      <w:pPr>
        <w:pStyle w:val="Lista2"/>
      </w:pPr>
      <w:r>
        <w:t xml:space="preserve">any markup pertaining to the received text </w:t>
      </w:r>
      <w:r>
        <w:rPr>
          <w:noProof/>
        </w:rPr>
        <w:t>(</w:t>
      </w:r>
      <w:r>
        <w:t>§</w:t>
      </w:r>
      <w:r>
        <w:fldChar w:fldCharType="begin"/>
      </w:r>
      <w:r>
        <w:instrText xml:space="preserve"> REF _Ref232171176 \r \h </w:instrText>
      </w:r>
      <w:r>
        <w:fldChar w:fldCharType="separate"/>
      </w:r>
      <w:r>
        <w:t>5</w:t>
      </w:r>
      <w:r>
        <w:fldChar w:fldCharType="end"/>
      </w:r>
      <w:r>
        <w:t>)</w:t>
      </w:r>
    </w:p>
    <w:p>
      <w:pPr>
        <w:pStyle w:val="Lista2"/>
      </w:pPr>
      <w:r>
        <w:t xml:space="preserve">any markup pertaining to legibility issues </w:t>
      </w:r>
      <w:r>
        <w:rPr>
          <w:noProof/>
        </w:rPr>
        <w:t>(</w:t>
      </w:r>
      <w:r>
        <w:t>§</w:t>
      </w:r>
      <w:r>
        <w:fldChar w:fldCharType="begin"/>
      </w:r>
      <w:r>
        <w:instrText xml:space="preserve"> REF _Ref231895504 \r \h </w:instrText>
      </w:r>
      <w:r>
        <w:fldChar w:fldCharType="separate"/>
      </w:r>
      <w:r>
        <w:t>6</w:t>
      </w:r>
      <w:r>
        <w:fldChar w:fldCharType="end"/>
      </w:r>
      <w:r>
        <w:t>)</w:t>
      </w:r>
    </w:p>
    <w:p>
      <w:pPr>
        <w:pStyle w:val="Lista2"/>
      </w:pPr>
      <w:r>
        <w:t xml:space="preserve">any markup pertaining to modern editorial intervention </w:t>
      </w:r>
      <w:r>
        <w:rPr>
          <w:noProof/>
        </w:rPr>
        <w:t>(</w:t>
      </w:r>
      <w:r>
        <w:t>§</w:t>
      </w:r>
      <w:r>
        <w:fldChar w:fldCharType="begin"/>
      </w:r>
      <w:r>
        <w:instrText xml:space="preserve"> REF _Ref43978565 \r \h  \* MERGEFORMAT </w:instrText>
      </w:r>
      <w:r>
        <w:fldChar w:fldCharType="separate"/>
      </w:r>
      <w:r>
        <w:t>7</w:t>
      </w:r>
      <w:r>
        <w:fldChar w:fldCharType="end"/>
      </w:r>
      <w:r>
        <w:t>)</w:t>
      </w:r>
    </w:p>
    <w:p>
      <w:pPr>
        <w:pStyle w:val="Lista2"/>
      </w:pPr>
      <w:r>
        <w:t xml:space="preserve">any markup pertaining to language, script and visual characteristics </w:t>
      </w:r>
      <w:r>
        <w:rPr>
          <w:noProof/>
        </w:rPr>
        <w:t>(</w:t>
      </w:r>
      <w:r>
        <w:t>§</w:t>
      </w:r>
      <w:r>
        <w:fldChar w:fldCharType="begin"/>
      </w:r>
      <w:r>
        <w:instrText xml:space="preserve"> REF _Ref232171213 \r \h </w:instrText>
      </w:r>
      <w:r>
        <w:fldChar w:fldCharType="separate"/>
      </w:r>
      <w:r>
        <w:t>7.9</w:t>
      </w:r>
      <w:r>
        <w:fldChar w:fldCharType="end"/>
      </w:r>
      <w:r>
        <w:t>)</w:t>
      </w:r>
    </w:p>
    <w:p>
      <w:pPr>
        <w:pStyle w:val="Lista2"/>
      </w:pPr>
      <w:r>
        <w:t>interpretive and analytical markup (§</w:t>
      </w:r>
      <w:r>
        <w:fldChar w:fldCharType="begin"/>
      </w:r>
      <w:r>
        <w:instrText xml:space="preserve"> REF _Ref232002354 \r \h </w:instrText>
      </w:r>
      <w:r>
        <w:fldChar w:fldCharType="separate"/>
      </w:r>
      <w:r>
        <w:t>9</w:t>
      </w:r>
      <w:r>
        <w:fldChar w:fldCharType="end"/>
      </w:r>
      <w:r>
        <w:t>)</w:t>
      </w:r>
    </w:p>
    <w:p>
      <w:pPr>
        <w:pStyle w:val="Lista"/>
      </w:pPr>
      <w:r>
        <w:t>none of the above items are mandatory to retain: instead, reduce code clutter by retaining only markup relevant to the discussion of the citation</w:t>
      </w:r>
    </w:p>
    <w:p>
      <w:pPr>
        <w:pStyle w:val="Lista"/>
      </w:pPr>
      <w:r>
        <w:t>when copying and pasting encoded text from your edition, pay attention to the beginning and end of phrase-level elements, which may not coincide with your excerpt</w:t>
      </w:r>
    </w:p>
    <w:p>
      <w:pPr>
        <w:pStyle w:val="Lista2"/>
      </w:pPr>
      <w:r>
        <w:t>add the start-tag for retained markup commencing before and ending inside your citation</w:t>
      </w:r>
    </w:p>
    <w:p>
      <w:pPr>
        <w:pStyle w:val="Lista2"/>
      </w:pPr>
      <w:r>
        <w:t>add the end-tag for retained markup commencing inside your citation and ending after it</w:t>
      </w:r>
    </w:p>
    <w:p>
      <w:pPr>
        <w:pStyle w:val="Lista2"/>
      </w:pPr>
      <w:r>
        <w:t>add start and end-tags for retained markup in a citation snipped from within a longer stretch of phrase-level markup</w:t>
      </w:r>
    </w:p>
    <w:p>
      <w:pPr>
        <w:pStyle w:val="Cmsor2"/>
      </w:pPr>
      <w:bookmarkStart w:id="868" w:name="_a0ie3m4iw2wx" w:colFirst="0" w:colLast="0"/>
      <w:bookmarkEnd w:id="868"/>
      <w:r>
        <w:t>Character formatting</w:t>
      </w:r>
    </w:p>
    <w:p>
      <w:r>
        <w:t xml:space="preserve">Given the principle of conceptual markup </w:t>
      </w:r>
      <w:r>
        <w:rPr>
          <w:noProof/>
        </w:rPr>
        <w:t>(</w:t>
      </w:r>
      <w:r>
        <w:t>§</w:t>
      </w:r>
      <w:r>
        <w:fldChar w:fldCharType="begin"/>
      </w:r>
      <w:r>
        <w:instrText xml:space="preserve"> REF _Ref233641527 \r \h </w:instrText>
      </w:r>
      <w:r>
        <w:fldChar w:fldCharType="separate"/>
      </w:r>
      <w:r>
        <w:t>2.2.1</w:t>
      </w:r>
      <w:r>
        <w:fldChar w:fldCharType="end"/>
      </w:r>
      <w:r>
        <w:t xml:space="preserve">), it will not normally be necessary for you to apply character formatting as such: all essential formatting will be handled globally through external stylesheets and governed by the XML tags you create. For instance, instead of italicising foreign words and titles, you tag them as </w:t>
      </w:r>
      <w:r>
        <w:rPr>
          <w:rStyle w:val="Code"/>
        </w:rPr>
        <w:t>&lt;foreign&gt;</w:t>
      </w:r>
      <w:r>
        <w:t xml:space="preserve"> (§</w:t>
      </w:r>
      <w:r>
        <w:fldChar w:fldCharType="begin"/>
      </w:r>
      <w:r>
        <w:instrText xml:space="preserve"> REF _Ref43986658 \r \h </w:instrText>
      </w:r>
      <w:r>
        <w:fldChar w:fldCharType="separate"/>
      </w:r>
      <w:r>
        <w:t>14.4.2</w:t>
      </w:r>
      <w:r>
        <w:fldChar w:fldCharType="end"/>
      </w:r>
      <w:r>
        <w:t xml:space="preserve">) or </w:t>
      </w:r>
      <w:r>
        <w:rPr>
          <w:rStyle w:val="Code"/>
        </w:rPr>
        <w:t>&lt;title&gt;</w:t>
      </w:r>
      <w:r>
        <w:t xml:space="preserve"> (§</w:t>
      </w:r>
      <w:r>
        <w:fldChar w:fldCharType="begin"/>
      </w:r>
      <w:r>
        <w:instrText xml:space="preserve"> REF _Ref233796804 \r \h </w:instrText>
      </w:r>
      <w:r>
        <w:fldChar w:fldCharType="separate"/>
      </w:r>
      <w:r>
        <w:t>14.7.1</w:t>
      </w:r>
      <w:r>
        <w:fldChar w:fldCharType="end"/>
      </w:r>
      <w:r>
        <w:t>) respectively. That said, you may occasionally find it useful to encode simple local formatting instructions without any specific semantic classification. For this purpose, only outside the edition</w:t>
      </w:r>
      <w:r>
        <w:rPr>
          <w:rStyle w:val="Lbjegyzet-hivatkozs"/>
        </w:rPr>
        <w:footnoteReference w:id="40"/>
      </w:r>
      <w:r>
        <w:t xml:space="preserve"> and mainly within the commentary division, you may use the element </w:t>
      </w:r>
      <w:r>
        <w:rPr>
          <w:rStyle w:val="Code"/>
        </w:rPr>
        <w:t>&lt;hi&gt;</w:t>
      </w:r>
      <w:r>
        <w:t xml:space="preserve"> </w:t>
      </w:r>
      <w:r>
        <w:rPr>
          <w:noProof/>
        </w:rPr>
        <w:t>(</w:t>
      </w:r>
      <w:r>
        <w:t>signifying typographic highlighting) with attributes as specified in the following subsections.</w:t>
      </w:r>
    </w:p>
    <w:p/>
    <w:p>
      <w:pPr>
        <w:pStyle w:val="Cmsor3"/>
      </w:pPr>
      <w:bookmarkStart w:id="869" w:name="_79u3x92o5v7r" w:colFirst="0" w:colLast="0"/>
      <w:bookmarkStart w:id="870" w:name="_Toc242976712"/>
      <w:bookmarkEnd w:id="869"/>
      <w:r>
        <w:lastRenderedPageBreak/>
        <w:t>Emphasis</w:t>
      </w:r>
      <w:bookmarkEnd w:id="870"/>
    </w:p>
    <w:p>
      <w:pPr>
        <w:pStyle w:val="Lista"/>
      </w:pPr>
      <w:r>
        <w:t xml:space="preserve">to add italic or bold emphasis to any segment of text, wrap it in </w:t>
      </w:r>
      <w:r>
        <w:rPr>
          <w:rStyle w:val="Code"/>
        </w:rPr>
        <w:t>&lt;hi&gt;</w:t>
      </w:r>
      <w:r>
        <w:t xml:space="preserve"> with the attribute </w:t>
      </w:r>
      <w:r>
        <w:rPr>
          <w:rStyle w:val="Codeattribute"/>
        </w:rPr>
        <w:t>@rend</w:t>
      </w:r>
      <w:r>
        <w:t xml:space="preserve"> taking one of the following values:</w:t>
      </w:r>
    </w:p>
    <w:p>
      <w:pPr>
        <w:pStyle w:val="Lista2"/>
      </w:pPr>
      <w:r>
        <w:rPr>
          <w:rStyle w:val="Codevalue"/>
        </w:rPr>
        <w:t>"italic"</w:t>
      </w:r>
    </w:p>
    <w:p>
      <w:pPr>
        <w:pStyle w:val="Lista2"/>
        <w:rPr>
          <w:rStyle w:val="Codevalue"/>
          <w:rFonts w:ascii="Gentium" w:eastAsiaTheme="minorEastAsia" w:hAnsi="Gentium" w:cs="Tiro Devanagari Sanskrit"/>
          <w:noProof w:val="0"/>
          <w:color w:val="auto"/>
          <w:shd w:val="clear" w:color="auto" w:fill="auto"/>
        </w:rPr>
      </w:pPr>
      <w:r>
        <w:rPr>
          <w:rStyle w:val="Codevalue"/>
        </w:rPr>
        <w:t>"bold"</w:t>
      </w:r>
    </w:p>
    <w:p>
      <w:pPr>
        <w:pStyle w:val="Cmsor3"/>
      </w:pPr>
      <w:bookmarkStart w:id="871" w:name="_Toc242976713"/>
      <w:r>
        <w:t>Subscript and superscript</w:t>
      </w:r>
      <w:bookmarkEnd w:id="871"/>
    </w:p>
    <w:p>
      <w:pPr>
        <w:pStyle w:val="Lista"/>
      </w:pPr>
      <w:r>
        <w:t xml:space="preserve">to format any characters as subscript or superscript, wrap them in </w:t>
      </w:r>
      <w:r>
        <w:rPr>
          <w:rStyle w:val="Code"/>
        </w:rPr>
        <w:t>&lt;hi&gt;</w:t>
      </w:r>
      <w:r>
        <w:t xml:space="preserve"> with the attribute </w:t>
      </w:r>
      <w:r>
        <w:rPr>
          <w:rStyle w:val="Codeattribute"/>
        </w:rPr>
        <w:t>@rend</w:t>
      </w:r>
      <w:r>
        <w:t xml:space="preserve"> taking one of the following values:</w:t>
      </w:r>
    </w:p>
    <w:p>
      <w:pPr>
        <w:pStyle w:val="Lista2"/>
      </w:pPr>
      <w:r>
        <w:rPr>
          <w:rStyle w:val="Codevalue"/>
        </w:rPr>
        <w:t>"italic"</w:t>
      </w:r>
    </w:p>
    <w:p>
      <w:pPr>
        <w:pStyle w:val="Lista2"/>
      </w:pPr>
      <w:r>
        <w:rPr>
          <w:rStyle w:val="Codevalue"/>
        </w:rPr>
        <w:t>"bold"</w:t>
      </w:r>
    </w:p>
    <w:p>
      <w:pPr>
        <w:pStyle w:val="Lista2"/>
      </w:pPr>
      <w:r>
        <w:rPr>
          <w:rStyle w:val="Codevalue"/>
        </w:rPr>
        <w:t>"subscript"</w:t>
      </w:r>
    </w:p>
    <w:p>
      <w:pPr>
        <w:pStyle w:val="Lista2"/>
      </w:pPr>
      <w:r>
        <w:rPr>
          <w:rStyle w:val="Codevalue"/>
        </w:rPr>
        <w:t>"superscript"</w:t>
      </w:r>
    </w:p>
    <w:p>
      <w:pPr>
        <w:pStyle w:val="Cmsor3"/>
      </w:pPr>
      <w:bookmarkStart w:id="872" w:name="_Ref233727983"/>
      <w:bookmarkStart w:id="873" w:name="_Toc242976714"/>
      <w:r>
        <w:t>Grantha script</w:t>
      </w:r>
      <w:bookmarkEnd w:id="872"/>
      <w:bookmarkEnd w:id="873"/>
    </w:p>
    <w:p>
      <w:pPr>
        <w:pStyle w:val="Lista"/>
      </w:pPr>
      <w:r>
        <w:t xml:space="preserve">in text cited from your edition or from another primary text, transliterated characters originally written in the Grantha script may be distinguished from surrounding characters by wrapping them in </w:t>
      </w:r>
      <w:r>
        <w:rPr>
          <w:rStyle w:val="Code"/>
        </w:rPr>
        <w:t xml:space="preserve">&lt;hi </w:t>
      </w:r>
      <w:r>
        <w:rPr>
          <w:rStyle w:val="Codeattribute"/>
        </w:rPr>
        <w:t>rend</w:t>
      </w:r>
      <w:r>
        <w:rPr>
          <w:rStyle w:val="Code"/>
        </w:rPr>
        <w:t>=</w:t>
      </w:r>
      <w:r>
        <w:rPr>
          <w:rStyle w:val="Codevalue"/>
        </w:rPr>
        <w:t>"grantha"</w:t>
      </w:r>
      <w:r>
        <w:rPr>
          <w:rStyle w:val="Code"/>
        </w:rPr>
        <w:t>&gt;</w:t>
      </w:r>
    </w:p>
    <w:p>
      <w:pPr>
        <w:pStyle w:val="Lista2"/>
      </w:pPr>
      <w:r>
        <w:t xml:space="preserve">doing so does not replace the </w:t>
      </w:r>
      <w:r>
        <w:rPr>
          <w:rStyle w:val="Code"/>
        </w:rPr>
        <w:t>&lt;foreign&gt;</w:t>
      </w:r>
      <w:r>
        <w:t xml:space="preserve"> tag </w:t>
      </w:r>
      <w:r>
        <w:rPr>
          <w:noProof/>
        </w:rPr>
        <w:t>(</w:t>
      </w:r>
      <w:r>
        <w:t>§</w:t>
      </w:r>
      <w:r>
        <w:fldChar w:fldCharType="begin"/>
      </w:r>
      <w:r>
        <w:instrText xml:space="preserve"> REF _Ref43986658 \w \h  \* MERGEFORMAT </w:instrText>
      </w:r>
      <w:r>
        <w:fldChar w:fldCharType="separate"/>
      </w:r>
      <w:r>
        <w:t>14.4.2</w:t>
      </w:r>
      <w:r>
        <w:fldChar w:fldCharType="end"/>
      </w:r>
      <w:r>
        <w:t>) required for quoting such text outside the edition</w:t>
      </w:r>
    </w:p>
    <w:p>
      <w:pPr>
        <w:pStyle w:val="Lista2"/>
      </w:pPr>
      <w:r>
        <w:t>within the edition itself, Grantha script must be encoded as per §</w:t>
      </w:r>
      <w:r>
        <w:fldChar w:fldCharType="begin"/>
      </w:r>
      <w:r>
        <w:instrText xml:space="preserve"> REF _Ref233642045 \r \h </w:instrText>
      </w:r>
      <w:r>
        <w:fldChar w:fldCharType="separate"/>
      </w:r>
      <w:r>
        <w:t>8.2.3.5</w:t>
      </w:r>
      <w:r>
        <w:fldChar w:fldCharType="end"/>
      </w:r>
    </w:p>
    <w:p>
      <w:pPr>
        <w:pStyle w:val="Cmsor3"/>
      </w:pPr>
      <w:bookmarkStart w:id="874" w:name="_w8m7jrrw5g8k" w:colFirst="0" w:colLast="0"/>
      <w:bookmarkStart w:id="875" w:name="_Ref122447347"/>
      <w:bookmarkStart w:id="876" w:name="_Ref43978966"/>
      <w:bookmarkStart w:id="877" w:name="_Ref56419954"/>
      <w:bookmarkStart w:id="878" w:name="_Toc242976715"/>
      <w:bookmarkEnd w:id="874"/>
      <w:r>
        <w:t>Highlighting for review</w:t>
      </w:r>
      <w:bookmarkEnd w:id="875"/>
      <w:bookmarkEnd w:id="878"/>
    </w:p>
    <w:p>
      <w:r>
        <w:t xml:space="preserve">You may sometimes want to highlight parts of your texts to which you wish to return later or draw the attention of a colleague reviewing your work. </w:t>
      </w:r>
    </w:p>
    <w:p>
      <w:pPr>
        <w:pStyle w:val="Lista"/>
      </w:pPr>
      <w:r>
        <w:t xml:space="preserve">to highlight a segment of text for review, wrap it in </w:t>
      </w:r>
      <w:r>
        <w:rPr>
          <w:rStyle w:val="Code"/>
        </w:rPr>
        <w:t>&lt;hi</w:t>
      </w:r>
      <w:r>
        <w:rPr>
          <w:rStyle w:val="Codeattribute"/>
        </w:rPr>
        <w:t xml:space="preserve"> rend=</w:t>
      </w:r>
      <w:r>
        <w:rPr>
          <w:rStyle w:val="Codevalue"/>
        </w:rPr>
        <w:t>"check"</w:t>
      </w:r>
      <w:r>
        <w:rPr>
          <w:rStyle w:val="Code"/>
        </w:rPr>
        <w:t>&gt;</w:t>
      </w:r>
    </w:p>
    <w:p>
      <w:pPr>
        <w:pStyle w:val="Lista"/>
      </w:pPr>
      <w:r>
        <w:t>highlighting is available in the edition division as well as elsewhere in your XML document</w:t>
      </w:r>
    </w:p>
    <w:p>
      <w:pPr>
        <w:pStyle w:val="Lista2"/>
      </w:pPr>
      <w:r>
        <w:t>this encoding may be freely combined with other phrase-level markup so long as overlaps are avoided</w:t>
      </w:r>
    </w:p>
    <w:p>
      <w:pPr>
        <w:pStyle w:val="Lista2"/>
      </w:pPr>
      <w:r>
        <w:t xml:space="preserve">if the segment you wish to highlight coincides with some editorial markup, preferably use </w:t>
      </w:r>
      <w:r>
        <w:rPr>
          <w:rStyle w:val="Code"/>
        </w:rPr>
        <w:t>&lt;hi&gt;</w:t>
      </w:r>
      <w:r>
        <w:t xml:space="preserve"> on the outside and nest the other markup within that</w:t>
      </w:r>
    </w:p>
    <w:p>
      <w:pPr>
        <w:pStyle w:val="Lista3"/>
      </w:pPr>
      <w:r>
        <w:t xml:space="preserve">e.g. </w:t>
      </w:r>
      <w:r>
        <w:rPr>
          <w:rStyle w:val="Codetext"/>
        </w:rPr>
        <w:t>vidvi</w:t>
      </w:r>
      <w:r>
        <w:rPr>
          <w:rStyle w:val="Code"/>
        </w:rPr>
        <w:t xml:space="preserve">&lt;hi </w:t>
      </w:r>
      <w:r>
        <w:rPr>
          <w:rStyle w:val="Codeattribute"/>
        </w:rPr>
        <w:t>rend</w:t>
      </w:r>
      <w:r>
        <w:rPr>
          <w:rStyle w:val="Codetext"/>
        </w:rPr>
        <w:t>=</w:t>
      </w:r>
      <w:r>
        <w:rPr>
          <w:rStyle w:val="Codevalue"/>
        </w:rPr>
        <w:t>"check"</w:t>
      </w:r>
      <w:r>
        <w:rPr>
          <w:rStyle w:val="Code"/>
        </w:rPr>
        <w:t xml:space="preserve">&gt;&lt;unclear </w:t>
      </w:r>
      <w:r>
        <w:rPr>
          <w:rStyle w:val="Codeattribute"/>
        </w:rPr>
        <w:t>cert</w:t>
      </w:r>
      <w:r>
        <w:rPr>
          <w:rStyle w:val="Codetext"/>
        </w:rPr>
        <w:t>=</w:t>
      </w:r>
      <w:r>
        <w:rPr>
          <w:rStyle w:val="Codevalue"/>
        </w:rPr>
        <w:t>"low"</w:t>
      </w:r>
      <w:r>
        <w:rPr>
          <w:rStyle w:val="Code"/>
        </w:rPr>
        <w:t>&gt;</w:t>
      </w:r>
      <w:r>
        <w:rPr>
          <w:rStyle w:val="Codetext"/>
        </w:rPr>
        <w:t>ṭsu</w:t>
      </w:r>
      <w:r>
        <w:rPr>
          <w:rStyle w:val="Code"/>
        </w:rPr>
        <w:t>&lt;/unclear&gt;&lt;/hi&gt;</w:t>
      </w:r>
    </w:p>
    <w:p>
      <w:pPr>
        <w:pStyle w:val="Lista"/>
      </w:pPr>
      <w:r>
        <w:t>as this encoding serves only for internal review, it is strongly recommended that you remove it from any digital editions you consider completed</w:t>
      </w:r>
    </w:p>
    <w:p>
      <w:pPr>
        <w:pStyle w:val="Cmsor2"/>
      </w:pPr>
      <w:bookmarkStart w:id="879" w:name="_Ref233789547"/>
      <w:r>
        <w:t>Block-level containers outside the edition</w:t>
      </w:r>
      <w:bookmarkEnd w:id="879"/>
    </w:p>
    <w:p>
      <w:pPr>
        <w:pStyle w:val="Cmsor3"/>
      </w:pPr>
      <w:bookmarkStart w:id="880" w:name="_Ref233793815"/>
      <w:bookmarkStart w:id="881" w:name="_Toc242976716"/>
      <w:r>
        <w:t>Paragraphs</w:t>
      </w:r>
      <w:bookmarkEnd w:id="880"/>
      <w:bookmarkEnd w:id="881"/>
    </w:p>
    <w:p>
      <w:pPr>
        <w:rPr>
          <w:lang w:eastAsia="en-US" w:bidi="ar-SA"/>
        </w:rPr>
      </w:pPr>
      <w:r>
        <w:rPr>
          <w:lang w:eastAsia="en-US" w:bidi="ar-SA"/>
        </w:rPr>
        <w:t>Segmenting text into paragraphs will usually not be necessary outside the sections where paragraphs are explicitly called for and pre-created in our encoding templates, namely the translation (§</w:t>
      </w:r>
      <w:r>
        <w:rPr>
          <w:lang w:eastAsia="en-US" w:bidi="ar-SA"/>
        </w:rPr>
        <w:fldChar w:fldCharType="begin"/>
      </w:r>
      <w:r>
        <w:rPr>
          <w:lang w:eastAsia="en-US" w:bidi="ar-SA"/>
        </w:rPr>
        <w:instrText xml:space="preserve"> REF _Ref233792737 \r \h </w:instrText>
      </w:r>
      <w:r>
        <w:rPr>
          <w:lang w:eastAsia="en-US" w:bidi="ar-SA"/>
        </w:rPr>
      </w:r>
      <w:r>
        <w:rPr>
          <w:lang w:eastAsia="en-US" w:bidi="ar-SA"/>
        </w:rPr>
        <w:fldChar w:fldCharType="separate"/>
      </w:r>
      <w:r>
        <w:rPr>
          <w:lang w:eastAsia="en-US" w:bidi="ar-SA"/>
        </w:rPr>
        <w:t>11.2.2</w:t>
      </w:r>
      <w:r>
        <w:rPr>
          <w:lang w:eastAsia="en-US" w:bidi="ar-SA"/>
        </w:rPr>
        <w:fldChar w:fldCharType="end"/>
      </w:r>
      <w:r>
        <w:rPr>
          <w:lang w:eastAsia="en-US" w:bidi="ar-SA"/>
        </w:rPr>
        <w:t>), the commentary (§</w:t>
      </w:r>
      <w:r>
        <w:rPr>
          <w:lang w:eastAsia="en-US" w:bidi="ar-SA"/>
        </w:rPr>
        <w:fldChar w:fldCharType="begin"/>
      </w:r>
      <w:r>
        <w:rPr>
          <w:lang w:eastAsia="en-US" w:bidi="ar-SA"/>
        </w:rPr>
        <w:instrText xml:space="preserve"> REF _Ref233792738 \r \h </w:instrText>
      </w:r>
      <w:r>
        <w:rPr>
          <w:lang w:eastAsia="en-US" w:bidi="ar-SA"/>
        </w:rPr>
      </w:r>
      <w:r>
        <w:rPr>
          <w:lang w:eastAsia="en-US" w:bidi="ar-SA"/>
        </w:rPr>
        <w:fldChar w:fldCharType="separate"/>
      </w:r>
      <w:r>
        <w:rPr>
          <w:lang w:eastAsia="en-US" w:bidi="ar-SA"/>
        </w:rPr>
        <w:t>12.1</w:t>
      </w:r>
      <w:r>
        <w:rPr>
          <w:lang w:eastAsia="en-US" w:bidi="ar-SA"/>
        </w:rPr>
        <w:fldChar w:fldCharType="end"/>
      </w:r>
      <w:r>
        <w:rPr>
          <w:lang w:eastAsia="en-US" w:bidi="ar-SA"/>
        </w:rPr>
        <w:t>) and the epigraphic lemma (§</w:t>
      </w:r>
      <w:r>
        <w:rPr>
          <w:lang w:eastAsia="en-US" w:bidi="ar-SA"/>
        </w:rPr>
        <w:fldChar w:fldCharType="begin"/>
      </w:r>
      <w:r>
        <w:rPr>
          <w:lang w:eastAsia="en-US" w:bidi="ar-SA"/>
        </w:rPr>
        <w:instrText xml:space="preserve"> REF _Ref233623221 \r \h </w:instrText>
      </w:r>
      <w:r>
        <w:rPr>
          <w:lang w:eastAsia="en-US" w:bidi="ar-SA"/>
        </w:rPr>
      </w:r>
      <w:r>
        <w:rPr>
          <w:lang w:eastAsia="en-US" w:bidi="ar-SA"/>
        </w:rPr>
        <w:fldChar w:fldCharType="separate"/>
      </w:r>
      <w:r>
        <w:rPr>
          <w:lang w:eastAsia="en-US" w:bidi="ar-SA"/>
        </w:rPr>
        <w:t>13.2</w:t>
      </w:r>
      <w:r>
        <w:rPr>
          <w:lang w:eastAsia="en-US" w:bidi="ar-SA"/>
        </w:rPr>
        <w:fldChar w:fldCharType="end"/>
      </w:r>
      <w:r>
        <w:rPr>
          <w:lang w:eastAsia="en-US" w:bidi="ar-SA"/>
        </w:rPr>
        <w:t>).</w:t>
      </w:r>
    </w:p>
    <w:p>
      <w:pPr>
        <w:pStyle w:val="Lista"/>
      </w:pPr>
      <w:r>
        <w:t xml:space="preserve">when you see the need to do so, paragraphs (i.e. </w:t>
      </w:r>
      <w:r>
        <w:rPr>
          <w:rStyle w:val="Code"/>
        </w:rPr>
        <w:t>&lt;p&gt;</w:t>
      </w:r>
      <w:r>
        <w:t xml:space="preserve"> elements) may also be created within the following elements</w:t>
      </w:r>
    </w:p>
    <w:p>
      <w:pPr>
        <w:pStyle w:val="Lista2"/>
      </w:pPr>
      <w:r>
        <w:t>notes (§</w:t>
      </w:r>
      <w:r>
        <w:fldChar w:fldCharType="begin"/>
      </w:r>
      <w:r>
        <w:instrText xml:space="preserve"> REF _Ref43989684 \r \h </w:instrText>
      </w:r>
      <w:r>
        <w:fldChar w:fldCharType="separate"/>
      </w:r>
      <w:r>
        <w:t>14.5</w:t>
      </w:r>
      <w:r>
        <w:fldChar w:fldCharType="end"/>
      </w:r>
      <w:r>
        <w:t>) in any part of the file except the critical apparatus</w:t>
      </w:r>
    </w:p>
    <w:p>
      <w:pPr>
        <w:pStyle w:val="Lista2"/>
      </w:pPr>
      <w:r>
        <w:t>block quotes (§</w:t>
      </w:r>
      <w:r>
        <w:fldChar w:fldCharType="begin"/>
      </w:r>
      <w:r>
        <w:instrText xml:space="preserve"> REF _Ref233793283 \r \h </w:instrText>
      </w:r>
      <w:r>
        <w:fldChar w:fldCharType="separate"/>
      </w:r>
      <w:r>
        <w:t>14.3.3</w:t>
      </w:r>
      <w:r>
        <w:fldChar w:fldCharType="end"/>
      </w:r>
      <w:r>
        <w:t>)</w:t>
      </w:r>
    </w:p>
    <w:p>
      <w:pPr>
        <w:pStyle w:val="Lista2"/>
      </w:pPr>
      <w:r>
        <w:t>hand notes (§</w:t>
      </w:r>
      <w:r>
        <w:fldChar w:fldCharType="begin"/>
      </w:r>
      <w:r>
        <w:instrText xml:space="preserve"> REF _Ref231980025 \r \h </w:instrText>
      </w:r>
      <w:r>
        <w:fldChar w:fldCharType="separate"/>
      </w:r>
      <w:r>
        <w:t>15.2.1.2</w:t>
      </w:r>
      <w:r>
        <w:fldChar w:fldCharType="end"/>
      </w:r>
      <w:r>
        <w:t>) in the TEI header</w:t>
      </w:r>
    </w:p>
    <w:p>
      <w:pPr>
        <w:pStyle w:val="Lista"/>
      </w:pPr>
      <w:r>
        <w:t xml:space="preserve">if you wish to segment one of the above elements into several paragraphs, keep in mind that the </w:t>
      </w:r>
      <w:r>
        <w:rPr>
          <w:rStyle w:val="Code"/>
        </w:rPr>
        <w:t>&lt;p&gt;</w:t>
      </w:r>
      <w:r>
        <w:t xml:space="preserve"> elements must tessellate</w:t>
      </w:r>
    </w:p>
    <w:p>
      <w:pPr>
        <w:pStyle w:val="Lista2"/>
      </w:pPr>
      <w:r>
        <w:t xml:space="preserve">thus, if a </w:t>
      </w:r>
      <w:r>
        <w:rPr>
          <w:rStyle w:val="Code"/>
        </w:rPr>
        <w:t>&lt;p&gt;</w:t>
      </w:r>
      <w:r>
        <w:t xml:space="preserve"> element is present within one of these containers, then all the content of the note or hand note must be wrapped within one </w:t>
      </w:r>
      <w:r>
        <w:rPr>
          <w:rStyle w:val="Code"/>
        </w:rPr>
        <w:t>&lt;p&gt;</w:t>
      </w:r>
      <w:r>
        <w:t xml:space="preserve"> element or another</w:t>
      </w:r>
    </w:p>
    <w:p>
      <w:pPr>
        <w:pStyle w:val="Cmsor3"/>
      </w:pPr>
      <w:bookmarkStart w:id="882" w:name="_Toc242976717"/>
      <w:r>
        <w:lastRenderedPageBreak/>
        <w:t>Verse containers</w:t>
      </w:r>
      <w:bookmarkEnd w:id="882"/>
    </w:p>
    <w:p>
      <w:pPr>
        <w:pStyle w:val="Cmsor4"/>
      </w:pPr>
      <w:bookmarkStart w:id="883" w:name="_Ref233793993"/>
      <w:r>
        <w:t>Stanza containers</w:t>
      </w:r>
      <w:bookmarkEnd w:id="883"/>
    </w:p>
    <w:p>
      <w:pPr>
        <w:pStyle w:val="Lista"/>
      </w:pPr>
      <w:r>
        <w:t xml:space="preserve">outside the edition, the use of the stanza container </w:t>
      </w:r>
      <w:r>
        <w:rPr>
          <w:rStyle w:val="Code"/>
        </w:rPr>
        <w:t>&lt;lg&gt;</w:t>
      </w:r>
      <w:r>
        <w:t xml:space="preserve"> is only permitted in a block quote (§</w:t>
      </w:r>
      <w:r>
        <w:fldChar w:fldCharType="begin"/>
      </w:r>
      <w:r>
        <w:instrText xml:space="preserve"> REF _Ref233793283 \r \h </w:instrText>
      </w:r>
      <w:r>
        <w:fldChar w:fldCharType="separate"/>
      </w:r>
      <w:r>
        <w:t>14.3.3</w:t>
      </w:r>
      <w:r>
        <w:fldChar w:fldCharType="end"/>
      </w:r>
      <w:r>
        <w:t xml:space="preserve">), intended for the citation of verse from primary sources as illustrated in </w:t>
      </w:r>
      <w:r>
        <w:fldChar w:fldCharType="begin"/>
      </w:r>
      <w:r>
        <w:instrText xml:space="preserve"> REF _Ref233795218 \h </w:instrText>
      </w:r>
      <w:r>
        <w:fldChar w:fldCharType="separate"/>
      </w:r>
      <w:r>
        <w:t xml:space="preserve">Exhibit </w:t>
      </w:r>
      <w:r>
        <w:rPr>
          <w:noProof/>
        </w:rPr>
        <w:t>14.3</w:t>
      </w:r>
      <w:r>
        <w:t>.</w:t>
      </w:r>
      <w:r>
        <w:rPr>
          <w:noProof/>
        </w:rPr>
        <w:t>A</w:t>
      </w:r>
      <w:r>
        <w:fldChar w:fldCharType="end"/>
      </w:r>
    </w:p>
    <w:p>
      <w:pPr>
        <w:pStyle w:val="Lista2"/>
      </w:pPr>
      <w:r>
        <w:t xml:space="preserve">when using </w:t>
      </w:r>
      <w:r>
        <w:rPr>
          <w:rStyle w:val="Code"/>
        </w:rPr>
        <w:t>&lt;lg&gt;</w:t>
      </w:r>
      <w:r>
        <w:t xml:space="preserve"> in this manner, add the attribute </w:t>
      </w:r>
      <w:r>
        <w:rPr>
          <w:rStyle w:val="Codeattribute"/>
        </w:rPr>
        <w:t>@xml:lang</w:t>
      </w:r>
      <w:r>
        <w:t xml:space="preserve"> to encode the language of the stanza as per §</w:t>
      </w:r>
      <w:r>
        <w:fldChar w:fldCharType="begin"/>
      </w:r>
      <w:r>
        <w:instrText xml:space="preserve"> REF _Ref43986658 \r \h </w:instrText>
      </w:r>
      <w:r>
        <w:fldChar w:fldCharType="separate"/>
      </w:r>
      <w:r>
        <w:t>14.4.2</w:t>
      </w:r>
      <w:r>
        <w:fldChar w:fldCharType="end"/>
      </w:r>
    </w:p>
    <w:p>
      <w:pPr>
        <w:pStyle w:val="Lista2"/>
      </w:pPr>
      <w:r>
        <w:t>unlike stanzas in the edition, no further attributes are required in this case</w:t>
      </w:r>
    </w:p>
    <w:p>
      <w:pPr>
        <w:pStyle w:val="Lista"/>
      </w:pPr>
      <w:r>
        <w:t xml:space="preserve">to apply verse formatting to text in a modern language, such as a translated stanza, use a </w:t>
      </w:r>
      <w:r>
        <w:rPr>
          <w:rStyle w:val="Code"/>
        </w:rPr>
        <w:t>&lt;p&gt;</w:t>
      </w:r>
      <w:r>
        <w:t xml:space="preserve"> element with the attribute </w:t>
      </w:r>
      <w:r>
        <w:rPr>
          <w:rStyle w:val="Codeattribute"/>
        </w:rPr>
        <w:t>@rend=</w:t>
      </w:r>
      <w:r>
        <w:rPr>
          <w:rStyle w:val="Codevalue"/>
        </w:rPr>
        <w:t>"stanza"</w:t>
      </w:r>
    </w:p>
    <w:p>
      <w:pPr>
        <w:pStyle w:val="Lista2"/>
      </w:pPr>
      <w:r>
        <w:t xml:space="preserve">this is possible wherever </w:t>
      </w:r>
      <w:r>
        <w:rPr>
          <w:rStyle w:val="Code"/>
        </w:rPr>
        <w:t>&lt;p&gt;</w:t>
      </w:r>
      <w:r>
        <w:t xml:space="preserve"> elements are permitted outside the edition (§</w:t>
      </w:r>
      <w:r>
        <w:fldChar w:fldCharType="begin"/>
      </w:r>
      <w:r>
        <w:instrText xml:space="preserve"> REF _Ref233793815 \r \h </w:instrText>
      </w:r>
      <w:r>
        <w:fldChar w:fldCharType="separate"/>
      </w:r>
      <w:r>
        <w:t>14.3.1</w:t>
      </w:r>
      <w:r>
        <w:fldChar w:fldCharType="end"/>
      </w:r>
      <w:r>
        <w:t xml:space="preserve">) </w:t>
      </w:r>
    </w:p>
    <w:p>
      <w:pPr>
        <w:pStyle w:val="Cmsor4"/>
      </w:pPr>
      <w:bookmarkStart w:id="884" w:name="_Ref233988137"/>
      <w:r>
        <w:t>Verse lines</w:t>
      </w:r>
      <w:bookmarkEnd w:id="884"/>
    </w:p>
    <w:p>
      <w:pPr>
        <w:pStyle w:val="Lista"/>
      </w:pPr>
      <w:r>
        <w:t xml:space="preserve">outside the edition, verse lines encoded with the </w:t>
      </w:r>
      <w:r>
        <w:rPr>
          <w:rStyle w:val="Code"/>
        </w:rPr>
        <w:t>&lt;l&gt;</w:t>
      </w:r>
      <w:r>
        <w:t xml:space="preserve"> element must be within an applicable container (§</w:t>
      </w:r>
      <w:r>
        <w:fldChar w:fldCharType="begin"/>
      </w:r>
      <w:r>
        <w:instrText xml:space="preserve"> REF _Ref233793993 \r \h </w:instrText>
      </w:r>
      <w:r>
        <w:fldChar w:fldCharType="separate"/>
      </w:r>
      <w:r>
        <w:t>14.3.2.1</w:t>
      </w:r>
      <w:r>
        <w:fldChar w:fldCharType="end"/>
      </w:r>
      <w:r>
        <w:t>) and can and must be encoded when you use a stanza container</w:t>
      </w:r>
    </w:p>
    <w:p>
      <w:pPr>
        <w:pStyle w:val="Lista"/>
      </w:pPr>
      <w:r>
        <w:t xml:space="preserve">within the stanza container, </w:t>
      </w:r>
      <w:r>
        <w:rPr>
          <w:rStyle w:val="Code"/>
        </w:rPr>
        <w:t>&lt;l&gt;</w:t>
      </w:r>
      <w:r>
        <w:t xml:space="preserve"> elements must tessellate, i.e. the container must not contain text outside an </w:t>
      </w:r>
      <w:r>
        <w:rPr>
          <w:rStyle w:val="Code"/>
        </w:rPr>
        <w:t>&lt;l&gt;</w:t>
      </w:r>
      <w:r>
        <w:t xml:space="preserve"> element</w:t>
      </w:r>
    </w:p>
    <w:p>
      <w:pPr>
        <w:pStyle w:val="Lista"/>
      </w:pPr>
      <w:r>
        <w:t xml:space="preserve">no attributes are required on </w:t>
      </w:r>
      <w:r>
        <w:rPr>
          <w:rStyle w:val="Code"/>
        </w:rPr>
        <w:t>&lt;l&gt;</w:t>
      </w:r>
      <w:r>
        <w:t xml:space="preserve"> elements when used in this manner</w:t>
      </w:r>
    </w:p>
    <w:p>
      <w:pPr>
        <w:pStyle w:val="Cmsor3"/>
      </w:pPr>
      <w:bookmarkStart w:id="885" w:name="_Ref233793283"/>
      <w:bookmarkStart w:id="886" w:name="_Ref233279232"/>
      <w:bookmarkStart w:id="887" w:name="_Toc242976718"/>
      <w:bookmarkEnd w:id="876"/>
      <w:r>
        <w:t>Block quotes</w:t>
      </w:r>
      <w:bookmarkEnd w:id="885"/>
      <w:bookmarkEnd w:id="887"/>
    </w:p>
    <w:p>
      <w:pPr>
        <w:rPr>
          <w:lang w:eastAsia="en-US" w:bidi="ar-SA"/>
        </w:rPr>
      </w:pPr>
      <w:r>
        <w:rPr>
          <w:lang w:eastAsia="en-US" w:bidi="ar-SA"/>
        </w:rPr>
        <w:t xml:space="preserve">As and when necessary, block quotes </w:t>
      </w:r>
      <w:r>
        <w:t xml:space="preserve">may be created at any point where a </w:t>
      </w:r>
      <w:r>
        <w:rPr>
          <w:rStyle w:val="Code"/>
        </w:rPr>
        <w:t>&lt;p&gt;</w:t>
      </w:r>
      <w:r>
        <w:t xml:space="preserve"> element is permitted outside the edition (§</w:t>
      </w:r>
      <w:r>
        <w:fldChar w:fldCharType="begin"/>
      </w:r>
      <w:r>
        <w:instrText xml:space="preserve"> REF _Ref233793815 \r \h </w:instrText>
      </w:r>
      <w:r>
        <w:fldChar w:fldCharType="separate"/>
      </w:r>
      <w:r>
        <w:t>14.3.1</w:t>
      </w:r>
      <w:r>
        <w:fldChar w:fldCharType="end"/>
      </w:r>
      <w:r>
        <w:t xml:space="preserve">). To do so, use the following encoding as illustrated in </w:t>
      </w:r>
      <w:r>
        <w:fldChar w:fldCharType="begin"/>
      </w:r>
      <w:r>
        <w:instrText xml:space="preserve"> REF _Ref233795218 \h </w:instrText>
      </w:r>
      <w:r>
        <w:fldChar w:fldCharType="separate"/>
      </w:r>
      <w:r>
        <w:t xml:space="preserve">Exhibit </w:t>
      </w:r>
      <w:r>
        <w:rPr>
          <w:noProof/>
        </w:rPr>
        <w:t>14.3</w:t>
      </w:r>
      <w:r>
        <w:t>.</w:t>
      </w:r>
      <w:r>
        <w:rPr>
          <w:noProof/>
        </w:rPr>
        <w:t>A</w:t>
      </w:r>
      <w:r>
        <w:fldChar w:fldCharType="end"/>
      </w:r>
      <w:r>
        <w:t>.</w:t>
      </w:r>
    </w:p>
    <w:p>
      <w:pPr>
        <w:pStyle w:val="Lista"/>
      </w:pPr>
      <w:r>
        <w:t xml:space="preserve">within a pre-existing </w:t>
      </w:r>
      <w:r>
        <w:rPr>
          <w:rStyle w:val="Code"/>
        </w:rPr>
        <w:t>&lt;p&gt;</w:t>
      </w:r>
      <w:r>
        <w:t xml:space="preserve"> or </w:t>
      </w:r>
      <w:r>
        <w:rPr>
          <w:rStyle w:val="Code"/>
        </w:rPr>
        <w:t>&lt;note&gt;</w:t>
      </w:r>
      <w:r>
        <w:t xml:space="preserve"> element, encode a quote, using</w:t>
      </w:r>
    </w:p>
    <w:p>
      <w:pPr>
        <w:pStyle w:val="Lista2"/>
      </w:pPr>
      <w:r>
        <w:t xml:space="preserve">either </w:t>
      </w:r>
      <w:r>
        <w:rPr>
          <w:rStyle w:val="Code"/>
        </w:rPr>
        <w:t>&lt;q&gt;</w:t>
      </w:r>
      <w:r>
        <w:t xml:space="preserve"> for generic quoted text (§</w:t>
      </w:r>
      <w:r>
        <w:fldChar w:fldCharType="begin"/>
      </w:r>
      <w:r>
        <w:instrText xml:space="preserve"> REF _Ref233880809 \r \h </w:instrText>
      </w:r>
      <w:r>
        <w:fldChar w:fldCharType="separate"/>
      </w:r>
      <w:r>
        <w:t>14.6.3.1</w:t>
      </w:r>
      <w:r>
        <w:fldChar w:fldCharType="end"/>
      </w:r>
      <w:r>
        <w:t>)</w:t>
      </w:r>
    </w:p>
    <w:p>
      <w:pPr>
        <w:pStyle w:val="Lista2"/>
      </w:pPr>
      <w:r>
        <w:t xml:space="preserve">or </w:t>
      </w:r>
      <w:r>
        <w:rPr>
          <w:rStyle w:val="Code"/>
        </w:rPr>
        <w:t>&lt;quote&gt;</w:t>
      </w:r>
      <w:r>
        <w:t xml:space="preserve"> wrapped in </w:t>
      </w:r>
      <w:r>
        <w:rPr>
          <w:rStyle w:val="Code"/>
        </w:rPr>
        <w:t>&lt;cit&gt;</w:t>
      </w:r>
      <w:r>
        <w:t xml:space="preserve"> for a quotation attributed to a source (§</w:t>
      </w:r>
      <w:r>
        <w:fldChar w:fldCharType="begin"/>
      </w:r>
      <w:r>
        <w:instrText xml:space="preserve"> REF _Ref233880854 \r \h </w:instrText>
      </w:r>
      <w:r>
        <w:fldChar w:fldCharType="separate"/>
      </w:r>
      <w:r>
        <w:t>14.6.3.2</w:t>
      </w:r>
      <w:r>
        <w:fldChar w:fldCharType="end"/>
      </w:r>
      <w:r>
        <w:t>)</w:t>
      </w:r>
    </w:p>
    <w:p>
      <w:pPr>
        <w:pStyle w:val="Lista"/>
      </w:pPr>
      <w:r>
        <w:t xml:space="preserve">add the attribute </w:t>
      </w:r>
      <w:r>
        <w:rPr>
          <w:rStyle w:val="Codeattribute"/>
        </w:rPr>
        <w:t>@rend</w:t>
      </w:r>
      <w:r>
        <w:rPr>
          <w:rStyle w:val="Codetext"/>
        </w:rPr>
        <w:t>=</w:t>
      </w:r>
      <w:r>
        <w:rPr>
          <w:rStyle w:val="Codevalue"/>
        </w:rPr>
        <w:t>"block"</w:t>
      </w:r>
      <w:r>
        <w:t xml:space="preserve"> to the </w:t>
      </w:r>
      <w:r>
        <w:rPr>
          <w:rStyle w:val="Code"/>
        </w:rPr>
        <w:t>&lt;q&gt;</w:t>
      </w:r>
      <w:r>
        <w:t xml:space="preserve"> or </w:t>
      </w:r>
      <w:r>
        <w:rPr>
          <w:rStyle w:val="Code"/>
        </w:rPr>
        <w:t>&lt;quote&gt;</w:t>
      </w:r>
      <w:r>
        <w:t xml:space="preserve"> element</w:t>
      </w:r>
    </w:p>
    <w:p>
      <w:pPr>
        <w:pStyle w:val="Lista"/>
      </w:pPr>
      <w:r>
        <w:t>the parent element may contain additional text before as well as after the block quote</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888" w:name="_Ref233795218"/>
            <w:bookmarkStart w:id="889" w:name="_Ref233795217"/>
            <w:r>
              <w:t xml:space="preserve">Exhibit </w:t>
            </w:r>
            <w:fldSimple w:instr=" STYLEREF 2 \s ">
              <w:r>
                <w:rPr>
                  <w:noProof/>
                </w:rPr>
                <w:t>14.3</w:t>
              </w:r>
            </w:fldSimple>
            <w:r>
              <w:t>.</w:t>
            </w:r>
            <w:fldSimple w:instr=" SEQ Exhibit \* ALPHABETIC \s 2 ">
              <w:r>
                <w:rPr>
                  <w:noProof/>
                </w:rPr>
                <w:t>A</w:t>
              </w:r>
            </w:fldSimple>
            <w:bookmarkEnd w:id="888"/>
            <w:r>
              <w:t>: block quote with stanza quotation</w:t>
            </w:r>
            <w:bookmarkEnd w:id="889"/>
          </w:p>
        </w:tc>
      </w:tr>
      <w:tr>
        <w:tc>
          <w:tcPr>
            <w:tcW w:w="5000" w:type="pct"/>
          </w:tcPr>
          <w:p>
            <w:pPr>
              <w:pStyle w:val="CodeParagraph"/>
              <w:keepNext/>
              <w:rPr>
                <w:rStyle w:val="Codetext"/>
              </w:rPr>
            </w:pPr>
            <w:r>
              <w:rPr>
                <w:rStyle w:val="Code"/>
              </w:rPr>
              <w:t>&lt;p&gt;</w:t>
            </w:r>
            <w:r>
              <w:rPr>
                <w:rStyle w:val="Codetext"/>
              </w:rPr>
              <w:t>In further support ... crucial elements that we also see in ours:</w:t>
            </w:r>
          </w:p>
          <w:p>
            <w:pPr>
              <w:pStyle w:val="CodeParagraph"/>
              <w:keepNext/>
              <w:rPr>
                <w:rStyle w:val="Code"/>
              </w:rPr>
            </w:pPr>
            <w:r>
              <w:rPr>
                <w:rStyle w:val="Code"/>
              </w:rPr>
              <w:t xml:space="preserve">  &lt;q </w:t>
            </w:r>
            <w:r>
              <w:rPr>
                <w:rStyle w:val="Codeattribute"/>
              </w:rPr>
              <w:t>rend=</w:t>
            </w:r>
            <w:r>
              <w:rPr>
                <w:rStyle w:val="Codevalue"/>
              </w:rPr>
              <w:t>"block"</w:t>
            </w:r>
            <w:r>
              <w:rPr>
                <w:rStyle w:val="Code"/>
              </w:rPr>
              <w:t>&gt;</w:t>
            </w:r>
          </w:p>
          <w:p>
            <w:pPr>
              <w:pStyle w:val="CodeParagraph"/>
              <w:keepNext/>
              <w:rPr>
                <w:rStyle w:val="Code"/>
              </w:rPr>
            </w:pPr>
            <w:r>
              <w:rPr>
                <w:rStyle w:val="Code"/>
              </w:rPr>
              <w:t xml:space="preserve">    &lt;lg </w:t>
            </w:r>
            <w:r>
              <w:rPr>
                <w:rStyle w:val="Codeattribute"/>
              </w:rPr>
              <w:t>xml:lang=</w:t>
            </w:r>
            <w:r>
              <w:rPr>
                <w:rStyle w:val="Codevalue"/>
              </w:rPr>
              <w:t>"san-Latn"</w:t>
            </w:r>
            <w:r>
              <w:rPr>
                <w:rStyle w:val="Code"/>
              </w:rPr>
              <w:t>&gt;</w:t>
            </w:r>
          </w:p>
          <w:p>
            <w:pPr>
              <w:pStyle w:val="CodeParagraph"/>
              <w:keepNext/>
              <w:rPr>
                <w:rStyle w:val="Code"/>
              </w:rPr>
            </w:pPr>
            <w:r>
              <w:rPr>
                <w:rStyle w:val="Code"/>
              </w:rPr>
              <w:t xml:space="preserve">      &lt;l&gt;</w:t>
            </w:r>
            <w:r>
              <w:rPr>
                <w:rStyle w:val="Codetext"/>
              </w:rPr>
              <w:t>āsādya śaktiṁ vivudhopanītāṁ māheśvarīṁ jñānamayīm amoghām</w:t>
            </w:r>
            <w:r>
              <w:rPr>
                <w:rStyle w:val="Code"/>
              </w:rPr>
              <w:t>&lt;/l&gt;</w:t>
            </w:r>
          </w:p>
          <w:p>
            <w:pPr>
              <w:pStyle w:val="CodeParagraph"/>
              <w:keepNext/>
              <w:rPr>
                <w:rStyle w:val="Code"/>
              </w:rPr>
            </w:pPr>
            <w:r>
              <w:rPr>
                <w:rStyle w:val="Code"/>
              </w:rPr>
              <w:t xml:space="preserve">      &lt;l&gt;</w:t>
            </w:r>
            <w:r>
              <w:rPr>
                <w:rStyle w:val="Codetext"/>
              </w:rPr>
              <w:t xml:space="preserve">kumārabhāve vijitārivarggo yo dīpayām āsa mahendralakṣmīm || </w:t>
            </w:r>
            <w:r>
              <w:rPr>
                <w:rStyle w:val="Code"/>
              </w:rPr>
              <w:t>&lt;/l&gt;</w:t>
            </w:r>
          </w:p>
          <w:p>
            <w:pPr>
              <w:pStyle w:val="CodeParagraph"/>
              <w:keepNext/>
              <w:rPr>
                <w:rStyle w:val="Code"/>
              </w:rPr>
            </w:pPr>
            <w:r>
              <w:rPr>
                <w:rStyle w:val="Code"/>
              </w:rPr>
              <w:t xml:space="preserve">    &lt;/lg&gt;</w:t>
            </w:r>
          </w:p>
          <w:p>
            <w:pPr>
              <w:pStyle w:val="CodeParagraph"/>
              <w:keepNext/>
              <w:rPr>
                <w:rStyle w:val="Codetext"/>
              </w:rPr>
            </w:pPr>
            <w:r>
              <w:rPr>
                <w:rStyle w:val="Codetext"/>
              </w:rPr>
              <w:t xml:space="preserve">  After attaining the Power of Maheśvara...</w:t>
            </w:r>
          </w:p>
          <w:p>
            <w:pPr>
              <w:pStyle w:val="CodeParagraph"/>
              <w:keepNext/>
              <w:rPr>
                <w:rStyle w:val="Code"/>
              </w:rPr>
            </w:pPr>
            <w:r>
              <w:rPr>
                <w:rStyle w:val="Code"/>
              </w:rPr>
              <w:t xml:space="preserve">  &lt;/q&gt;</w:t>
            </w:r>
          </w:p>
          <w:p>
            <w:pPr>
              <w:pStyle w:val="CodeParagraph"/>
              <w:keepNext/>
              <w:rPr>
                <w:rStyle w:val="Code"/>
              </w:rPr>
            </w:pPr>
            <w:r>
              <w:rPr>
                <w:rStyle w:val="Codetext"/>
              </w:rPr>
              <w:t>Mahendra is both the name of King Rājendravarman's father, Mahendravarman...</w:t>
            </w:r>
            <w:r>
              <w:rPr>
                <w:rStyle w:val="Code"/>
              </w:rPr>
              <w:t>&lt;/p&gt;</w:t>
            </w:r>
          </w:p>
        </w:tc>
      </w:tr>
      <w:tr>
        <w:tc>
          <w:tcPr>
            <w:tcW w:w="5000" w:type="pct"/>
          </w:tcPr>
          <w:p>
            <w:pPr>
              <w:pStyle w:val="TableNote"/>
            </w:pPr>
            <w:r>
              <w:t>display:</w:t>
            </w:r>
          </w:p>
          <w:p>
            <w:pPr>
              <w:pStyle w:val="Tabletext"/>
            </w:pPr>
            <w:r>
              <w:t>In further support ... crucial elements that we also see in ours:</w:t>
            </w:r>
          </w:p>
          <w:p>
            <w:pPr>
              <w:pStyle w:val="Tabletext"/>
              <w:spacing w:before="120"/>
              <w:rPr>
                <w:rStyle w:val="ForeignIndic"/>
              </w:rPr>
            </w:pPr>
            <w:r>
              <w:rPr>
                <w:rStyle w:val="ForeignIndic"/>
              </w:rPr>
              <w:t xml:space="preserve">        āsādya śaktiṁ vivudhopanītāṁ māheśvarīṁ jñānamayīm amoghām</w:t>
            </w:r>
            <w:r>
              <w:rPr>
                <w:rStyle w:val="ForeignIndic"/>
              </w:rPr>
              <w:br/>
              <w:t xml:space="preserve">        kumārabhāve vijitārivarggo yo dīpayām āsa mahendralakṣmīm ||</w:t>
            </w:r>
          </w:p>
          <w:p>
            <w:pPr>
              <w:pStyle w:val="Tabletext"/>
              <w:spacing w:before="120"/>
            </w:pPr>
            <w:r>
              <w:t xml:space="preserve">    After attaining the Power of Maheśvara...</w:t>
            </w:r>
          </w:p>
          <w:p>
            <w:pPr>
              <w:pStyle w:val="Tabletext"/>
              <w:spacing w:before="120"/>
              <w:rPr>
                <w:rStyle w:val="ForeignIndic"/>
              </w:rPr>
            </w:pPr>
            <w:r>
              <w:rPr>
                <w:rStyle w:val="ForeignIndic"/>
              </w:rPr>
              <w:t>Mahendra is both the name of King Rājendravarman’s father, Mahendravarman</w:t>
            </w:r>
          </w:p>
        </w:tc>
      </w:tr>
    </w:tbl>
    <w:p/>
    <w:p>
      <w:pPr>
        <w:pStyle w:val="Cmsor3"/>
      </w:pPr>
      <w:bookmarkStart w:id="890" w:name="_Toc242976719"/>
      <w:r>
        <w:t>Lists</w:t>
      </w:r>
      <w:bookmarkEnd w:id="877"/>
      <w:bookmarkEnd w:id="886"/>
      <w:bookmarkEnd w:id="890"/>
    </w:p>
    <w:p>
      <w:r>
        <w:t xml:space="preserve">Should you need to format some text as a structured list, the following markup may be used at any point where a </w:t>
      </w:r>
      <w:r>
        <w:rPr>
          <w:rStyle w:val="Code"/>
        </w:rPr>
        <w:t>&lt;p&gt;</w:t>
      </w:r>
      <w:r>
        <w:t xml:space="preserve"> element is permitted outside the edition (§</w:t>
      </w:r>
      <w:r>
        <w:fldChar w:fldCharType="begin"/>
      </w:r>
      <w:r>
        <w:instrText xml:space="preserve"> REF _Ref233793815 \r \h </w:instrText>
      </w:r>
      <w:r>
        <w:fldChar w:fldCharType="separate"/>
      </w:r>
      <w:r>
        <w:t>14.3.1</w:t>
      </w:r>
      <w:r>
        <w:fldChar w:fldCharType="end"/>
      </w:r>
      <w:r>
        <w:t>), particularly in the commentary, translation or certain parts of the TEI header such as the hand description (§</w:t>
      </w:r>
      <w:r>
        <w:fldChar w:fldCharType="begin"/>
      </w:r>
      <w:r>
        <w:instrText xml:space="preserve"> REF _Ref43987455 \r \h </w:instrText>
      </w:r>
      <w:r>
        <w:fldChar w:fldCharType="separate"/>
      </w:r>
      <w:r>
        <w:t>15.2.1</w:t>
      </w:r>
      <w:r>
        <w:fldChar w:fldCharType="end"/>
      </w:r>
      <w:r>
        <w:t>). Special considerations for the use of lists in the edition division are given in §</w:t>
      </w:r>
      <w:r>
        <w:fldChar w:fldCharType="begin"/>
      </w:r>
      <w:r>
        <w:instrText xml:space="preserve"> REF _Ref168563127 \r \h </w:instrText>
      </w:r>
      <w:r>
        <w:fldChar w:fldCharType="separate"/>
      </w:r>
      <w:r>
        <w:t>3.2.1.3</w:t>
      </w:r>
      <w:r>
        <w:fldChar w:fldCharType="end"/>
      </w:r>
      <w:r>
        <w:t>.</w:t>
      </w:r>
    </w:p>
    <w:p>
      <w:pPr>
        <w:pStyle w:val="Lista"/>
      </w:pPr>
      <w:r>
        <w:lastRenderedPageBreak/>
        <w:t xml:space="preserve">to encode a list, create a </w:t>
      </w:r>
      <w:r>
        <w:rPr>
          <w:rStyle w:val="Code"/>
        </w:rPr>
        <w:t>&lt;list&gt;</w:t>
      </w:r>
      <w:r>
        <w:t xml:space="preserve"> element within an already existing </w:t>
      </w:r>
      <w:r>
        <w:rPr>
          <w:rStyle w:val="Code"/>
        </w:rPr>
        <w:t>&lt;p&gt;</w:t>
      </w:r>
      <w:r>
        <w:t xml:space="preserve"> element</w:t>
      </w:r>
    </w:p>
    <w:p>
      <w:pPr>
        <w:pStyle w:val="Lista2"/>
      </w:pPr>
      <w:r>
        <w:rPr>
          <w:rStyle w:val="Code"/>
        </w:rPr>
        <w:t>&lt;list&gt;</w:t>
      </w:r>
      <w:r>
        <w:t xml:space="preserve"> elements are not required to tessellate, so a </w:t>
      </w:r>
      <w:r>
        <w:rPr>
          <w:rStyle w:val="Code"/>
        </w:rPr>
        <w:t>&lt;p&gt;</w:t>
      </w:r>
      <w:r>
        <w:t xml:space="preserve"> element may contain text alongside (i.e. before and/or after) a list</w:t>
      </w:r>
    </w:p>
    <w:p>
      <w:pPr>
        <w:pStyle w:val="Lista"/>
      </w:pPr>
      <w:r>
        <w:t xml:space="preserve">within </w:t>
      </w:r>
      <w:r>
        <w:rPr>
          <w:rStyle w:val="Code"/>
        </w:rPr>
        <w:t>&lt;list&gt;</w:t>
      </w:r>
      <w:r>
        <w:t xml:space="preserve">, create an </w:t>
      </w:r>
      <w:r>
        <w:rPr>
          <w:rStyle w:val="Code"/>
        </w:rPr>
        <w:t>&lt;item&gt;</w:t>
      </w:r>
      <w:r>
        <w:t xml:space="preserve"> element as a container for each list item</w:t>
      </w:r>
    </w:p>
    <w:p>
      <w:pPr>
        <w:pStyle w:val="Lista2"/>
      </w:pPr>
      <w:r>
        <w:rPr>
          <w:rStyle w:val="Code"/>
        </w:rPr>
        <w:t>&lt;item&gt;</w:t>
      </w:r>
      <w:r>
        <w:t xml:space="preserve"> elements are required to tessellate, so a </w:t>
      </w:r>
      <w:r>
        <w:rPr>
          <w:rStyle w:val="Code"/>
        </w:rPr>
        <w:t>&lt;list&gt;</w:t>
      </w:r>
      <w:r>
        <w:t xml:space="preserve"> cannot contain anything outside an </w:t>
      </w:r>
      <w:r>
        <w:rPr>
          <w:rStyle w:val="Code"/>
        </w:rPr>
        <w:t>&lt;item&gt;</w:t>
      </w:r>
      <w:r>
        <w:t xml:space="preserve"> except for paired lists (§</w:t>
      </w:r>
      <w:r>
        <w:fldChar w:fldCharType="begin"/>
      </w:r>
      <w:r>
        <w:instrText xml:space="preserve"> REF _Ref233645526 \r \h </w:instrText>
      </w:r>
      <w:r>
        <w:fldChar w:fldCharType="separate"/>
      </w:r>
      <w:r>
        <w:t>14.3.4.1</w:t>
      </w:r>
      <w:r>
        <w:fldChar w:fldCharType="end"/>
      </w:r>
      <w:r>
        <w:t>)</w:t>
      </w:r>
    </w:p>
    <w:p>
      <w:pPr>
        <w:pStyle w:val="Lista"/>
      </w:pPr>
      <w:r>
        <w:t xml:space="preserve">the formatting of the list may be specified by adding the attribute </w:t>
      </w:r>
      <w:r>
        <w:rPr>
          <w:rStyle w:val="Codeattribute"/>
        </w:rPr>
        <w:t>@rend</w:t>
      </w:r>
      <w:r>
        <w:t xml:space="preserve"> to the </w:t>
      </w:r>
      <w:r>
        <w:rPr>
          <w:rStyle w:val="Code"/>
        </w:rPr>
        <w:t>&lt;list&gt;</w:t>
      </w:r>
      <w:r>
        <w:t xml:space="preserve"> element, with one of the following values</w:t>
      </w:r>
    </w:p>
    <w:p>
      <w:pPr>
        <w:pStyle w:val="Lista2"/>
      </w:pPr>
      <w:r>
        <w:rPr>
          <w:rStyle w:val="Codevalue"/>
        </w:rPr>
        <w:t>"plain"</w:t>
      </w:r>
      <w:r>
        <w:t xml:space="preserve"> for a plain list</w:t>
      </w:r>
    </w:p>
    <w:p>
      <w:pPr>
        <w:pStyle w:val="Lista3"/>
      </w:pPr>
      <w:r>
        <w:t xml:space="preserve">this is the default value, so using </w:t>
      </w:r>
      <w:r>
        <w:rPr>
          <w:rStyle w:val="Code"/>
        </w:rPr>
        <w:t>&lt;list&gt;</w:t>
      </w:r>
      <w:r>
        <w:t xml:space="preserve"> without </w:t>
      </w:r>
      <w:r>
        <w:rPr>
          <w:rStyle w:val="Codeattribute"/>
        </w:rPr>
        <w:t>@rend</w:t>
      </w:r>
      <w:r>
        <w:t xml:space="preserve"> will produce a plain list and </w:t>
      </w:r>
      <w:r>
        <w:rPr>
          <w:rStyle w:val="Codeattribute"/>
        </w:rPr>
        <w:t>@rend=</w:t>
      </w:r>
      <w:r>
        <w:rPr>
          <w:rStyle w:val="Codevalue"/>
        </w:rPr>
        <w:t>"plain"</w:t>
      </w:r>
      <w:r>
        <w:t xml:space="preserve"> need not be explicitly encoded</w:t>
      </w:r>
    </w:p>
    <w:p>
      <w:pPr>
        <w:pStyle w:val="Lista2"/>
      </w:pPr>
      <w:r>
        <w:rPr>
          <w:rStyle w:val="Codevalue"/>
        </w:rPr>
        <w:t>"bulleted"</w:t>
      </w:r>
      <w:r>
        <w:t xml:space="preserve"> to create a bulleted list (illustrated in the nested list in </w:t>
      </w:r>
      <w:r>
        <w:rPr>
          <w:lang w:eastAsia="en-US" w:bidi="ar-SA"/>
        </w:rPr>
        <w:fldChar w:fldCharType="begin"/>
      </w:r>
      <w:r>
        <w:rPr>
          <w:lang w:eastAsia="en-US" w:bidi="ar-SA"/>
        </w:rPr>
        <w:instrText xml:space="preserve"> REF _Ref233646064 \h </w:instrText>
      </w:r>
      <w:r>
        <w:rPr>
          <w:lang w:eastAsia="en-US" w:bidi="ar-SA"/>
        </w:rPr>
      </w:r>
      <w:r>
        <w:rPr>
          <w:lang w:eastAsia="en-US" w:bidi="ar-SA"/>
        </w:rPr>
        <w:fldChar w:fldCharType="separate"/>
      </w:r>
      <w:r>
        <w:t xml:space="preserve">Exhibit </w:t>
      </w:r>
      <w:r>
        <w:rPr>
          <w:noProof/>
        </w:rPr>
        <w:t>14.3</w:t>
      </w:r>
      <w:r>
        <w:t>.</w:t>
      </w:r>
      <w:r>
        <w:rPr>
          <w:noProof/>
        </w:rPr>
        <w:t>C</w:t>
      </w:r>
      <w:r>
        <w:rPr>
          <w:lang w:eastAsia="en-US" w:bidi="ar-SA"/>
        </w:rPr>
        <w:fldChar w:fldCharType="end"/>
      </w:r>
      <w:r>
        <w:rPr>
          <w:lang w:eastAsia="en-US" w:bidi="ar-SA"/>
        </w:rPr>
        <w:t>)</w:t>
      </w:r>
    </w:p>
    <w:p>
      <w:pPr>
        <w:pStyle w:val="Lista2"/>
      </w:pPr>
      <w:r>
        <w:rPr>
          <w:rStyle w:val="Codevalue"/>
        </w:rPr>
        <w:t>"numbered"</w:t>
      </w:r>
      <w:r>
        <w:t xml:space="preserve"> to create an auto-numbered list</w:t>
      </w:r>
    </w:p>
    <w:p>
      <w:pPr>
        <w:pStyle w:val="Cmsor4"/>
      </w:pPr>
      <w:bookmarkStart w:id="891" w:name="_Ref233645526"/>
      <w:r>
        <w:t>Paired lists</w:t>
      </w:r>
      <w:bookmarkEnd w:id="891"/>
    </w:p>
    <w:p>
      <w:pPr>
        <w:rPr>
          <w:lang w:eastAsia="en-US" w:bidi="ar-SA"/>
        </w:rPr>
      </w:pPr>
      <w:r>
        <w:rPr>
          <w:lang w:eastAsia="en-US" w:bidi="ar-SA"/>
        </w:rPr>
        <w:t xml:space="preserve">If and only if you deem this degree of complexity essential for presenting a translation or commentary clearly, lists may be set up so that headwords (such as names, terms or entries) are paired with extensions (such as roles, shares, definitions or descriptions). Such lists shall be encoded as described below and illustrated in </w:t>
      </w:r>
      <w:r>
        <w:rPr>
          <w:lang w:eastAsia="en-US" w:bidi="ar-SA"/>
        </w:rPr>
        <w:fldChar w:fldCharType="begin"/>
      </w:r>
      <w:r>
        <w:rPr>
          <w:lang w:eastAsia="en-US" w:bidi="ar-SA"/>
        </w:rPr>
        <w:instrText xml:space="preserve"> REF _Ref233646042 \h </w:instrText>
      </w:r>
      <w:r>
        <w:rPr>
          <w:lang w:eastAsia="en-US" w:bidi="ar-SA"/>
        </w:rPr>
      </w:r>
      <w:r>
        <w:rPr>
          <w:lang w:eastAsia="en-US" w:bidi="ar-SA"/>
        </w:rPr>
        <w:fldChar w:fldCharType="separate"/>
      </w:r>
      <w:r>
        <w:t xml:space="preserve">Exhibit </w:t>
      </w:r>
      <w:r>
        <w:rPr>
          <w:noProof/>
        </w:rPr>
        <w:t>14.3</w:t>
      </w:r>
      <w:r>
        <w:t>.</w:t>
      </w:r>
      <w:r>
        <w:rPr>
          <w:noProof/>
        </w:rPr>
        <w:t>B</w:t>
      </w:r>
      <w:r>
        <w:rPr>
          <w:lang w:eastAsia="en-US" w:bidi="ar-SA"/>
        </w:rPr>
        <w:fldChar w:fldCharType="end"/>
      </w:r>
      <w:r>
        <w:rPr>
          <w:lang w:eastAsia="en-US" w:bidi="ar-SA"/>
        </w:rPr>
        <w:t>.</w:t>
      </w:r>
    </w:p>
    <w:p>
      <w:pPr>
        <w:pStyle w:val="Lista"/>
      </w:pPr>
      <w:r>
        <w:t xml:space="preserve">use the </w:t>
      </w:r>
      <w:r>
        <w:rPr>
          <w:rStyle w:val="Code"/>
        </w:rPr>
        <w:t>&lt;list&gt;</w:t>
      </w:r>
      <w:r>
        <w:t xml:space="preserve"> element with the attribute </w:t>
      </w:r>
      <w:r>
        <w:rPr>
          <w:rStyle w:val="Codeattribute"/>
        </w:rPr>
        <w:t>@rend=</w:t>
      </w:r>
      <w:r>
        <w:rPr>
          <w:rStyle w:val="Codevalue"/>
        </w:rPr>
        <w:t>"paired"</w:t>
      </w:r>
      <w:r>
        <w:t xml:space="preserve"> </w:t>
      </w:r>
    </w:p>
    <w:p>
      <w:pPr>
        <w:pStyle w:val="Lista"/>
      </w:pPr>
      <w:r>
        <w:t xml:space="preserve">wrap each headword in the element </w:t>
      </w:r>
      <w:r>
        <w:rPr>
          <w:rStyle w:val="Code"/>
        </w:rPr>
        <w:t>&lt;label&gt;</w:t>
      </w:r>
      <w:r>
        <w:t xml:space="preserve"> </w:t>
      </w:r>
    </w:p>
    <w:p>
      <w:pPr>
        <w:pStyle w:val="Lista"/>
        <w:rPr>
          <w:rStyle w:val="Code"/>
          <w:rFonts w:ascii="Gentium" w:hAnsi="Gentium" w:cs="Tiro Devanagari Sanskrit"/>
          <w:noProof w:val="0"/>
          <w:color w:val="auto"/>
          <w:shd w:val="clear" w:color="auto" w:fill="auto"/>
        </w:rPr>
      </w:pPr>
      <w:r>
        <w:t xml:space="preserve">wrap each extension in the element </w:t>
      </w:r>
      <w:r>
        <w:rPr>
          <w:rStyle w:val="Code"/>
        </w:rPr>
        <w:t>&lt;item&gt;</w:t>
      </w:r>
    </w:p>
    <w:p>
      <w:pPr>
        <w:pStyle w:val="Lista"/>
      </w:pPr>
      <w:r>
        <w:t xml:space="preserve">unlike other lists, </w:t>
      </w:r>
      <w:r>
        <w:rPr>
          <w:rStyle w:val="Code"/>
        </w:rPr>
        <w:t>&lt;label&gt;</w:t>
      </w:r>
      <w:r>
        <w:t xml:space="preserve"> and </w:t>
      </w:r>
      <w:r>
        <w:rPr>
          <w:rStyle w:val="Code"/>
        </w:rPr>
        <w:t>&lt;item&gt;</w:t>
      </w:r>
      <w:r>
        <w:t xml:space="preserve"> elements alternate in this case</w:t>
      </w:r>
    </w:p>
    <w:p>
      <w:pPr>
        <w:pStyle w:val="Lista"/>
      </w:pPr>
      <w:r>
        <w:t xml:space="preserve">all text within the </w:t>
      </w:r>
      <w:r>
        <w:rPr>
          <w:rStyle w:val="Code"/>
        </w:rPr>
        <w:t>&lt;list&gt;</w:t>
      </w:r>
      <w:r>
        <w:t xml:space="preserve"> element must be contained either within </w:t>
      </w:r>
      <w:r>
        <w:rPr>
          <w:rStyle w:val="Code"/>
        </w:rPr>
        <w:t>&lt;label&gt;</w:t>
      </w:r>
      <w:r>
        <w:t xml:space="preserve"> or within </w:t>
      </w:r>
      <w:r>
        <w:rPr>
          <w:rStyle w:val="Code"/>
        </w:rPr>
        <w:t>&lt;item&gt;</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892" w:name="_Ref233646042"/>
            <w:r>
              <w:t xml:space="preserve">Exhibit </w:t>
            </w:r>
            <w:fldSimple w:instr=" STYLEREF 2 \s ">
              <w:r>
                <w:rPr>
                  <w:noProof/>
                </w:rPr>
                <w:t>14.3</w:t>
              </w:r>
            </w:fldSimple>
            <w:r>
              <w:t>.</w:t>
            </w:r>
            <w:fldSimple w:instr=" SEQ Exhibit \* ALPHABETIC \s 2 ">
              <w:r>
                <w:rPr>
                  <w:noProof/>
                </w:rPr>
                <w:t>B</w:t>
              </w:r>
            </w:fldSimple>
            <w:bookmarkEnd w:id="892"/>
            <w:r>
              <w:t>: encoding a paired list</w:t>
            </w:r>
          </w:p>
        </w:tc>
      </w:tr>
      <w:tr>
        <w:tc>
          <w:tcPr>
            <w:tcW w:w="5000" w:type="pct"/>
          </w:tcPr>
          <w:p>
            <w:pPr>
              <w:pStyle w:val="CodeParagraph"/>
              <w:keepNext/>
              <w:rPr>
                <w:rStyle w:val="Code"/>
              </w:rPr>
            </w:pPr>
            <w:r>
              <w:rPr>
                <w:rStyle w:val="Code"/>
              </w:rPr>
              <w:t>&lt;p n="1r16-2r1"&gt;</w:t>
            </w:r>
            <w:r>
              <w:rPr>
                <w:rStyle w:val="Codetext"/>
              </w:rPr>
              <w:t>As for those who</w:t>
            </w:r>
            <w:r>
              <w:rPr>
                <w:rStyle w:val="Code"/>
              </w:rPr>
              <w:t xml:space="preserve"> </w:t>
            </w:r>
          </w:p>
          <w:p>
            <w:pPr>
              <w:pStyle w:val="CodeParagraph"/>
              <w:keepNext/>
              <w:rPr>
                <w:rStyle w:val="Code"/>
              </w:rPr>
            </w:pPr>
            <w:r>
              <w:rPr>
                <w:rStyle w:val="Code"/>
              </w:rPr>
              <w:t xml:space="preserve">  &lt;list</w:t>
            </w:r>
            <w:r>
              <w:rPr>
                <w:rStyle w:val="Codeattribute"/>
              </w:rPr>
              <w:t xml:space="preserve"> rend=</w:t>
            </w:r>
            <w:r>
              <w:rPr>
                <w:rStyle w:val="Codevalue"/>
              </w:rPr>
              <w:t>"paired"</w:t>
            </w:r>
            <w:r>
              <w:rPr>
                <w:rStyle w:val="Code"/>
              </w:rPr>
              <w:t>&gt;</w:t>
            </w:r>
          </w:p>
          <w:p>
            <w:pPr>
              <w:pStyle w:val="CodeParagraph"/>
              <w:keepNext/>
              <w:rPr>
                <w:rStyle w:val="Code"/>
              </w:rPr>
            </w:pPr>
            <w:r>
              <w:rPr>
                <w:rStyle w:val="Code"/>
              </w:rPr>
              <w:t xml:space="preserve">    &lt;label&gt;&lt;foreign&gt;</w:t>
            </w:r>
            <w:r>
              <w:rPr>
                <w:rStyle w:val="Codetext"/>
              </w:rPr>
              <w:t>mañambul</w:t>
            </w:r>
            <w:r>
              <w:rPr>
                <w:rStyle w:val="Code"/>
              </w:rPr>
              <w:t>&lt;/foreign&gt;&lt;/label&gt;&lt;item&gt;</w:t>
            </w:r>
            <w:r>
              <w:rPr>
                <w:rStyle w:val="Codetext"/>
              </w:rPr>
              <w:t>paint black</w:t>
            </w:r>
            <w:r>
              <w:rPr>
                <w:rStyle w:val="Code"/>
              </w:rPr>
              <w:t>&lt;/item&gt;</w:t>
            </w:r>
          </w:p>
          <w:p>
            <w:pPr>
              <w:pStyle w:val="CodeParagraph"/>
              <w:keepNext/>
              <w:rPr>
                <w:rStyle w:val="Code"/>
              </w:rPr>
            </w:pPr>
            <w:r>
              <w:rPr>
                <w:rStyle w:val="Code"/>
              </w:rPr>
              <w:t xml:space="preserve">    &lt;label&gt;&lt;foreign&gt;</w:t>
            </w:r>
            <w:r>
              <w:rPr>
                <w:rStyle w:val="Codetext"/>
              </w:rPr>
              <w:t>mañavriṅ</w:t>
            </w:r>
            <w:r>
              <w:rPr>
                <w:rStyle w:val="Code"/>
              </w:rPr>
              <w:t>&lt;/foreign&gt;&lt;/label&gt;&lt;item&gt;</w:t>
            </w:r>
            <w:r>
              <w:rPr>
                <w:rStyle w:val="Codetext"/>
              </w:rPr>
              <w:t>make muslin</w:t>
            </w:r>
            <w:r>
              <w:rPr>
                <w:rStyle w:val="Code"/>
              </w:rPr>
              <w:t>&lt;/item&gt;</w:t>
            </w:r>
          </w:p>
          <w:p>
            <w:pPr>
              <w:pStyle w:val="CodeParagraph"/>
              <w:keepNext/>
              <w:rPr>
                <w:rStyle w:val="Code"/>
              </w:rPr>
            </w:pPr>
            <w:r>
              <w:rPr>
                <w:rStyle w:val="Code"/>
              </w:rPr>
              <w:t xml:space="preserve">    &lt;label&gt;&lt;foreign&gt;</w:t>
            </w:r>
            <w:r>
              <w:rPr>
                <w:rStyle w:val="Codetext"/>
              </w:rPr>
              <w:t>maṅlākha</w:t>
            </w:r>
            <w:r>
              <w:rPr>
                <w:rStyle w:val="Code"/>
              </w:rPr>
              <w:t>&lt;/foreign&gt;&lt;/label&gt;&lt;item&gt;</w:t>
            </w:r>
            <w:r>
              <w:rPr>
                <w:rStyle w:val="Codetext"/>
              </w:rPr>
              <w:t>dye red</w:t>
            </w:r>
            <w:r>
              <w:rPr>
                <w:rStyle w:val="Code"/>
              </w:rPr>
              <w:t>&lt;/item&gt;</w:t>
            </w:r>
          </w:p>
          <w:p>
            <w:pPr>
              <w:pStyle w:val="CodeParagraph"/>
              <w:keepNext/>
              <w:rPr>
                <w:rStyle w:val="Code"/>
              </w:rPr>
            </w:pPr>
            <w:r>
              <w:rPr>
                <w:rStyle w:val="Code"/>
              </w:rPr>
              <w:t xml:space="preserve">    &lt;label&gt;&lt;foreign&gt;</w:t>
            </w:r>
            <w:r>
              <w:rPr>
                <w:rStyle w:val="Codetext"/>
              </w:rPr>
              <w:t>maṅapus</w:t>
            </w:r>
            <w:r>
              <w:rPr>
                <w:rStyle w:val="Code"/>
              </w:rPr>
              <w:t>&lt;/foreign&gt;&lt;/label&gt;&lt;item&gt;</w:t>
            </w:r>
            <w:r>
              <w:rPr>
                <w:rStyle w:val="Codetext"/>
              </w:rPr>
              <w:t>twist ropes</w:t>
            </w:r>
            <w:r>
              <w:rPr>
                <w:rStyle w:val="Code"/>
              </w:rPr>
              <w:t>&lt;/item&gt;</w:t>
            </w:r>
          </w:p>
          <w:p>
            <w:pPr>
              <w:pStyle w:val="CodeParagraph"/>
              <w:keepNext/>
              <w:rPr>
                <w:rStyle w:val="Code"/>
              </w:rPr>
            </w:pPr>
            <w:r>
              <w:rPr>
                <w:rStyle w:val="Code"/>
              </w:rPr>
              <w:t xml:space="preserve">    &lt;label&gt;&lt;foreign&gt;</w:t>
            </w:r>
            <w:r>
              <w:rPr>
                <w:rStyle w:val="Codetext"/>
              </w:rPr>
              <w:t>maṅubar</w:t>
            </w:r>
            <w:r>
              <w:rPr>
                <w:rStyle w:val="Code"/>
              </w:rPr>
              <w:t>&lt;/foreign&gt;&lt;/label&gt;&lt;item&gt;</w:t>
            </w:r>
            <w:r>
              <w:rPr>
                <w:rStyle w:val="Codetext"/>
              </w:rPr>
              <w:t>dye red</w:t>
            </w:r>
            <w:r>
              <w:rPr>
                <w:rStyle w:val="Code"/>
              </w:rPr>
              <w:t>&lt;/item&gt;</w:t>
            </w:r>
          </w:p>
          <w:p>
            <w:pPr>
              <w:pStyle w:val="CodeParagraph"/>
              <w:keepNext/>
              <w:rPr>
                <w:rStyle w:val="Code"/>
              </w:rPr>
            </w:pPr>
            <w:r>
              <w:rPr>
                <w:rStyle w:val="Code"/>
              </w:rPr>
              <w:t xml:space="preserve">    ...</w:t>
            </w:r>
          </w:p>
          <w:p>
            <w:pPr>
              <w:pStyle w:val="CodeParagraph"/>
              <w:keepNext/>
              <w:rPr>
                <w:rStyle w:val="Code"/>
              </w:rPr>
            </w:pPr>
            <w:r>
              <w:rPr>
                <w:rStyle w:val="Code"/>
              </w:rPr>
              <w:t xml:space="preserve">  &lt;/list&gt;</w:t>
            </w:r>
          </w:p>
          <w:p>
            <w:pPr>
              <w:pStyle w:val="CodeParagraph"/>
              <w:keepNext/>
              <w:rPr>
                <w:rFonts w:ascii="Consolas" w:hAnsi="Consolas" w:cs="Consolas"/>
                <w:noProof/>
                <w:color w:val="002060"/>
                <w:shd w:val="clear" w:color="auto" w:fill="F2F2F2" w:themeFill="background1" w:themeFillShade="F2"/>
              </w:rPr>
            </w:pPr>
            <w:r>
              <w:rPr>
                <w:rStyle w:val="Code"/>
              </w:rPr>
              <w:t xml:space="preserve">  </w:t>
            </w:r>
            <w:r>
              <w:rPr>
                <w:rStyle w:val="Codetext"/>
              </w:rPr>
              <w:t>Only the</w:t>
            </w:r>
            <w:r>
              <w:rPr>
                <w:rStyle w:val="Code"/>
              </w:rPr>
              <w:t xml:space="preserve"> &lt;foreign&gt;</w:t>
            </w:r>
            <w:r>
              <w:rPr>
                <w:rStyle w:val="Codetext"/>
              </w:rPr>
              <w:t>rakryān</w:t>
            </w:r>
            <w:r>
              <w:rPr>
                <w:rStyle w:val="Code"/>
              </w:rPr>
              <w:t xml:space="preserve">&lt;/foreign&gt; </w:t>
            </w:r>
            <w:r>
              <w:rPr>
                <w:rStyle w:val="Codetext"/>
              </w:rPr>
              <w:t>founder of the freehold herself shall have authority over all its royal revenues.</w:t>
            </w:r>
            <w:r>
              <w:rPr>
                <w:rStyle w:val="Code"/>
              </w:rPr>
              <w:t>&lt;/p&gt;</w:t>
            </w:r>
          </w:p>
        </w:tc>
      </w:tr>
      <w:tr>
        <w:tc>
          <w:tcPr>
            <w:tcW w:w="5000" w:type="pct"/>
          </w:tcPr>
          <w:p>
            <w:pPr>
              <w:pStyle w:val="TableNote"/>
            </w:pPr>
            <w:r>
              <w:t>display:</w:t>
            </w:r>
          </w:p>
          <w:p>
            <w:pPr>
              <w:pStyle w:val="Tabletext"/>
            </w:pPr>
            <w:r>
              <w:t>As for those who</w:t>
            </w:r>
          </w:p>
          <w:p>
            <w:pPr>
              <w:pStyle w:val="Tabletext"/>
            </w:pPr>
            <w:r>
              <w:t xml:space="preserve">    </w:t>
            </w:r>
            <w:r>
              <w:rPr>
                <w:rStyle w:val="Foreign"/>
                <w:b/>
                <w:bCs/>
              </w:rPr>
              <w:t>mañambul</w:t>
            </w:r>
            <w:r>
              <w:tab/>
              <w:t>paint black</w:t>
            </w:r>
          </w:p>
          <w:p>
            <w:pPr>
              <w:pStyle w:val="Tabletext"/>
            </w:pPr>
            <w:r>
              <w:t xml:space="preserve">    </w:t>
            </w:r>
            <w:r>
              <w:rPr>
                <w:rStyle w:val="Foreign"/>
                <w:b/>
                <w:bCs/>
              </w:rPr>
              <w:t>mañavriṅ</w:t>
            </w:r>
            <w:r>
              <w:tab/>
              <w:t>make muslin</w:t>
            </w:r>
          </w:p>
          <w:p>
            <w:pPr>
              <w:pStyle w:val="Tabletext"/>
            </w:pPr>
            <w:r>
              <w:t xml:space="preserve">    </w:t>
            </w:r>
            <w:r>
              <w:rPr>
                <w:rStyle w:val="Foreign"/>
                <w:b/>
                <w:bCs/>
              </w:rPr>
              <w:t>maṅlākha</w:t>
            </w:r>
            <w:r>
              <w:tab/>
              <w:t>dye red</w:t>
            </w:r>
          </w:p>
          <w:p>
            <w:pPr>
              <w:pStyle w:val="Tabletext"/>
            </w:pPr>
            <w:r>
              <w:t xml:space="preserve">    </w:t>
            </w:r>
            <w:r>
              <w:rPr>
                <w:rStyle w:val="Foreign"/>
                <w:b/>
                <w:bCs/>
              </w:rPr>
              <w:t>maṅapus</w:t>
            </w:r>
            <w:r>
              <w:tab/>
              <w:t>twist ropes</w:t>
            </w:r>
          </w:p>
          <w:p>
            <w:pPr>
              <w:pStyle w:val="Tabletext"/>
            </w:pPr>
            <w:r>
              <w:t xml:space="preserve">    </w:t>
            </w:r>
            <w:r>
              <w:rPr>
                <w:rStyle w:val="Foreign"/>
                <w:b/>
                <w:bCs/>
              </w:rPr>
              <w:t>maṅubar</w:t>
            </w:r>
            <w:r>
              <w:tab/>
              <w:t>dye red</w:t>
            </w:r>
          </w:p>
          <w:p>
            <w:pPr>
              <w:pStyle w:val="Tabletext"/>
            </w:pPr>
            <w:r>
              <w:t xml:space="preserve">    ...</w:t>
            </w:r>
          </w:p>
          <w:p>
            <w:pPr>
              <w:pStyle w:val="Tabletext"/>
            </w:pPr>
            <w:r>
              <w:t xml:space="preserve">Only the </w:t>
            </w:r>
            <w:r>
              <w:rPr>
                <w:rStyle w:val="Foreign"/>
              </w:rPr>
              <w:t>rakryān</w:t>
            </w:r>
            <w:r>
              <w:t xml:space="preserve"> founder of the freehold herself shall have authority over all its royal revenues.</w:t>
            </w:r>
          </w:p>
        </w:tc>
      </w:tr>
    </w:tbl>
    <w:p/>
    <w:p>
      <w:pPr>
        <w:pStyle w:val="Cmsor4"/>
      </w:pPr>
      <w:r>
        <w:t>Multi-level lists</w:t>
      </w:r>
    </w:p>
    <w:p>
      <w:pPr>
        <w:rPr>
          <w:lang w:eastAsia="en-US" w:bidi="ar-SA"/>
        </w:rPr>
      </w:pPr>
      <w:r>
        <w:rPr>
          <w:lang w:eastAsia="en-US" w:bidi="ar-SA"/>
        </w:rPr>
        <w:t xml:space="preserve">If and only if you deem this degree of complexity essential for presenting a translation or commentary clearly, lists may be embedded within other lists. Such lists shall be encoded as described below and illustrated in </w:t>
      </w:r>
      <w:r>
        <w:rPr>
          <w:lang w:eastAsia="en-US" w:bidi="ar-SA"/>
        </w:rPr>
        <w:fldChar w:fldCharType="begin"/>
      </w:r>
      <w:r>
        <w:rPr>
          <w:lang w:eastAsia="en-US" w:bidi="ar-SA"/>
        </w:rPr>
        <w:instrText xml:space="preserve"> REF _Ref233646064 \h </w:instrText>
      </w:r>
      <w:r>
        <w:rPr>
          <w:lang w:eastAsia="en-US" w:bidi="ar-SA"/>
        </w:rPr>
      </w:r>
      <w:r>
        <w:rPr>
          <w:lang w:eastAsia="en-US" w:bidi="ar-SA"/>
        </w:rPr>
        <w:fldChar w:fldCharType="separate"/>
      </w:r>
      <w:r>
        <w:t xml:space="preserve">Exhibit </w:t>
      </w:r>
      <w:r>
        <w:rPr>
          <w:noProof/>
        </w:rPr>
        <w:t>14.3</w:t>
      </w:r>
      <w:r>
        <w:t>.</w:t>
      </w:r>
      <w:r>
        <w:rPr>
          <w:noProof/>
        </w:rPr>
        <w:t>C</w:t>
      </w:r>
      <w:r>
        <w:rPr>
          <w:lang w:eastAsia="en-US" w:bidi="ar-SA"/>
        </w:rPr>
        <w:fldChar w:fldCharType="end"/>
      </w:r>
      <w:r>
        <w:rPr>
          <w:lang w:eastAsia="en-US" w:bidi="ar-SA"/>
        </w:rPr>
        <w:t>.</w:t>
      </w:r>
    </w:p>
    <w:p>
      <w:pPr>
        <w:pStyle w:val="Lista"/>
      </w:pPr>
      <w:r>
        <w:t xml:space="preserve">within any </w:t>
      </w:r>
      <w:r>
        <w:rPr>
          <w:rStyle w:val="Code"/>
        </w:rPr>
        <w:t>&lt;item&gt;</w:t>
      </w:r>
      <w:r>
        <w:t xml:space="preserve"> of a list, create another </w:t>
      </w:r>
      <w:r>
        <w:rPr>
          <w:rStyle w:val="Code"/>
        </w:rPr>
        <w:t>&lt;list&gt;</w:t>
      </w:r>
      <w:r>
        <w:t xml:space="preserve"> element containing items in turn</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893" w:name="_Ref233646064"/>
            <w:r>
              <w:lastRenderedPageBreak/>
              <w:t xml:space="preserve">Exhibit </w:t>
            </w:r>
            <w:fldSimple w:instr=" STYLEREF 2 \s ">
              <w:r>
                <w:rPr>
                  <w:noProof/>
                </w:rPr>
                <w:t>14.3</w:t>
              </w:r>
            </w:fldSimple>
            <w:r>
              <w:t>.</w:t>
            </w:r>
            <w:fldSimple w:instr=" SEQ Exhibit \* ALPHABETIC \s 2 ">
              <w:r>
                <w:rPr>
                  <w:noProof/>
                </w:rPr>
                <w:t>C</w:t>
              </w:r>
            </w:fldSimple>
            <w:bookmarkEnd w:id="893"/>
            <w:r>
              <w:t>: encoding a multi-level list</w:t>
            </w:r>
          </w:p>
        </w:tc>
      </w:tr>
      <w:tr>
        <w:tc>
          <w:tcPr>
            <w:tcW w:w="5000" w:type="pct"/>
          </w:tcPr>
          <w:p>
            <w:pPr>
              <w:pStyle w:val="CodeParagraph"/>
              <w:keepNext/>
              <w:rPr>
                <w:rStyle w:val="Code"/>
              </w:rPr>
            </w:pPr>
            <w:r>
              <w:rPr>
                <w:rStyle w:val="Code"/>
              </w:rPr>
              <w:t xml:space="preserve">&lt;p </w:t>
            </w:r>
            <w:r>
              <w:rPr>
                <w:rStyle w:val="Codeattribute"/>
              </w:rPr>
              <w:t>n=</w:t>
            </w:r>
            <w:r>
              <w:rPr>
                <w:rStyle w:val="Codevalue"/>
              </w:rPr>
              <w:t>"4r11-4r20"</w:t>
            </w:r>
            <w:r>
              <w:rPr>
                <w:rStyle w:val="Code"/>
              </w:rPr>
              <w:t>&gt;</w:t>
            </w:r>
            <w:r>
              <w:rPr>
                <w:rStyle w:val="Codetext"/>
              </w:rPr>
              <w:t>... No one was left behind in taking part in feasting on the market place of Ālasantan:</w:t>
            </w:r>
            <w:r>
              <w:rPr>
                <w:rStyle w:val="Code"/>
              </w:rPr>
              <w:t xml:space="preserve"> </w:t>
            </w:r>
          </w:p>
          <w:p>
            <w:pPr>
              <w:pStyle w:val="CodeParagraph"/>
              <w:keepNext/>
              <w:rPr>
                <w:rStyle w:val="Code"/>
              </w:rPr>
            </w:pPr>
            <w:r>
              <w:rPr>
                <w:rStyle w:val="Code"/>
              </w:rPr>
              <w:t xml:space="preserve">  &lt;list&gt;</w:t>
            </w:r>
          </w:p>
          <w:p>
            <w:pPr>
              <w:pStyle w:val="CodeParagraph"/>
              <w:keepNext/>
              <w:rPr>
                <w:rStyle w:val="Code"/>
              </w:rPr>
            </w:pPr>
            <w:r>
              <w:rPr>
                <w:rStyle w:val="Code"/>
              </w:rPr>
              <w:t xml:space="preserve">    &lt;item&gt;</w:t>
            </w:r>
            <w:r>
              <w:rPr>
                <w:rStyle w:val="Codetext"/>
              </w:rPr>
              <w:t>being regaled,</w:t>
            </w:r>
            <w:r>
              <w:rPr>
                <w:rStyle w:val="Code"/>
              </w:rPr>
              <w:t>&lt;/item&gt;</w:t>
            </w:r>
          </w:p>
          <w:p>
            <w:pPr>
              <w:pStyle w:val="CodeParagraph"/>
              <w:keepNext/>
              <w:rPr>
                <w:rStyle w:val="Code"/>
              </w:rPr>
            </w:pPr>
            <w:r>
              <w:rPr>
                <w:rStyle w:val="Code"/>
              </w:rPr>
              <w:t xml:space="preserve">    &lt;item&gt;</w:t>
            </w:r>
            <w:r>
              <w:rPr>
                <w:rStyle w:val="Codetext"/>
              </w:rPr>
              <w:t>being offered dressed-up rice,</w:t>
            </w:r>
            <w:r>
              <w:rPr>
                <w:rStyle w:val="Code"/>
              </w:rPr>
              <w:t xml:space="preserve">&lt;/item&gt; </w:t>
            </w:r>
          </w:p>
          <w:p>
            <w:pPr>
              <w:pStyle w:val="CodeParagraph"/>
              <w:keepNext/>
              <w:rPr>
                <w:rStyle w:val="Code"/>
              </w:rPr>
            </w:pPr>
            <w:r>
              <w:rPr>
                <w:rStyle w:val="Code"/>
              </w:rPr>
              <w:t xml:space="preserve">    &lt;item&gt;</w:t>
            </w:r>
            <w:r>
              <w:rPr>
                <w:rStyle w:val="Codetext"/>
              </w:rPr>
              <w:t>being ladled</w:t>
            </w:r>
          </w:p>
          <w:p>
            <w:pPr>
              <w:pStyle w:val="CodeParagraph"/>
              <w:keepNext/>
              <w:rPr>
                <w:rStyle w:val="Code"/>
              </w:rPr>
            </w:pPr>
            <w:r>
              <w:rPr>
                <w:rStyle w:val="Code"/>
              </w:rPr>
              <w:t xml:space="preserve">      &lt;list </w:t>
            </w:r>
            <w:r>
              <w:rPr>
                <w:rStyle w:val="Codeattribute"/>
              </w:rPr>
              <w:t>rend=</w:t>
            </w:r>
            <w:r>
              <w:rPr>
                <w:rStyle w:val="Codevalue"/>
              </w:rPr>
              <w:t>"bulleted"</w:t>
            </w:r>
            <w:r>
              <w:rPr>
                <w:rStyle w:val="Code"/>
              </w:rPr>
              <w:t>&gt;</w:t>
            </w:r>
          </w:p>
          <w:p>
            <w:pPr>
              <w:pStyle w:val="CodeParagraph"/>
              <w:keepNext/>
              <w:rPr>
                <w:rStyle w:val="Code"/>
              </w:rPr>
            </w:pPr>
            <w:r>
              <w:rPr>
                <w:rStyle w:val="Code"/>
              </w:rPr>
              <w:t xml:space="preserve">        &lt;item&gt;</w:t>
            </w:r>
            <w:r>
              <w:rPr>
                <w:rStyle w:val="Codetext"/>
              </w:rPr>
              <w:t>cooked foods,</w:t>
            </w:r>
            <w:r>
              <w:rPr>
                <w:rStyle w:val="Code"/>
              </w:rPr>
              <w:t>&lt;/item&gt;</w:t>
            </w:r>
          </w:p>
          <w:p>
            <w:pPr>
              <w:pStyle w:val="CodeParagraph"/>
              <w:keepNext/>
              <w:rPr>
                <w:rStyle w:val="Code"/>
              </w:rPr>
            </w:pPr>
            <w:r>
              <w:rPr>
                <w:rStyle w:val="Code"/>
              </w:rPr>
              <w:t xml:space="preserve">        &lt;item&gt;</w:t>
            </w:r>
            <w:r>
              <w:rPr>
                <w:rStyle w:val="Codetext"/>
              </w:rPr>
              <w:t>snacks,</w:t>
            </w:r>
            <w:r>
              <w:rPr>
                <w:rStyle w:val="Code"/>
              </w:rPr>
              <w:t>&lt;/item&gt;</w:t>
            </w:r>
          </w:p>
          <w:p>
            <w:pPr>
              <w:pStyle w:val="CodeParagraph"/>
              <w:keepNext/>
              <w:rPr>
                <w:rStyle w:val="Code"/>
              </w:rPr>
            </w:pPr>
            <w:r>
              <w:rPr>
                <w:rStyle w:val="Code"/>
              </w:rPr>
              <w:t xml:space="preserve">        &lt;item&gt;&lt;foreign&gt;</w:t>
            </w:r>
            <w:r>
              <w:rPr>
                <w:rStyle w:val="Codetext"/>
              </w:rPr>
              <w:t>kasyan</w:t>
            </w:r>
            <w:r>
              <w:rPr>
                <w:rStyle w:val="Code"/>
              </w:rPr>
              <w:t>&lt;/foreign&gt;</w:t>
            </w:r>
            <w:r>
              <w:rPr>
                <w:rStyle w:val="Codetext"/>
              </w:rPr>
              <w:t>,</w:t>
            </w:r>
            <w:r>
              <w:rPr>
                <w:rStyle w:val="Code"/>
              </w:rPr>
              <w:t>&lt;/item&gt;</w:t>
            </w:r>
          </w:p>
          <w:p>
            <w:pPr>
              <w:pStyle w:val="CodeParagraph"/>
              <w:keepNext/>
              <w:rPr>
                <w:rStyle w:val="Code"/>
              </w:rPr>
            </w:pPr>
            <w:r>
              <w:rPr>
                <w:rStyle w:val="Code"/>
              </w:rPr>
              <w:t xml:space="preserve">      &lt;/list&gt;</w:t>
            </w:r>
          </w:p>
          <w:p>
            <w:pPr>
              <w:pStyle w:val="CodeParagraph"/>
              <w:keepNext/>
              <w:rPr>
                <w:rStyle w:val="Code"/>
              </w:rPr>
            </w:pPr>
            <w:r>
              <w:rPr>
                <w:rStyle w:val="Code"/>
              </w:rPr>
              <w:t xml:space="preserve">    &lt;/item&gt;</w:t>
            </w:r>
          </w:p>
          <w:p>
            <w:pPr>
              <w:pStyle w:val="CodeParagraph"/>
              <w:keepNext/>
              <w:rPr>
                <w:rStyle w:val="Code"/>
              </w:rPr>
            </w:pPr>
            <w:r>
              <w:rPr>
                <w:rStyle w:val="Code"/>
              </w:rPr>
              <w:t xml:space="preserve">    &lt;item&gt;</w:t>
            </w:r>
            <w:r>
              <w:rPr>
                <w:rStyle w:val="Codetext"/>
              </w:rPr>
              <w:t>being relaxed with liquor,</w:t>
            </w:r>
            <w:r>
              <w:rPr>
                <w:rStyle w:val="Code"/>
              </w:rPr>
              <w:t xml:space="preserve"> &lt;foreign&gt;</w:t>
            </w:r>
            <w:r>
              <w:rPr>
                <w:rStyle w:val="Codetext"/>
              </w:rPr>
              <w:t>atak</w:t>
            </w:r>
            <w:r>
              <w:rPr>
                <w:rStyle w:val="Code"/>
              </w:rPr>
              <w:t xml:space="preserve">&lt;/foreign&gt; &lt;supplied </w:t>
            </w:r>
            <w:r>
              <w:rPr>
                <w:rStyle w:val="Codeattribute"/>
              </w:rPr>
              <w:t>reason=</w:t>
            </w:r>
            <w:r>
              <w:rPr>
                <w:rStyle w:val="Codevalue"/>
              </w:rPr>
              <w:t>"subaudible"</w:t>
            </w:r>
            <w:r>
              <w:rPr>
                <w:rStyle w:val="Code"/>
              </w:rPr>
              <w:t>&gt;</w:t>
            </w:r>
            <w:r>
              <w:rPr>
                <w:rStyle w:val="Codetext"/>
              </w:rPr>
              <w:t>and</w:t>
            </w:r>
            <w:r>
              <w:rPr>
                <w:rStyle w:val="Code"/>
              </w:rPr>
              <w:t>&lt;/supplied&gt;</w:t>
            </w:r>
            <w:r>
              <w:rPr>
                <w:rStyle w:val="Codetext"/>
              </w:rPr>
              <w:t xml:space="preserve"> milk</w:t>
            </w:r>
            <w:r>
              <w:rPr>
                <w:rStyle w:val="Code"/>
              </w:rPr>
              <w:t>&lt;/item&gt;</w:t>
            </w:r>
          </w:p>
          <w:p>
            <w:pPr>
              <w:pStyle w:val="CodeParagraph"/>
              <w:keepNext/>
              <w:rPr>
                <w:rStyle w:val="Code"/>
              </w:rPr>
            </w:pPr>
            <w:r>
              <w:rPr>
                <w:rStyle w:val="Code"/>
              </w:rPr>
              <w:t xml:space="preserve">  &lt;/list&gt;</w:t>
            </w:r>
          </w:p>
          <w:p>
            <w:pPr>
              <w:pStyle w:val="CodeParagraph"/>
              <w:keepNext/>
              <w:rPr>
                <w:rStyle w:val="Codetext"/>
              </w:rPr>
            </w:pPr>
            <w:r>
              <w:rPr>
                <w:rStyle w:val="Codetext"/>
              </w:rPr>
              <w:t xml:space="preserve">  The total of containers per</w:t>
            </w:r>
            <w:r>
              <w:rPr>
                <w:rStyle w:val="Code"/>
              </w:rPr>
              <w:t xml:space="preserve"> &lt;supplied </w:t>
            </w:r>
            <w:r>
              <w:rPr>
                <w:rStyle w:val="Codeattribute"/>
              </w:rPr>
              <w:t>reason=</w:t>
            </w:r>
            <w:r>
              <w:rPr>
                <w:rStyle w:val="Codevalue"/>
              </w:rPr>
              <w:t>"subaudible"</w:t>
            </w:r>
            <w:r>
              <w:rPr>
                <w:rStyle w:val="Code"/>
              </w:rPr>
              <w:t>&gt;</w:t>
            </w:r>
            <w:r>
              <w:rPr>
                <w:rStyle w:val="Codetext"/>
              </w:rPr>
              <w:t>banana</w:t>
            </w:r>
            <w:r>
              <w:rPr>
                <w:rStyle w:val="Code"/>
              </w:rPr>
              <w:t>&lt;/supplied&gt;</w:t>
            </w:r>
            <w:r>
              <w:rPr>
                <w:rStyle w:val="Codetext"/>
              </w:rPr>
              <w:t xml:space="preserve"> leaf was nine, apart from the fish. ...</w:t>
            </w:r>
          </w:p>
          <w:p>
            <w:pPr>
              <w:pStyle w:val="CodeParagraph"/>
              <w:keepNext/>
              <w:rPr>
                <w:rStyle w:val="Code"/>
              </w:rPr>
            </w:pPr>
            <w:r>
              <w:rPr>
                <w:rStyle w:val="Code"/>
              </w:rPr>
              <w:t>&lt;/p&gt;</w:t>
            </w:r>
          </w:p>
        </w:tc>
      </w:tr>
      <w:tr>
        <w:tc>
          <w:tcPr>
            <w:tcW w:w="5000" w:type="pct"/>
          </w:tcPr>
          <w:p>
            <w:pPr>
              <w:pStyle w:val="TableNote"/>
            </w:pPr>
            <w:r>
              <w:t>display:</w:t>
            </w:r>
          </w:p>
          <w:p>
            <w:pPr>
              <w:pStyle w:val="Tabletext"/>
            </w:pPr>
            <w:r>
              <w:t xml:space="preserve">No one was left behind in taking part in feasting on the market place of </w:t>
            </w:r>
            <w:proofErr w:type="spellStart"/>
            <w:r>
              <w:t>Ālasantan</w:t>
            </w:r>
            <w:proofErr w:type="spellEnd"/>
            <w:r>
              <w:t>:</w:t>
            </w:r>
          </w:p>
          <w:p>
            <w:pPr>
              <w:pStyle w:val="Tabletext"/>
            </w:pPr>
            <w:r>
              <w:t xml:space="preserve">    being regaled,</w:t>
            </w:r>
          </w:p>
          <w:p>
            <w:pPr>
              <w:pStyle w:val="Tabletext"/>
            </w:pPr>
            <w:r>
              <w:t xml:space="preserve">    being offered dressed-up rice,</w:t>
            </w:r>
          </w:p>
          <w:p>
            <w:pPr>
              <w:pStyle w:val="Tabletext"/>
            </w:pPr>
            <w:r>
              <w:t xml:space="preserve">    being ladled:</w:t>
            </w:r>
          </w:p>
          <w:p>
            <w:pPr>
              <w:pStyle w:val="Tabletext"/>
              <w:numPr>
                <w:ilvl w:val="0"/>
                <w:numId w:val="16"/>
              </w:numPr>
            </w:pPr>
            <w:r>
              <w:t>cooked foods,</w:t>
            </w:r>
          </w:p>
          <w:p>
            <w:pPr>
              <w:pStyle w:val="Tabletext"/>
              <w:numPr>
                <w:ilvl w:val="0"/>
                <w:numId w:val="16"/>
              </w:numPr>
            </w:pPr>
            <w:r>
              <w:t>snacks,</w:t>
            </w:r>
          </w:p>
          <w:p>
            <w:pPr>
              <w:pStyle w:val="Tabletext"/>
              <w:numPr>
                <w:ilvl w:val="0"/>
                <w:numId w:val="16"/>
              </w:numPr>
            </w:pPr>
            <w:r>
              <w:rPr>
                <w:rStyle w:val="Foreign"/>
              </w:rPr>
              <w:t>kasyan</w:t>
            </w:r>
            <w:r>
              <w:t>,</w:t>
            </w:r>
          </w:p>
          <w:p>
            <w:pPr>
              <w:pStyle w:val="Tabletext"/>
            </w:pPr>
            <w:r>
              <w:t xml:space="preserve">being relaxed with liquor, </w:t>
            </w:r>
            <w:r>
              <w:rPr>
                <w:rStyle w:val="Foreign"/>
              </w:rPr>
              <w:t>atak</w:t>
            </w:r>
            <w:r>
              <w:t xml:space="preserve"> </w:t>
            </w:r>
            <w:r>
              <w:rPr>
                <w:rFonts w:ascii="Cambria Math" w:hAnsi="Cambria Math" w:cs="Cambria Math"/>
              </w:rPr>
              <w:t>⟨</w:t>
            </w:r>
            <w:r>
              <w:t>and</w:t>
            </w:r>
            <w:r>
              <w:rPr>
                <w:rFonts w:ascii="Cambria Math" w:hAnsi="Cambria Math" w:cs="Cambria Math"/>
              </w:rPr>
              <w:t>⟩</w:t>
            </w:r>
            <w:r>
              <w:t xml:space="preserve"> milk</w:t>
            </w:r>
          </w:p>
          <w:p>
            <w:pPr>
              <w:pStyle w:val="Tabletext"/>
            </w:pPr>
            <w:r>
              <w:t xml:space="preserve">The total of containers per </w:t>
            </w:r>
            <w:r>
              <w:rPr>
                <w:rFonts w:ascii="Cambria Math" w:hAnsi="Cambria Math" w:cs="Cambria Math"/>
              </w:rPr>
              <w:t>⟨</w:t>
            </w:r>
            <w:r>
              <w:t>banana</w:t>
            </w:r>
            <w:r>
              <w:rPr>
                <w:rFonts w:ascii="Cambria Math" w:hAnsi="Cambria Math" w:cs="Cambria Math"/>
              </w:rPr>
              <w:t>⟩</w:t>
            </w:r>
            <w:r>
              <w:t xml:space="preserve"> leaf was nine, apart from the fish. ...</w:t>
            </w:r>
          </w:p>
        </w:tc>
      </w:tr>
    </w:tbl>
    <w:p/>
    <w:p>
      <w:pPr>
        <w:pStyle w:val="Cmsor2"/>
      </w:pPr>
      <w:bookmarkStart w:id="894" w:name="_4euu8urmvkq9" w:colFirst="0" w:colLast="0"/>
      <w:bookmarkEnd w:id="894"/>
      <w:r>
        <w:t>Languages</w:t>
      </w:r>
    </w:p>
    <w:p>
      <w:pPr>
        <w:pStyle w:val="Cmsor3"/>
      </w:pPr>
      <w:bookmarkStart w:id="895" w:name="_wp8hx3ov5ccr" w:colFirst="0" w:colLast="0"/>
      <w:bookmarkStart w:id="896" w:name="_Ref233727317"/>
      <w:bookmarkStart w:id="897" w:name="_Toc242976720"/>
      <w:bookmarkEnd w:id="895"/>
      <w:r>
        <w:t>Encoding language</w:t>
      </w:r>
      <w:bookmarkEnd w:id="896"/>
      <w:bookmarkEnd w:id="897"/>
    </w:p>
    <w:p>
      <w:pPr>
        <w:rPr>
          <w:lang w:eastAsia="en-US" w:bidi="ar-SA"/>
        </w:rPr>
      </w:pPr>
      <w:r>
        <w:t xml:space="preserve">The language of the contents of any XML element may be specified using the attribute </w:t>
      </w:r>
      <w:r>
        <w:rPr>
          <w:rStyle w:val="Codeattribute"/>
        </w:rPr>
        <w:t>@xml:lang</w:t>
      </w:r>
      <w:r>
        <w:t>. In DHARMA practice the permitted values of this attribute shall be ISO language tags, to be used as described in §</w:t>
      </w:r>
      <w:r>
        <w:fldChar w:fldCharType="begin"/>
      </w:r>
      <w:r>
        <w:instrText xml:space="preserve"> REF _Ref233793597 \r \h </w:instrText>
      </w:r>
      <w:r>
        <w:fldChar w:fldCharType="separate"/>
      </w:r>
      <w:r>
        <w:t>14.4.1.1</w:t>
      </w:r>
      <w:r>
        <w:fldChar w:fldCharType="end"/>
      </w:r>
      <w:r>
        <w:t>.</w:t>
      </w:r>
    </w:p>
    <w:p>
      <w:pPr>
        <w:pStyle w:val="Lista"/>
      </w:pPr>
      <w:r>
        <w:t xml:space="preserve">when an XML element’s language has been encoded with </w:t>
      </w:r>
      <w:r>
        <w:rPr>
          <w:rStyle w:val="Codeattribute"/>
        </w:rPr>
        <w:t>@xml:lang</w:t>
      </w:r>
      <w:r>
        <w:t>, all descendants of that element are understood to inherit its language unless otherwise encoded</w:t>
      </w:r>
    </w:p>
    <w:p>
      <w:pPr>
        <w:pStyle w:val="Lista"/>
      </w:pPr>
      <w:r>
        <w:t xml:space="preserve">the </w:t>
      </w:r>
      <w:r>
        <w:rPr>
          <w:rStyle w:val="Code"/>
        </w:rPr>
        <w:t>&lt;TEI&gt;</w:t>
      </w:r>
      <w:r>
        <w:t xml:space="preserve"> container </w:t>
      </w:r>
      <w:r>
        <w:rPr>
          <w:noProof/>
        </w:rPr>
        <w:t>(</w:t>
      </w:r>
      <w:r>
        <w:t>§</w:t>
      </w:r>
      <w:r>
        <w:fldChar w:fldCharType="begin"/>
      </w:r>
      <w:r>
        <w:instrText xml:space="preserve"> REF _Ref43990558 \r \h  \* MERGEFORMAT </w:instrText>
      </w:r>
      <w:r>
        <w:fldChar w:fldCharType="separate"/>
      </w:r>
      <w:r>
        <w:t>2.3</w:t>
      </w:r>
      <w:r>
        <w:fldChar w:fldCharType="end"/>
      </w:r>
      <w:r>
        <w:t>) of our entire XML documents specifies English as the language of the document, which is thus by default inherited by everything in the document</w:t>
      </w:r>
    </w:p>
    <w:p>
      <w:pPr>
        <w:pStyle w:val="Lista"/>
      </w:pPr>
      <w:r>
        <w:t xml:space="preserve">when a structural unit of the document is in another language, the attribute </w:t>
      </w:r>
      <w:r>
        <w:rPr>
          <w:rStyle w:val="Codeattribute"/>
        </w:rPr>
        <w:t>@xml:lang</w:t>
      </w:r>
      <w:r>
        <w:t xml:space="preserve"> must be added to the start-tag of the corresponding structural element to specify the language:</w:t>
      </w:r>
    </w:p>
    <w:p>
      <w:pPr>
        <w:pStyle w:val="Lista2"/>
      </w:pPr>
      <w:r>
        <w:t>the edition division of our XML files must normally be set to the primary source language as per §</w:t>
      </w:r>
      <w:r>
        <w:fldChar w:fldCharType="begin"/>
      </w:r>
      <w:r>
        <w:instrText xml:space="preserve"> REF _Ref231978649 \r \h </w:instrText>
      </w:r>
      <w:r>
        <w:fldChar w:fldCharType="separate"/>
      </w:r>
      <w:r>
        <w:t>8.1.1</w:t>
      </w:r>
      <w:r>
        <w:fldChar w:fldCharType="end"/>
      </w:r>
    </w:p>
    <w:p>
      <w:pPr>
        <w:pStyle w:val="Lista3"/>
      </w:pPr>
      <w:r>
        <w:t>parts of the edition which are in a different source language must be encoded as per §</w:t>
      </w:r>
      <w:r>
        <w:fldChar w:fldCharType="begin"/>
      </w:r>
      <w:r>
        <w:instrText xml:space="preserve"> REF _Ref231974552 \r \h </w:instrText>
      </w:r>
      <w:r>
        <w:fldChar w:fldCharType="separate"/>
      </w:r>
      <w:r>
        <w:t>8.2.3</w:t>
      </w:r>
      <w:r>
        <w:fldChar w:fldCharType="end"/>
      </w:r>
    </w:p>
    <w:p>
      <w:pPr>
        <w:pStyle w:val="Lista3"/>
      </w:pPr>
      <w:r>
        <w:t>editorial additions to the source document, such as headings (§</w:t>
      </w:r>
      <w:r>
        <w:fldChar w:fldCharType="begin"/>
      </w:r>
      <w:r>
        <w:instrText xml:space="preserve"> REF _Ref225177909 \r \h </w:instrText>
      </w:r>
      <w:r>
        <w:fldChar w:fldCharType="separate"/>
      </w:r>
      <w:r>
        <w:t>4.2.1.3</w:t>
      </w:r>
      <w:r>
        <w:fldChar w:fldCharType="end"/>
      </w:r>
      <w:r>
        <w:t>) and labels (§</w:t>
      </w:r>
      <w:r>
        <w:fldChar w:fldCharType="begin"/>
      </w:r>
      <w:r>
        <w:instrText xml:space="preserve"> REF _Ref182299869 \r \h </w:instrText>
      </w:r>
      <w:r>
        <w:fldChar w:fldCharType="separate"/>
      </w:r>
      <w:r>
        <w:t>4.4.3.2</w:t>
      </w:r>
      <w:r>
        <w:fldChar w:fldCharType="end"/>
      </w:r>
      <w:r>
        <w:t>) must be explicitly encoded as English, as by default they inherit the language of the edition</w:t>
      </w:r>
    </w:p>
    <w:p>
      <w:pPr>
        <w:pStyle w:val="Lista2"/>
      </w:pPr>
      <w:r>
        <w:t>language must be explicitly encoded for the translation division(s) of our files (§</w:t>
      </w:r>
      <w:r>
        <w:fldChar w:fldCharType="begin"/>
      </w:r>
      <w:r>
        <w:instrText xml:space="preserve"> REF _Ref233722818 \r \h </w:instrText>
      </w:r>
      <w:r>
        <w:fldChar w:fldCharType="separate"/>
      </w:r>
      <w:r>
        <w:t>11.1</w:t>
      </w:r>
      <w:r>
        <w:fldChar w:fldCharType="end"/>
      </w:r>
      <w:r>
        <w:t>), except for translations into English, in which case no language attribute is needed, since English is inherited</w:t>
      </w:r>
    </w:p>
    <w:p>
      <w:pPr>
        <w:pStyle w:val="Lista2"/>
      </w:pPr>
      <w:r>
        <w:t>the language of the critical apparatus (§</w:t>
      </w:r>
      <w:r>
        <w:fldChar w:fldCharType="begin"/>
      </w:r>
      <w:r>
        <w:instrText xml:space="preserve"> REF _Ref43978773 \r \h </w:instrText>
      </w:r>
      <w:r>
        <w:fldChar w:fldCharType="separate"/>
      </w:r>
      <w:r>
        <w:t>10</w:t>
      </w:r>
      <w:r>
        <w:fldChar w:fldCharType="end"/>
      </w:r>
      <w:r>
        <w:t>) is English as inherited, while lemmas and readings cited in the apparatus are understood to be in the primary source language encoded on the edition (even though by pure computer logic they too inherit the English language)</w:t>
      </w:r>
    </w:p>
    <w:p>
      <w:pPr>
        <w:pStyle w:val="Lista"/>
      </w:pPr>
      <w:r>
        <w:t xml:space="preserve">anywhere outside the edition division, any pre-existing structural container </w:t>
      </w:r>
      <w:r>
        <w:rPr>
          <w:noProof/>
        </w:rPr>
        <w:t>(</w:t>
      </w:r>
      <w:r>
        <w:t xml:space="preserve">e.g. </w:t>
      </w:r>
      <w:r>
        <w:rPr>
          <w:rStyle w:val="Code"/>
        </w:rPr>
        <w:t>&lt;note&gt;</w:t>
      </w:r>
      <w:r>
        <w:t xml:space="preserve">, </w:t>
      </w:r>
      <w:r>
        <w:rPr>
          <w:rStyle w:val="Code"/>
        </w:rPr>
        <w:t>&lt;p&gt;</w:t>
      </w:r>
      <w:r>
        <w:t xml:space="preserve"> and </w:t>
      </w:r>
      <w:r>
        <w:rPr>
          <w:rStyle w:val="Code"/>
        </w:rPr>
        <w:t>&lt;q&gt;</w:t>
      </w:r>
      <w:r>
        <w:t xml:space="preserve">) shall be tagged with </w:t>
      </w:r>
      <w:r>
        <w:rPr>
          <w:rStyle w:val="Codeattribute"/>
        </w:rPr>
        <w:t>@xml:lang</w:t>
      </w:r>
      <w:r>
        <w:t xml:space="preserve"> if the language of its contents differs from the language of its containing element</w:t>
      </w:r>
    </w:p>
    <w:p>
      <w:pPr>
        <w:pStyle w:val="Lista"/>
      </w:pPr>
      <w:r>
        <w:lastRenderedPageBreak/>
        <w:t xml:space="preserve">where a word, phrase or other short sequence is in a language other than the language of its containing element, this sequence shall be tagged with </w:t>
      </w:r>
      <w:r>
        <w:rPr>
          <w:rStyle w:val="Code"/>
        </w:rPr>
        <w:t>&lt;foreign&gt;</w:t>
      </w:r>
      <w:r>
        <w:t xml:space="preserve"> as per §</w:t>
      </w:r>
      <w:r>
        <w:fldChar w:fldCharType="begin"/>
      </w:r>
      <w:r>
        <w:instrText xml:space="preserve"> REF _Ref43986658 \r \h </w:instrText>
      </w:r>
      <w:r>
        <w:fldChar w:fldCharType="separate"/>
      </w:r>
      <w:r>
        <w:t>14.4.2</w:t>
      </w:r>
      <w:r>
        <w:fldChar w:fldCharType="end"/>
      </w:r>
      <w:r>
        <w:t xml:space="preserve">, with or without </w:t>
      </w:r>
      <w:r>
        <w:rPr>
          <w:rStyle w:val="Codeattribute"/>
        </w:rPr>
        <w:t>@xml:lang</w:t>
      </w:r>
    </w:p>
    <w:p>
      <w:pPr>
        <w:pStyle w:val="Cmsor4"/>
      </w:pPr>
      <w:bookmarkStart w:id="898" w:name="_Ref233792736"/>
      <w:bookmarkStart w:id="899" w:name="_Ref233793597"/>
      <w:r>
        <w:t>ISO language tags and script subtags</w:t>
      </w:r>
      <w:bookmarkEnd w:id="898"/>
      <w:bookmarkEnd w:id="899"/>
    </w:p>
    <w:p>
      <w:pPr>
        <w:pStyle w:val="Lista"/>
      </w:pPr>
      <w:r>
        <w:t xml:space="preserve">for specifying languages by means of </w:t>
      </w:r>
      <w:r>
        <w:rPr>
          <w:rStyle w:val="Codeattribute"/>
        </w:rPr>
        <w:t>@xml:lang</w:t>
      </w:r>
      <w:r>
        <w:t>, the DHARMA project uses the language tags defined by the ISO standard 639-3,</w:t>
      </w:r>
      <w:r>
        <w:rPr>
          <w:rStyle w:val="Lbjegyzet-hivatkozs"/>
        </w:rPr>
        <w:footnoteReference w:id="41"/>
      </w:r>
      <w:r>
        <w:t xml:space="preserve"> with a small number of additions for languages without such a standard tag</w:t>
      </w:r>
    </w:p>
    <w:p>
      <w:pPr>
        <w:pStyle w:val="Lista2"/>
      </w:pPr>
      <w:r>
        <w:t xml:space="preserve">a dedicated list of the codes relevant to our project is available at </w:t>
      </w:r>
      <w:hyperlink r:id="rId78" w:history="1">
        <w:r>
          <w:rPr>
            <w:rStyle w:val="Hiperhivatkozs"/>
          </w:rPr>
          <w:t>https://github.com/erc-dharma/project-documentation/blob/master/DHARMA_languages.tsv</w:t>
        </w:r>
      </w:hyperlink>
      <w:r>
        <w:t xml:space="preserve"> </w:t>
      </w:r>
    </w:p>
    <w:p>
      <w:pPr>
        <w:pStyle w:val="Lista"/>
      </w:pPr>
      <w:r>
        <w:t>script subtags defined by ISO 15924</w:t>
      </w:r>
      <w:r>
        <w:rPr>
          <w:rStyle w:val="Lbjegyzet-hivatkozs"/>
        </w:rPr>
        <w:footnoteReference w:id="42"/>
      </w:r>
      <w:r>
        <w:t xml:space="preserve"> are often subjoined to the language tag with a hyphen as a separator</w:t>
      </w:r>
    </w:p>
    <w:p>
      <w:pPr>
        <w:pStyle w:val="Lista2"/>
      </w:pPr>
      <w:r>
        <w:t xml:space="preserve">in DHARMA practice, the use of script subtags shall be limited to mandatorily adding the suffix </w:t>
      </w:r>
      <w:r>
        <w:rPr>
          <w:rStyle w:val="Codevalue"/>
        </w:rPr>
        <w:t>-Latn</w:t>
      </w:r>
      <w:r>
        <w:t xml:space="preserve"> to the language tag of text originally written in an Indic script and edited in Romanised transliteration </w:t>
      </w:r>
    </w:p>
    <w:p>
      <w:pPr>
        <w:pStyle w:val="Lista3"/>
      </w:pPr>
      <w:r>
        <w:t xml:space="preserve">e.g. </w:t>
      </w:r>
      <w:r>
        <w:rPr>
          <w:rStyle w:val="Codeattribute"/>
        </w:rPr>
        <w:t>@xml:lang=</w:t>
      </w:r>
      <w:r>
        <w:rPr>
          <w:rStyle w:val="Codevalue"/>
        </w:rPr>
        <w:t>"san-Latn"</w:t>
      </w:r>
      <w:r>
        <w:t xml:space="preserve"> means Sanskrit text in Romanised transliteration</w:t>
      </w:r>
    </w:p>
    <w:p>
      <w:pPr>
        <w:pStyle w:val="Lista2"/>
      </w:pPr>
      <w:r>
        <w:t>language tags without a script subtag are by default assumed to be in a script typical for the language; thus, in our practice, modern languages shall be encoded without a script subtag, including</w:t>
      </w:r>
    </w:p>
    <w:p>
      <w:pPr>
        <w:pStyle w:val="Lista3"/>
      </w:pPr>
      <w:r>
        <w:t>modern languages written in some form of the Latin alphabet, such as English and French</w:t>
      </w:r>
    </w:p>
    <w:p>
      <w:pPr>
        <w:pStyle w:val="Lista4"/>
      </w:pPr>
      <w:r>
        <w:t xml:space="preserve">e.g. </w:t>
      </w:r>
      <w:r>
        <w:rPr>
          <w:rStyle w:val="Codeattribute"/>
        </w:rPr>
        <w:t>@xml:lang=</w:t>
      </w:r>
      <w:r>
        <w:rPr>
          <w:rStyle w:val="Codevalue"/>
        </w:rPr>
        <w:t>"fra"</w:t>
      </w:r>
      <w:r>
        <w:t xml:space="preserve"> means French text written in the form of the Latin alphabet used for French</w:t>
      </w:r>
    </w:p>
    <w:p>
      <w:pPr>
        <w:pStyle w:val="Lista3"/>
      </w:pPr>
      <w:r>
        <w:t>modern south and southeast Asian languages, when cited in the script typically used for that language</w:t>
      </w:r>
    </w:p>
    <w:p>
      <w:pPr>
        <w:pStyle w:val="Lista4"/>
      </w:pPr>
      <w:r>
        <w:t xml:space="preserve">e.g. </w:t>
      </w:r>
      <w:r>
        <w:rPr>
          <w:rStyle w:val="Codeattribute"/>
        </w:rPr>
        <w:t>@xml:lang=</w:t>
      </w:r>
      <w:r>
        <w:rPr>
          <w:rStyle w:val="Codevalue"/>
        </w:rPr>
        <w:t>"ind"</w:t>
      </w:r>
      <w:r>
        <w:t xml:space="preserve"> means Bahasa Indonesia written in the form of the Latin alphabet normally used for Bahasa Indonesia, while </w:t>
      </w:r>
      <w:r>
        <w:rPr>
          <w:rStyle w:val="Codeattribute"/>
        </w:rPr>
        <w:t>@xml:lang=</w:t>
      </w:r>
      <w:r>
        <w:rPr>
          <w:rStyle w:val="Codevalue"/>
        </w:rPr>
        <w:t>"tam"</w:t>
      </w:r>
      <w:r>
        <w:t xml:space="preserve"> means Tamil written in the Tamil script</w:t>
      </w:r>
    </w:p>
    <w:p>
      <w:pPr>
        <w:pStyle w:val="Lista"/>
      </w:pPr>
      <w:r>
        <w:t xml:space="preserve">in all cases, script subtags in the value of </w:t>
      </w:r>
      <w:r>
        <w:rPr>
          <w:rStyle w:val="Codeattribute"/>
        </w:rPr>
        <w:t>@xml:lang</w:t>
      </w:r>
      <w:r>
        <w:t xml:space="preserve"> encode the script of the contents of the element bearing this attribute, and not the original script in which the source document was written</w:t>
      </w:r>
    </w:p>
    <w:p>
      <w:pPr>
        <w:pStyle w:val="Lista2"/>
      </w:pPr>
      <w:r>
        <w:t>the encoding of the source script, applicable only to the edition division, is covered in §</w:t>
      </w:r>
      <w:r>
        <w:fldChar w:fldCharType="begin"/>
      </w:r>
      <w:r>
        <w:instrText xml:space="preserve"> REF _Ref231979678 \r \h </w:instrText>
      </w:r>
      <w:r>
        <w:fldChar w:fldCharType="separate"/>
      </w:r>
      <w:r>
        <w:t>8.2</w:t>
      </w:r>
      <w:r>
        <w:fldChar w:fldCharType="end"/>
      </w:r>
      <w:r>
        <w:t xml:space="preserve"> </w:t>
      </w:r>
    </w:p>
    <w:p>
      <w:pPr>
        <w:pStyle w:val="Cmsor3"/>
      </w:pPr>
      <w:bookmarkStart w:id="900" w:name="_6pkkdwn5pxyn" w:colFirst="0" w:colLast="0"/>
      <w:bookmarkStart w:id="901" w:name="_Ref43986658"/>
      <w:bookmarkStart w:id="902" w:name="_Toc242976721"/>
      <w:bookmarkEnd w:id="900"/>
      <w:r>
        <w:t>Tagging foreign languages outside the edition</w:t>
      </w:r>
      <w:bookmarkEnd w:id="901"/>
      <w:bookmarkEnd w:id="902"/>
    </w:p>
    <w:p>
      <w:pPr>
        <w:rPr>
          <w:lang w:eastAsia="en-US" w:bidi="ar-SA"/>
        </w:rPr>
      </w:pPr>
      <w:r>
        <w:rPr>
          <w:lang w:eastAsia="en-US" w:bidi="ar-SA"/>
        </w:rPr>
        <w:t xml:space="preserve">Segments of text which are in a language different from that of their surroundings and smaller than an already existing block-level container shall be </w:t>
      </w:r>
      <w:r>
        <w:t xml:space="preserve">wrapped in the element </w:t>
      </w:r>
      <w:r>
        <w:rPr>
          <w:rStyle w:val="Code"/>
        </w:rPr>
        <w:t>&lt;foreign&gt;</w:t>
      </w:r>
      <w:r>
        <w:t>. For the use of this element in the edition division, see §</w:t>
      </w:r>
      <w:r>
        <w:fldChar w:fldCharType="begin"/>
      </w:r>
      <w:r>
        <w:instrText xml:space="preserve"> REF _Ref231904363 \r \h </w:instrText>
      </w:r>
      <w:r>
        <w:fldChar w:fldCharType="separate"/>
      </w:r>
      <w:r>
        <w:t>8.1.2.3</w:t>
      </w:r>
      <w:r>
        <w:fldChar w:fldCharType="end"/>
      </w:r>
      <w:r>
        <w:t>. Outside the edition, such segments in a “foreign” language are handled in DHARMA practice as follows.</w:t>
      </w:r>
    </w:p>
    <w:p>
      <w:pPr>
        <w:pStyle w:val="Lista"/>
      </w:pPr>
      <w:r>
        <w:t xml:space="preserve">words or phrases in a modern language other than that of the surrounding text (e.g. a French phrase in an English commentary) must normally be tagged as </w:t>
      </w:r>
      <w:r>
        <w:rPr>
          <w:rStyle w:val="Code"/>
        </w:rPr>
        <w:t>&lt;foreign&gt;</w:t>
      </w:r>
      <w:r>
        <w:t xml:space="preserve"> with the language mandatorily encoded in </w:t>
      </w:r>
      <w:r>
        <w:rPr>
          <w:rStyle w:val="Codeattribute"/>
        </w:rPr>
        <w:t>@xml:lang</w:t>
      </w:r>
      <w:r>
        <w:t xml:space="preserve"> as per §</w:t>
      </w:r>
      <w:r>
        <w:fldChar w:fldCharType="begin"/>
      </w:r>
      <w:r>
        <w:instrText xml:space="preserve"> REF _Ref233727317 \r \h </w:instrText>
      </w:r>
      <w:r>
        <w:fldChar w:fldCharType="separate"/>
      </w:r>
      <w:r>
        <w:t>14.4.1</w:t>
      </w:r>
      <w:r>
        <w:fldChar w:fldCharType="end"/>
      </w:r>
    </w:p>
    <w:p>
      <w:pPr>
        <w:pStyle w:val="Lista2"/>
      </w:pPr>
      <w:r>
        <w:t xml:space="preserve">if the modern foreign language normally uses a non-Latin script, but you cite it in transliteration, then the subtag </w:t>
      </w:r>
      <w:r>
        <w:rPr>
          <w:rStyle w:val="Codevalue"/>
        </w:rPr>
        <w:t>-Latn</w:t>
      </w:r>
      <w:r>
        <w:t xml:space="preserve"> must be added to the language tag as per §</w:t>
      </w:r>
      <w:r>
        <w:fldChar w:fldCharType="begin"/>
      </w:r>
      <w:r>
        <w:instrText xml:space="preserve"> REF _Ref233792736 \r \h </w:instrText>
      </w:r>
      <w:r>
        <w:fldChar w:fldCharType="separate"/>
      </w:r>
      <w:r>
        <w:t>14.4.1.1</w:t>
      </w:r>
      <w:r>
        <w:fldChar w:fldCharType="end"/>
      </w:r>
      <w:r>
        <w:t xml:space="preserve"> </w:t>
      </w:r>
    </w:p>
    <w:p>
      <w:pPr>
        <w:pStyle w:val="Lista2"/>
      </w:pPr>
      <w:r>
        <w:t>however, do not overdo the tagging of international words: e.g. French or Latin loanwords commonly used in English need not be tagged at all</w:t>
      </w:r>
    </w:p>
    <w:p>
      <w:pPr>
        <w:pStyle w:val="Lista3"/>
      </w:pPr>
      <w:r>
        <w:t xml:space="preserve">as a rule of thumb, if you would italicise a foreign word in print, then tag it as </w:t>
      </w:r>
      <w:r>
        <w:rPr>
          <w:rStyle w:val="Code"/>
        </w:rPr>
        <w:t>&lt;foreign&gt;</w:t>
      </w:r>
      <w:r>
        <w:t xml:space="preserve"> (which will in fact be displayed in italics)</w:t>
      </w:r>
    </w:p>
    <w:p>
      <w:pPr>
        <w:pStyle w:val="Lista"/>
      </w:pPr>
      <w:r>
        <w:t>when words or phrases from one of our project’s source languages (especially from the language[s] of the text being edited and Sanskrit) are used in a modern-language context, then</w:t>
      </w:r>
    </w:p>
    <w:p>
      <w:pPr>
        <w:pStyle w:val="Lista2"/>
      </w:pPr>
      <w:r>
        <w:t xml:space="preserve">mandatorily tag them as </w:t>
      </w:r>
      <w:r>
        <w:rPr>
          <w:rStyle w:val="Code"/>
        </w:rPr>
        <w:t>&lt;foreign&gt;</w:t>
      </w:r>
    </w:p>
    <w:p>
      <w:pPr>
        <w:pStyle w:val="Lista2"/>
      </w:pPr>
      <w:r>
        <w:t xml:space="preserve">while encoding their language with </w:t>
      </w:r>
      <w:r>
        <w:rPr>
          <w:rStyle w:val="Codeattribute"/>
        </w:rPr>
        <w:t>@xml:lang</w:t>
      </w:r>
      <w:r>
        <w:t xml:space="preserve"> is optional and generally counter-recommended in order to reduce code clutter</w:t>
      </w:r>
    </w:p>
    <w:p>
      <w:pPr>
        <w:pStyle w:val="Lista"/>
      </w:pPr>
      <w:r>
        <w:t xml:space="preserve">the optionality of  </w:t>
      </w:r>
      <w:r>
        <w:rPr>
          <w:rStyle w:val="Codeattribute"/>
        </w:rPr>
        <w:t>@xml:lang</w:t>
      </w:r>
      <w:r>
        <w:t xml:space="preserve"> applies in particular to</w:t>
      </w:r>
    </w:p>
    <w:p>
      <w:pPr>
        <w:pStyle w:val="Lista2"/>
      </w:pPr>
      <w:r>
        <w:t xml:space="preserve">citations from the source in a translation, commentary or note (including apparatus notes), e.g. </w:t>
      </w:r>
      <w:r>
        <w:rPr>
          <w:rStyle w:val="Codetext"/>
        </w:rPr>
        <w:t xml:space="preserve">Two </w:t>
      </w:r>
      <w:r>
        <w:rPr>
          <w:rStyle w:val="Code"/>
        </w:rPr>
        <w:t>&lt;foreign&gt;</w:t>
      </w:r>
      <w:r>
        <w:rPr>
          <w:rStyle w:val="Codetext"/>
        </w:rPr>
        <w:t>kulyavāpa</w:t>
      </w:r>
      <w:r>
        <w:rPr>
          <w:rStyle w:val="Code"/>
        </w:rPr>
        <w:t>&lt;/foreign&gt;</w:t>
      </w:r>
      <w:r>
        <w:rPr>
          <w:rStyle w:val="Codetext"/>
        </w:rPr>
        <w:t>s of land</w:t>
      </w:r>
    </w:p>
    <w:p>
      <w:pPr>
        <w:pStyle w:val="Lista2"/>
      </w:pPr>
      <w:r>
        <w:lastRenderedPageBreak/>
        <w:t>strings of text that are not meaningful in and of themselves, such as</w:t>
      </w:r>
    </w:p>
    <w:p>
      <w:pPr>
        <w:pStyle w:val="Lista3"/>
      </w:pPr>
      <w:r>
        <w:t xml:space="preserve">single (transliterated) characters mentioned in a palaeographic description, e.g. </w:t>
      </w:r>
      <w:r>
        <w:rPr>
          <w:rStyle w:val="Codetext"/>
        </w:rPr>
        <w:t xml:space="preserve">The scribe tends to use </w:t>
      </w:r>
      <w:r>
        <w:rPr>
          <w:rStyle w:val="Code"/>
        </w:rPr>
        <w:t>&lt;foreign&gt;</w:t>
      </w:r>
      <w:r>
        <w:rPr>
          <w:rStyle w:val="Codetext"/>
        </w:rPr>
        <w:t>ṅh</w:t>
      </w:r>
      <w:r>
        <w:rPr>
          <w:rStyle w:val="Code"/>
        </w:rPr>
        <w:t>&lt;/foreign&gt;</w:t>
      </w:r>
      <w:r>
        <w:rPr>
          <w:rStyle w:val="Codetext"/>
        </w:rPr>
        <w:t xml:space="preserve"> instead of </w:t>
      </w:r>
      <w:r>
        <w:rPr>
          <w:rStyle w:val="Code"/>
        </w:rPr>
        <w:t>&lt;foreign&gt;</w:t>
      </w:r>
      <w:r>
        <w:rPr>
          <w:rStyle w:val="Codetext"/>
        </w:rPr>
        <w:t>ṁh</w:t>
      </w:r>
      <w:r>
        <w:rPr>
          <w:rStyle w:val="Code"/>
        </w:rPr>
        <w:t>&lt;/foreign&gt;</w:t>
      </w:r>
    </w:p>
    <w:p>
      <w:pPr>
        <w:pStyle w:val="Lista3"/>
      </w:pPr>
      <w:r>
        <w:t xml:space="preserve">morphological components or unintelligible segments mentioned in a discussion, e.g. </w:t>
      </w:r>
      <w:r>
        <w:rPr>
          <w:rStyle w:val="Codetext"/>
        </w:rPr>
        <w:t xml:space="preserve">The suffix </w:t>
      </w:r>
      <w:r>
        <w:rPr>
          <w:rStyle w:val="Code"/>
        </w:rPr>
        <w:t>&lt;foreign&gt;</w:t>
      </w:r>
      <w:r>
        <w:rPr>
          <w:rStyle w:val="Codetext"/>
        </w:rPr>
        <w:t>-vat</w:t>
      </w:r>
      <w:r>
        <w:rPr>
          <w:rStyle w:val="Code"/>
        </w:rPr>
        <w:t>&lt;/foreign&gt;</w:t>
      </w:r>
    </w:p>
    <w:p>
      <w:pPr>
        <w:pStyle w:val="Lista2"/>
      </w:pPr>
      <w:r>
        <w:t xml:space="preserve">technical terms in Sanskrit or another major language applicable to the inscription’s context, e.g. </w:t>
      </w:r>
      <w:r>
        <w:rPr>
          <w:rStyle w:val="Codetext"/>
        </w:rPr>
        <w:t xml:space="preserve">a </w:t>
      </w:r>
      <w:r>
        <w:rPr>
          <w:rStyle w:val="Code"/>
        </w:rPr>
        <w:t>&lt;foreign&gt;</w:t>
      </w:r>
      <w:r>
        <w:rPr>
          <w:rStyle w:val="Codetext"/>
        </w:rPr>
        <w:t>bahuvrīhi</w:t>
      </w:r>
      <w:r>
        <w:rPr>
          <w:rStyle w:val="Code"/>
        </w:rPr>
        <w:t>&lt;/foreign&gt;</w:t>
      </w:r>
      <w:r>
        <w:rPr>
          <w:rStyle w:val="Codetext"/>
        </w:rPr>
        <w:t xml:space="preserve"> compound</w:t>
      </w:r>
    </w:p>
    <w:p>
      <w:pPr>
        <w:pStyle w:val="Lista2"/>
      </w:pPr>
      <w:r>
        <w:t>terms cited in a dictionary reference (§</w:t>
      </w:r>
      <w:r>
        <w:fldChar w:fldCharType="begin"/>
      </w:r>
      <w:r>
        <w:instrText xml:space="preserve"> REF _Ref233811283 \r \h </w:instrText>
      </w:r>
      <w:r>
        <w:fldChar w:fldCharType="separate"/>
      </w:r>
      <w:r>
        <w:t>14.6.1.2</w:t>
      </w:r>
      <w:r>
        <w:fldChar w:fldCharType="end"/>
      </w:r>
      <w:r>
        <w:t>)</w:t>
      </w:r>
    </w:p>
    <w:p>
      <w:pPr>
        <w:pStyle w:val="Lista"/>
      </w:pPr>
      <w:r>
        <w:t xml:space="preserve">in each of these cases, </w:t>
      </w:r>
      <w:r>
        <w:rPr>
          <w:rStyle w:val="Codeattribute"/>
        </w:rPr>
        <w:t>@xml:lang</w:t>
      </w:r>
      <w:r>
        <w:t xml:space="preserve"> is not expressly prohibited, and you may choose to add it in any situation where you feel that the ambiguity arising from the lack of such encoding would be detrimental to the understanding of your work</w:t>
      </w:r>
    </w:p>
    <w:p>
      <w:pPr>
        <w:pStyle w:val="Lista2"/>
      </w:pPr>
      <w:r>
        <w:t xml:space="preserve">when you choose to use </w:t>
      </w:r>
      <w:r>
        <w:rPr>
          <w:rStyle w:val="Codeattribute"/>
        </w:rPr>
        <w:t>@xml:lang</w:t>
      </w:r>
      <w:r>
        <w:t xml:space="preserve"> in any of these non-mandatory cases, do not forget to include the subtag </w:t>
      </w:r>
      <w:r>
        <w:rPr>
          <w:rStyle w:val="Codevalue"/>
        </w:rPr>
        <w:t>-Latn</w:t>
      </w:r>
      <w:r>
        <w:t xml:space="preserve"> as per §</w:t>
      </w:r>
      <w:r>
        <w:fldChar w:fldCharType="begin"/>
      </w:r>
      <w:r>
        <w:instrText xml:space="preserve"> REF _Ref233792736 \r \h </w:instrText>
      </w:r>
      <w:r>
        <w:fldChar w:fldCharType="separate"/>
      </w:r>
      <w:r>
        <w:t>14.4.1.1</w:t>
      </w:r>
      <w:r>
        <w:fldChar w:fldCharType="end"/>
      </w:r>
      <w:r>
        <w:t xml:space="preserve"> </w:t>
      </w:r>
    </w:p>
    <w:p>
      <w:pPr>
        <w:pStyle w:val="Cmsor4"/>
      </w:pPr>
      <w:r>
        <w:t>Encoding source script outside the edition</w:t>
      </w:r>
    </w:p>
    <w:p>
      <w:pPr>
        <w:pStyle w:val="Lista"/>
      </w:pPr>
      <w:r>
        <w:t xml:space="preserve">the encoding of the source script with </w:t>
      </w:r>
      <w:r>
        <w:rPr>
          <w:rStyle w:val="Codeattribute"/>
        </w:rPr>
        <w:t>@rendition</w:t>
      </w:r>
      <w:r>
        <w:t xml:space="preserve"> (§</w:t>
      </w:r>
      <w:r>
        <w:fldChar w:fldCharType="begin"/>
      </w:r>
      <w:r>
        <w:instrText xml:space="preserve"> REF _Ref232173895 \r \h </w:instrText>
      </w:r>
      <w:r>
        <w:fldChar w:fldCharType="separate"/>
      </w:r>
      <w:r>
        <w:t>8.2.3.4</w:t>
      </w:r>
      <w:r>
        <w:fldChar w:fldCharType="end"/>
      </w:r>
      <w:r>
        <w:t>) should generally be avoided when citing text in a modern-language context</w:t>
      </w:r>
    </w:p>
    <w:p>
      <w:pPr>
        <w:pStyle w:val="Lista"/>
      </w:pPr>
      <w:r>
        <w:t>but when text from an inscription is cited with full editorial markup for the sake of complete accuracy (§</w:t>
      </w:r>
      <w:r>
        <w:fldChar w:fldCharType="begin"/>
      </w:r>
      <w:r>
        <w:instrText xml:space="preserve"> REF _Ref43990337 \r \h </w:instrText>
      </w:r>
      <w:r>
        <w:fldChar w:fldCharType="separate"/>
      </w:r>
      <w:r>
        <w:t>14.1</w:t>
      </w:r>
      <w:r>
        <w:fldChar w:fldCharType="end"/>
      </w:r>
      <w:r>
        <w:t>), then such encoding may also be retained if there is good reason to do so</w:t>
      </w:r>
    </w:p>
    <w:p>
      <w:pPr>
        <w:pStyle w:val="Lista"/>
      </w:pPr>
      <w:r>
        <w:t>text that was written in the Grantha script in the source may be encoded outside the edition as described in §</w:t>
      </w:r>
      <w:r>
        <w:fldChar w:fldCharType="begin"/>
      </w:r>
      <w:r>
        <w:instrText xml:space="preserve"> REF _Ref233727983 \r \h </w:instrText>
      </w:r>
      <w:r>
        <w:fldChar w:fldCharType="separate"/>
      </w:r>
      <w:r>
        <w:t>14.2.3</w:t>
      </w:r>
      <w:r>
        <w:fldChar w:fldCharType="end"/>
      </w:r>
      <w:r>
        <w:t xml:space="preserve"> </w:t>
      </w:r>
    </w:p>
    <w:p>
      <w:pPr>
        <w:pStyle w:val="Cmsor2"/>
      </w:pPr>
      <w:bookmarkStart w:id="903" w:name="_yj9mfyez22i9" w:colFirst="0" w:colLast="0"/>
      <w:bookmarkStart w:id="904" w:name="_Ref43989684"/>
      <w:bookmarkEnd w:id="903"/>
      <w:r>
        <w:t>Notes</w:t>
      </w:r>
      <w:bookmarkEnd w:id="904"/>
    </w:p>
    <w:p>
      <w:r>
        <w:t>In DHARMA digital editions, notes — encoded as per §</w:t>
      </w:r>
      <w:r>
        <w:fldChar w:fldCharType="begin"/>
      </w:r>
      <w:r>
        <w:instrText xml:space="preserve"> REF _Ref233729831 \r \h </w:instrText>
      </w:r>
      <w:r>
        <w:fldChar w:fldCharType="separate"/>
      </w:r>
      <w:r>
        <w:t>14.5.1</w:t>
      </w:r>
      <w:r>
        <w:fldChar w:fldCharType="end"/>
      </w:r>
      <w:r>
        <w:t xml:space="preserve"> — may only be used in the apparatus, the translation, the commentary, and the bibliography.</w:t>
      </w:r>
    </w:p>
    <w:p>
      <w:pPr>
        <w:pStyle w:val="Lista"/>
      </w:pPr>
      <w:r>
        <w:t xml:space="preserve">in the critical apparatus, notes may only appear as the last child element(s) of an </w:t>
      </w:r>
      <w:r>
        <w:rPr>
          <w:rStyle w:val="Code"/>
        </w:rPr>
        <w:t>&lt;app&gt;</w:t>
      </w:r>
      <w:r>
        <w:t xml:space="preserve"> element (§</w:t>
      </w:r>
      <w:r>
        <w:fldChar w:fldCharType="begin"/>
      </w:r>
      <w:r>
        <w:instrText xml:space="preserve"> REF _Ref43988104 \r \h </w:instrText>
      </w:r>
      <w:r>
        <w:fldChar w:fldCharType="separate"/>
      </w:r>
      <w:r>
        <w:t>10.7</w:t>
      </w:r>
      <w:r>
        <w:fldChar w:fldCharType="end"/>
      </w:r>
      <w:r>
        <w:t>), but not at any other place, for instance within the lemma or a particular reading</w:t>
      </w:r>
    </w:p>
    <w:p>
      <w:pPr>
        <w:pStyle w:val="Lista"/>
      </w:pPr>
      <w:r>
        <w:t>in the structured bibliographies (§</w:t>
      </w:r>
      <w:r>
        <w:fldChar w:fldCharType="begin"/>
      </w:r>
      <w:r>
        <w:instrText xml:space="preserve"> REF _Ref63676627 \r \h </w:instrText>
      </w:r>
      <w:r>
        <w:fldChar w:fldCharType="separate"/>
      </w:r>
      <w:r>
        <w:t>13.3</w:t>
      </w:r>
      <w:r>
        <w:fldChar w:fldCharType="end"/>
      </w:r>
      <w:r>
        <w:t xml:space="preserve">), notes may only appear as the last child element of a </w:t>
      </w:r>
      <w:r>
        <w:rPr>
          <w:rStyle w:val="Code"/>
        </w:rPr>
        <w:t>&lt;bibl&gt;</w:t>
      </w:r>
      <w:r>
        <w:t xml:space="preserve"> element, but not at any other place, for instance before a </w:t>
      </w:r>
      <w:r>
        <w:rPr>
          <w:rStyle w:val="Code"/>
        </w:rPr>
        <w:t>&lt;citedRange&gt;</w:t>
      </w:r>
      <w:r>
        <w:t xml:space="preserve"> element or between </w:t>
      </w:r>
      <w:r>
        <w:rPr>
          <w:rStyle w:val="Code"/>
        </w:rPr>
        <w:t>&lt;bibl&gt;</w:t>
      </w:r>
      <w:r>
        <w:t xml:space="preserve"> elements</w:t>
      </w:r>
    </w:p>
    <w:p>
      <w:pPr>
        <w:pStyle w:val="Lista"/>
      </w:pPr>
      <w:r>
        <w:t>elsewhere, i.e. in the translation, the commentary and the epigraphic lemma, notes may appear at any point where free text is permitted</w:t>
      </w:r>
    </w:p>
    <w:p>
      <w:pPr>
        <w:pStyle w:val="Cmsor3"/>
      </w:pPr>
      <w:bookmarkStart w:id="905" w:name="_Ref233729831"/>
      <w:bookmarkStart w:id="906" w:name="_Toc242976722"/>
      <w:r>
        <w:t>Encoding notes</w:t>
      </w:r>
      <w:bookmarkEnd w:id="905"/>
      <w:bookmarkEnd w:id="906"/>
    </w:p>
    <w:p>
      <w:pPr>
        <w:pStyle w:val="Lista"/>
      </w:pPr>
      <w:r>
        <w:t xml:space="preserve">to create a note, add the element </w:t>
      </w:r>
      <w:r>
        <w:rPr>
          <w:rStyle w:val="Code"/>
        </w:rPr>
        <w:t>&lt;note&gt;</w:t>
      </w:r>
      <w:r>
        <w:t xml:space="preserve"> at the point where the note should be anchored</w:t>
      </w:r>
    </w:p>
    <w:p>
      <w:pPr>
        <w:pStyle w:val="Lista2"/>
      </w:pPr>
      <w:r>
        <w:t xml:space="preserve">as applicable, the attributes </w:t>
      </w:r>
      <w:r>
        <w:rPr>
          <w:rStyle w:val="Codeattribute"/>
        </w:rPr>
        <w:t>@resp</w:t>
      </w:r>
      <w:r>
        <w:t xml:space="preserve"> or </w:t>
      </w:r>
      <w:r>
        <w:rPr>
          <w:rStyle w:val="Codeattribute"/>
        </w:rPr>
        <w:t>@source</w:t>
      </w:r>
      <w:r>
        <w:t xml:space="preserve"> may be added to this element to encode the authorship of a note as per §</w:t>
      </w:r>
      <w:r>
        <w:fldChar w:fldCharType="begin"/>
      </w:r>
      <w:r>
        <w:instrText xml:space="preserve"> REF _Ref233730339 \r \h </w:instrText>
      </w:r>
      <w:r>
        <w:fldChar w:fldCharType="separate"/>
      </w:r>
      <w:r>
        <w:t>14.5.1.1</w:t>
      </w:r>
      <w:r>
        <w:fldChar w:fldCharType="end"/>
      </w:r>
    </w:p>
    <w:p>
      <w:pPr>
        <w:pStyle w:val="Lista2"/>
      </w:pPr>
      <w:r>
        <w:t>this element may contain text as well as markup as described in §</w:t>
      </w:r>
      <w:r>
        <w:fldChar w:fldCharType="begin"/>
      </w:r>
      <w:r>
        <w:instrText xml:space="preserve"> REF _Ref233731527 \r \h </w:instrText>
      </w:r>
      <w:r>
        <w:fldChar w:fldCharType="separate"/>
      </w:r>
      <w:r>
        <w:t>14.5.2</w:t>
      </w:r>
      <w:r>
        <w:fldChar w:fldCharType="end"/>
      </w:r>
    </w:p>
    <w:p>
      <w:pPr>
        <w:pStyle w:val="Lista"/>
      </w:pPr>
      <w:r>
        <w:rPr>
          <w:rStyle w:val="Code"/>
        </w:rPr>
        <w:t>&lt;note&gt;</w:t>
      </w:r>
      <w:r>
        <w:t xml:space="preserve"> elements must always be within the structural containers applicable to the division, i.e. within </w:t>
      </w:r>
      <w:r>
        <w:rPr>
          <w:rStyle w:val="Code"/>
        </w:rPr>
        <w:t>&lt;p&gt;</w:t>
      </w:r>
      <w:r>
        <w:t xml:space="preserve"> in a translation or commentary, within </w:t>
      </w:r>
      <w:r>
        <w:rPr>
          <w:rStyle w:val="Code"/>
        </w:rPr>
        <w:t>&lt;app&gt;</w:t>
      </w:r>
      <w:r>
        <w:t xml:space="preserve"> in the apparatus, and within </w:t>
      </w:r>
      <w:r>
        <w:rPr>
          <w:rStyle w:val="Code"/>
        </w:rPr>
        <w:t>&lt;bibl&gt;</w:t>
      </w:r>
      <w:r>
        <w:t xml:space="preserve"> in the structured bibliography</w:t>
      </w:r>
    </w:p>
    <w:p>
      <w:pPr>
        <w:pStyle w:val="Lista2"/>
      </w:pPr>
      <w:r>
        <w:t xml:space="preserve">in freeform text </w:t>
      </w:r>
      <w:r>
        <w:rPr>
          <w:noProof/>
        </w:rPr>
        <w:t>(</w:t>
      </w:r>
      <w:r>
        <w:t xml:space="preserve">i.e. in a translation or commentary), place the </w:t>
      </w:r>
      <w:r>
        <w:rPr>
          <w:rStyle w:val="Code"/>
        </w:rPr>
        <w:t>&lt;note&gt;</w:t>
      </w:r>
      <w:r>
        <w:t xml:space="preserve"> element after any adjacent punctuation mark, not before it</w:t>
      </w:r>
    </w:p>
    <w:p>
      <w:pPr>
        <w:pStyle w:val="Lista2"/>
      </w:pPr>
      <w:r>
        <w:t xml:space="preserve">when attaching a note to text tagged with another element (e.g. </w:t>
      </w:r>
      <w:r>
        <w:rPr>
          <w:rStyle w:val="Code"/>
        </w:rPr>
        <w:t>&lt;foreign&gt;</w:t>
      </w:r>
      <w:r>
        <w:t>), put the note after the end-tag of the other element</w:t>
      </w:r>
    </w:p>
    <w:p>
      <w:pPr>
        <w:pStyle w:val="Lista3"/>
      </w:pPr>
      <w:r>
        <w:t xml:space="preserve">this also applies to bibliographic citations other than those in the structured bibliographies: if you wish to attach a note to a bibliographic citation amid free text, place the </w:t>
      </w:r>
      <w:r>
        <w:rPr>
          <w:rStyle w:val="Code"/>
        </w:rPr>
        <w:t>&lt;note&gt;</w:t>
      </w:r>
      <w:r>
        <w:t xml:space="preserve"> element after the end-tag </w:t>
      </w:r>
      <w:r>
        <w:rPr>
          <w:rStyle w:val="Code"/>
        </w:rPr>
        <w:t>&lt;/bibl&gt;</w:t>
      </w:r>
    </w:p>
    <w:p>
      <w:pPr>
        <w:pStyle w:val="Cmsor4"/>
      </w:pPr>
      <w:bookmarkStart w:id="907" w:name="_Ref233730339"/>
      <w:r>
        <w:lastRenderedPageBreak/>
        <w:t>The authorship of notes</w:t>
      </w:r>
      <w:bookmarkEnd w:id="907"/>
    </w:p>
    <w:p>
      <w:pPr>
        <w:rPr>
          <w:lang w:eastAsia="en-US" w:bidi="ar-SA"/>
        </w:rPr>
      </w:pPr>
      <w:r>
        <w:rPr>
          <w:lang w:eastAsia="en-US" w:bidi="ar-SA"/>
        </w:rPr>
        <w:t>The author of a note is by default understood to be the same person as the author of the note’s ancestor element. Thus, a note in the apparatus, commentary or bibliography is understood to be the product of the edition’s author(s) encoded in the responsibility statement (§</w:t>
      </w:r>
      <w:r>
        <w:rPr>
          <w:lang w:eastAsia="en-US" w:bidi="ar-SA"/>
        </w:rPr>
        <w:fldChar w:fldCharType="begin"/>
      </w:r>
      <w:r>
        <w:rPr>
          <w:lang w:eastAsia="en-US" w:bidi="ar-SA"/>
        </w:rPr>
        <w:instrText xml:space="preserve"> REF _Ref43990001 \r \h </w:instrText>
      </w:r>
      <w:r>
        <w:rPr>
          <w:lang w:eastAsia="en-US" w:bidi="ar-SA"/>
        </w:rPr>
      </w:r>
      <w:r>
        <w:rPr>
          <w:lang w:eastAsia="en-US" w:bidi="ar-SA"/>
        </w:rPr>
        <w:fldChar w:fldCharType="separate"/>
      </w:r>
      <w:r>
        <w:rPr>
          <w:lang w:eastAsia="en-US" w:bidi="ar-SA"/>
        </w:rPr>
        <w:t>15.1.2</w:t>
      </w:r>
      <w:r>
        <w:rPr>
          <w:lang w:eastAsia="en-US" w:bidi="ar-SA"/>
        </w:rPr>
        <w:fldChar w:fldCharType="end"/>
      </w:r>
      <w:r>
        <w:rPr>
          <w:lang w:eastAsia="en-US" w:bidi="ar-SA"/>
        </w:rPr>
        <w:t>), while a note in the translation is understood to be the product of the author encoded on the translation division (§</w:t>
      </w:r>
      <w:r>
        <w:rPr>
          <w:lang w:eastAsia="en-US" w:bidi="ar-SA"/>
        </w:rPr>
        <w:fldChar w:fldCharType="begin"/>
      </w:r>
      <w:r>
        <w:rPr>
          <w:lang w:eastAsia="en-US" w:bidi="ar-SA"/>
        </w:rPr>
        <w:instrText xml:space="preserve"> REF _Ref233276652 \r \h </w:instrText>
      </w:r>
      <w:r>
        <w:rPr>
          <w:lang w:eastAsia="en-US" w:bidi="ar-SA"/>
        </w:rPr>
      </w:r>
      <w:r>
        <w:rPr>
          <w:lang w:eastAsia="en-US" w:bidi="ar-SA"/>
        </w:rPr>
        <w:fldChar w:fldCharType="separate"/>
      </w:r>
      <w:r>
        <w:rPr>
          <w:lang w:eastAsia="en-US" w:bidi="ar-SA"/>
        </w:rPr>
        <w:t>11.1.2</w:t>
      </w:r>
      <w:r>
        <w:rPr>
          <w:lang w:eastAsia="en-US" w:bidi="ar-SA"/>
        </w:rPr>
        <w:fldChar w:fldCharType="end"/>
      </w:r>
      <w:r>
        <w:rPr>
          <w:lang w:eastAsia="en-US" w:bidi="ar-SA"/>
        </w:rPr>
        <w:t>). When a note from another person is adopted verbatim, this shall be encoded as follows.</w:t>
      </w:r>
    </w:p>
    <w:p>
      <w:pPr>
        <w:pStyle w:val="Lista"/>
      </w:pPr>
      <w:r>
        <w:t xml:space="preserve">to attribute a note to a DHARMA contributor, use </w:t>
      </w:r>
      <w:r>
        <w:rPr>
          <w:rStyle w:val="Codeattribute"/>
        </w:rPr>
        <w:t>@resp</w:t>
      </w:r>
      <w:r>
        <w:t xml:space="preserve"> </w:t>
      </w:r>
      <w:r>
        <w:rPr>
          <w:noProof/>
        </w:rPr>
        <w:t>(</w:t>
      </w:r>
      <w:r>
        <w:t>§</w:t>
      </w:r>
      <w:r>
        <w:fldChar w:fldCharType="begin"/>
      </w:r>
      <w:r>
        <w:instrText xml:space="preserve"> REF _Ref43989765 \w \h  \* MERGEFORMAT </w:instrText>
      </w:r>
      <w:r>
        <w:fldChar w:fldCharType="separate"/>
      </w:r>
      <w:r>
        <w:t>14.6.5</w:t>
      </w:r>
      <w:r>
        <w:fldChar w:fldCharType="end"/>
      </w:r>
      <w:r>
        <w:t>) on the note</w:t>
      </w:r>
    </w:p>
    <w:p>
      <w:pPr>
        <w:pStyle w:val="Lista"/>
      </w:pPr>
      <w:r>
        <w:t xml:space="preserve">to attribute a note to a publication, use </w:t>
      </w:r>
      <w:r>
        <w:rPr>
          <w:rStyle w:val="Codeattribute"/>
        </w:rPr>
        <w:t>@source</w:t>
      </w:r>
      <w:r>
        <w:t xml:space="preserve"> </w:t>
      </w:r>
      <w:r>
        <w:rPr>
          <w:noProof/>
        </w:rPr>
        <w:t>(</w:t>
      </w:r>
      <w:r>
        <w:t>§</w:t>
      </w:r>
      <w:r>
        <w:fldChar w:fldCharType="begin"/>
      </w:r>
      <w:r>
        <w:instrText xml:space="preserve"> REF _Ref43989551 \w \h  \* MERGEFORMAT </w:instrText>
      </w:r>
      <w:r>
        <w:fldChar w:fldCharType="separate"/>
      </w:r>
      <w:r>
        <w:t>14.6.2</w:t>
      </w:r>
      <w:r>
        <w:fldChar w:fldCharType="end"/>
      </w:r>
      <w:r>
        <w:t>) on the note</w:t>
      </w:r>
    </w:p>
    <w:p>
      <w:pPr>
        <w:pStyle w:val="Lista"/>
      </w:pPr>
      <w:r>
        <w:t>paraphrased notes are regarded as the product of the person doing the paraphrasing and must not be attributed in this manner</w:t>
      </w:r>
    </w:p>
    <w:p>
      <w:pPr>
        <w:pStyle w:val="Lista2"/>
      </w:pPr>
      <w:r>
        <w:t xml:space="preserve">the author of the original note shall be credited by including a regular citation </w:t>
      </w:r>
      <w:r>
        <w:rPr>
          <w:noProof/>
        </w:rPr>
        <w:t>(</w:t>
      </w:r>
      <w:r>
        <w:t>§</w:t>
      </w:r>
      <w:r>
        <w:fldChar w:fldCharType="begin"/>
      </w:r>
      <w:r>
        <w:instrText xml:space="preserve"> REF _Ref233877601 \r \h </w:instrText>
      </w:r>
      <w:r>
        <w:fldChar w:fldCharType="separate"/>
      </w:r>
      <w:r>
        <w:t>14.6.1</w:t>
      </w:r>
      <w:r>
        <w:fldChar w:fldCharType="end"/>
      </w:r>
      <w:r>
        <w:t>) in the paraphrase or, if the reference is obvious from the context, simply by referring to the original author by name</w:t>
      </w:r>
    </w:p>
    <w:p>
      <w:pPr>
        <w:pStyle w:val="Cmsor3"/>
      </w:pPr>
      <w:bookmarkStart w:id="908" w:name="_Ref233731527"/>
      <w:bookmarkStart w:id="909" w:name="_Toc242976723"/>
      <w:r>
        <w:t>The content of notes</w:t>
      </w:r>
      <w:bookmarkEnd w:id="908"/>
      <w:bookmarkEnd w:id="909"/>
    </w:p>
    <w:p>
      <w:pPr>
        <w:pStyle w:val="Lista"/>
      </w:pPr>
      <w:r>
        <w:t>notes shall be written as freeform text, preferably consisting of complete sentences in English, starting with a capital letter and ending with punctuation</w:t>
      </w:r>
    </w:p>
    <w:p>
      <w:pPr>
        <w:pStyle w:val="Lista"/>
      </w:pPr>
      <w:r>
        <w:t>in general, notes may contain globally available encoding (§</w:t>
      </w:r>
      <w:r>
        <w:fldChar w:fldCharType="begin"/>
      </w:r>
      <w:r>
        <w:instrText xml:space="preserve"> REF _Ref43990225 \r \h </w:instrText>
      </w:r>
      <w:r>
        <w:fldChar w:fldCharType="separate"/>
      </w:r>
      <w:r>
        <w:t>14</w:t>
      </w:r>
      <w:r>
        <w:fldChar w:fldCharType="end"/>
      </w:r>
      <w:r>
        <w:t>) as and when applicable</w:t>
      </w:r>
    </w:p>
    <w:p>
      <w:pPr>
        <w:pStyle w:val="Lista2"/>
      </w:pPr>
      <w:r>
        <w:t>in particular, proper encoding must be applied within notes to</w:t>
      </w:r>
    </w:p>
    <w:p>
      <w:pPr>
        <w:pStyle w:val="Lista3"/>
      </w:pPr>
      <w:r>
        <w:t>bibliographic citations (§</w:t>
      </w:r>
      <w:r>
        <w:fldChar w:fldCharType="begin"/>
      </w:r>
      <w:r>
        <w:instrText xml:space="preserve"> REF _Ref233877601 \r \h </w:instrText>
      </w:r>
      <w:r>
        <w:fldChar w:fldCharType="separate"/>
      </w:r>
      <w:r>
        <w:t>14.6.1</w:t>
      </w:r>
      <w:r>
        <w:fldChar w:fldCharType="end"/>
      </w:r>
      <w:r>
        <w:t>), which should be present wherever you refer to a published opinion</w:t>
      </w:r>
    </w:p>
    <w:p>
      <w:pPr>
        <w:pStyle w:val="Lista3"/>
      </w:pPr>
      <w:r>
        <w:rPr>
          <w:rStyle w:val="Code"/>
        </w:rPr>
        <w:t>&lt;foreign&gt;</w:t>
      </w:r>
      <w:r>
        <w:t xml:space="preserve"> markup (§</w:t>
      </w:r>
      <w:r>
        <w:fldChar w:fldCharType="begin"/>
      </w:r>
      <w:r>
        <w:instrText xml:space="preserve"> REF _Ref43986658 \r \h </w:instrText>
      </w:r>
      <w:r>
        <w:fldChar w:fldCharType="separate"/>
      </w:r>
      <w:r>
        <w:t>14.4.2</w:t>
      </w:r>
      <w:r>
        <w:fldChar w:fldCharType="end"/>
      </w:r>
      <w:r>
        <w:t>) for text in a source language</w:t>
      </w:r>
    </w:p>
    <w:p>
      <w:pPr>
        <w:pStyle w:val="Lista2"/>
      </w:pPr>
      <w:r>
        <w:t>while notes should generally be kept reasonably short and simple, long and complicated notes can and should be divided up using block-level containers (§</w:t>
      </w:r>
      <w:r>
        <w:fldChar w:fldCharType="begin"/>
      </w:r>
      <w:r>
        <w:instrText xml:space="preserve"> REF _Ref233789547 \r \h </w:instrText>
      </w:r>
      <w:r>
        <w:fldChar w:fldCharType="separate"/>
      </w:r>
      <w:r>
        <w:t>14.3</w:t>
      </w:r>
      <w:r>
        <w:fldChar w:fldCharType="end"/>
      </w:r>
      <w:r>
        <w:t>)</w:t>
      </w:r>
    </w:p>
    <w:p>
      <w:pPr>
        <w:pStyle w:val="Lista3"/>
      </w:pPr>
      <w:r>
        <w:t>except apparatus notes, which (because they will be rendered for display as inline parts of apparatus entries) must not contain block-level containers</w:t>
      </w:r>
    </w:p>
    <w:p>
      <w:pPr>
        <w:pStyle w:val="Lista"/>
      </w:pPr>
      <w:r>
        <w:t xml:space="preserve">in order to avoid complications in display, processing and interpretability, a </w:t>
      </w:r>
      <w:r>
        <w:rPr>
          <w:rStyle w:val="Code"/>
        </w:rPr>
        <w:t>&lt;note&gt;</w:t>
      </w:r>
      <w:r>
        <w:t xml:space="preserve"> element must never contain another </w:t>
      </w:r>
      <w:r>
        <w:rPr>
          <w:rStyle w:val="Code"/>
        </w:rPr>
        <w:t>&lt;note&gt;</w:t>
      </w:r>
      <w:r>
        <w:t xml:space="preserve"> element</w:t>
      </w:r>
    </w:p>
    <w:p>
      <w:pPr>
        <w:pStyle w:val="Cmsor2"/>
      </w:pPr>
      <w:r>
        <w:t>Citation, quotation and reference</w:t>
      </w:r>
    </w:p>
    <w:p>
      <w:pPr>
        <w:pStyle w:val="Cmsor3"/>
      </w:pPr>
      <w:bookmarkStart w:id="910" w:name="_Ref233877601"/>
      <w:bookmarkStart w:id="911" w:name="_Toc242976724"/>
      <w:r>
        <w:t>Encoding bibliographic citations</w:t>
      </w:r>
      <w:bookmarkEnd w:id="910"/>
      <w:bookmarkEnd w:id="911"/>
    </w:p>
    <w:p>
      <w:r>
        <w:t xml:space="preserve">References to any published work shall be encoded as machine-interpretable citations using the element </w:t>
      </w:r>
      <w:r>
        <w:rPr>
          <w:rStyle w:val="Code"/>
        </w:rPr>
        <w:t>&lt;bibl&gt;</w:t>
      </w:r>
      <w:r>
        <w:t>. This encoding is available in any part of your XML document where free modern-language text is permitted.</w:t>
      </w:r>
    </w:p>
    <w:p>
      <w:pPr>
        <w:pStyle w:val="Lista"/>
      </w:pPr>
      <w:r>
        <w:t xml:space="preserve">a citation is encoded in the form of the element </w:t>
      </w:r>
      <w:r>
        <w:rPr>
          <w:rStyle w:val="Code"/>
        </w:rPr>
        <w:t>&lt;bibl&gt;</w:t>
      </w:r>
      <w:r>
        <w:t xml:space="preserve"> as illustrated in </w:t>
      </w:r>
      <w:r>
        <w:fldChar w:fldCharType="begin"/>
      </w:r>
      <w:r>
        <w:instrText xml:space="preserve"> REF _Ref233799826 \h </w:instrText>
      </w:r>
      <w:r>
        <w:fldChar w:fldCharType="separate"/>
      </w:r>
      <w:r>
        <w:t xml:space="preserve">Exhibit </w:t>
      </w:r>
      <w:r>
        <w:rPr>
          <w:noProof/>
        </w:rPr>
        <w:t>14.6</w:t>
      </w:r>
      <w:r>
        <w:t>.</w:t>
      </w:r>
      <w:r>
        <w:rPr>
          <w:noProof/>
        </w:rPr>
        <w:t>A</w:t>
      </w:r>
      <w:r>
        <w:fldChar w:fldCharType="end"/>
      </w:r>
    </w:p>
    <w:p>
      <w:pPr>
        <w:pStyle w:val="Lista2"/>
      </w:pPr>
      <w:r>
        <w:t xml:space="preserve">either without attributes </w:t>
      </w:r>
    </w:p>
    <w:p>
      <w:pPr>
        <w:pStyle w:val="Lista2"/>
      </w:pPr>
      <w:r>
        <w:t xml:space="preserve">or, if applicable, with </w:t>
      </w:r>
      <w:r>
        <w:rPr>
          <w:rStyle w:val="Codeattribute"/>
        </w:rPr>
        <w:t>@rend</w:t>
      </w:r>
      <w:r>
        <w:t xml:space="preserve"> taking values as per §</w:t>
      </w:r>
      <w:r>
        <w:fldChar w:fldCharType="begin"/>
      </w:r>
      <w:r>
        <w:instrText xml:space="preserve"> REF _Ref233818238 \r \h </w:instrText>
      </w:r>
      <w:r>
        <w:fldChar w:fldCharType="separate"/>
      </w:r>
      <w:r>
        <w:t>14.6.1.6</w:t>
      </w:r>
      <w:r>
        <w:fldChar w:fldCharType="end"/>
      </w:r>
      <w:r>
        <w:t xml:space="preserve"> to hide the name of the author and/or to display the citation as “ibid.”</w:t>
      </w:r>
    </w:p>
    <w:p>
      <w:pPr>
        <w:pStyle w:val="Lista"/>
      </w:pPr>
      <w:r>
        <w:rPr>
          <w:rStyle w:val="Code"/>
        </w:rPr>
        <w:t>&lt;bibl&gt;</w:t>
      </w:r>
      <w:r>
        <w:t xml:space="preserve"> must mandatorily contain the empty element </w:t>
      </w:r>
      <w:r>
        <w:rPr>
          <w:rStyle w:val="Code"/>
        </w:rPr>
        <w:t>&lt;ptr/&gt;</w:t>
      </w:r>
      <w:r>
        <w:t xml:space="preserve"> </w:t>
      </w:r>
      <w:r>
        <w:rPr>
          <w:noProof/>
        </w:rPr>
        <w:t>(for “</w:t>
      </w:r>
      <w:r>
        <w:t xml:space="preserve">pointer”) as its first child, with the mandatory attribute </w:t>
      </w:r>
      <w:r>
        <w:rPr>
          <w:rStyle w:val="Codeattribute"/>
        </w:rPr>
        <w:t>@target</w:t>
      </w:r>
    </w:p>
    <w:p>
      <w:pPr>
        <w:pStyle w:val="Lista2"/>
      </w:pPr>
      <w:r>
        <w:t xml:space="preserve">the value of this attribute shall be the Zotero Short Title (ZG §4.10) of the cited publication, prefixed with the string </w:t>
      </w:r>
      <w:r>
        <w:rPr>
          <w:rStyle w:val="Codevalue"/>
        </w:rPr>
        <w:t>bib:</w:t>
      </w:r>
    </w:p>
    <w:p>
      <w:pPr>
        <w:pStyle w:val="Lista"/>
      </w:pPr>
      <w:r>
        <w:t xml:space="preserve">as applicable, </w:t>
      </w:r>
      <w:r>
        <w:rPr>
          <w:rStyle w:val="Code"/>
        </w:rPr>
        <w:t>&lt;bibl&gt;</w:t>
      </w:r>
      <w:r>
        <w:t xml:space="preserve"> may contain the element </w:t>
      </w:r>
      <w:r>
        <w:rPr>
          <w:rStyle w:val="Code"/>
        </w:rPr>
        <w:t>&lt;citedRange&gt;</w:t>
      </w:r>
      <w:r>
        <w:t xml:space="preserve"> as its second child, to limit the citation to a specific part of the publication</w:t>
      </w:r>
    </w:p>
    <w:p>
      <w:pPr>
        <w:pStyle w:val="Lista2"/>
      </w:pPr>
      <w:r>
        <w:t>using page numbers as set out in §</w:t>
      </w:r>
      <w:r>
        <w:fldChar w:fldCharType="begin"/>
      </w:r>
      <w:r>
        <w:instrText xml:space="preserve"> REF _Ref233811140 \r \h </w:instrText>
      </w:r>
      <w:r>
        <w:fldChar w:fldCharType="separate"/>
      </w:r>
      <w:r>
        <w:t>14.6.1.1</w:t>
      </w:r>
      <w:r>
        <w:fldChar w:fldCharType="end"/>
      </w:r>
    </w:p>
    <w:p>
      <w:pPr>
        <w:pStyle w:val="Lista3"/>
      </w:pPr>
      <w:r>
        <w:t>this is the typical mode for making a citation specific</w:t>
      </w:r>
    </w:p>
    <w:p>
      <w:pPr>
        <w:pStyle w:val="Lista2"/>
      </w:pPr>
      <w:r>
        <w:t>using other units of reference as set out in §</w:t>
      </w:r>
      <w:r>
        <w:fldChar w:fldCharType="begin"/>
      </w:r>
      <w:r>
        <w:instrText xml:space="preserve"> REF _Ref233811283 \r \h </w:instrText>
      </w:r>
      <w:r>
        <w:fldChar w:fldCharType="separate"/>
      </w:r>
      <w:r>
        <w:t>14.6.1.2</w:t>
      </w:r>
      <w:r>
        <w:fldChar w:fldCharType="end"/>
      </w:r>
    </w:p>
    <w:p>
      <w:pPr>
        <w:pStyle w:val="Lista3"/>
      </w:pPr>
      <w:r>
        <w:t>this mode is chiefly for references that, by general scholarly convention, do not include a page range, such as dictionary entries, sections from grammars, and some anthologies of inscriptions</w:t>
      </w:r>
    </w:p>
    <w:p>
      <w:pPr>
        <w:pStyle w:val="Lista3"/>
      </w:pPr>
      <w:r>
        <w:t>a combination of different reference units may be encoded as set out in §</w:t>
      </w:r>
      <w:r>
        <w:fldChar w:fldCharType="begin"/>
      </w:r>
      <w:r>
        <w:instrText xml:space="preserve"> REF _Ref233811301 \r \h </w:instrText>
      </w:r>
      <w:r>
        <w:fldChar w:fldCharType="separate"/>
      </w:r>
      <w:r>
        <w:t>14.6.1.4</w:t>
      </w:r>
      <w:r>
        <w:fldChar w:fldCharType="end"/>
      </w:r>
    </w:p>
    <w:p>
      <w:pPr>
        <w:pStyle w:val="Lista2"/>
      </w:pPr>
      <w:r>
        <w:lastRenderedPageBreak/>
        <w:t>using a freestyle specification as set out in §</w:t>
      </w:r>
      <w:r>
        <w:fldChar w:fldCharType="begin"/>
      </w:r>
      <w:r>
        <w:instrText xml:space="preserve"> REF _Ref233811324 \r \h </w:instrText>
      </w:r>
      <w:r>
        <w:fldChar w:fldCharType="separate"/>
      </w:r>
      <w:r>
        <w:t>14.6.1.5</w:t>
      </w:r>
      <w:r>
        <w:fldChar w:fldCharType="end"/>
      </w:r>
    </w:p>
    <w:p>
      <w:pPr>
        <w:pStyle w:val="Lista3"/>
      </w:pPr>
      <w:r>
        <w:t>this mode is for highly complex details that cannot be fitted to the constraints of the above modes</w:t>
      </w:r>
    </w:p>
    <w:p>
      <w:pPr>
        <w:pStyle w:val="Lista2"/>
      </w:pPr>
      <w:r>
        <w:t>encoding the specifics of the cited locus or range in this way is generally mandatory unless you are citing a publication as a whole</w:t>
      </w:r>
    </w:p>
    <w:p>
      <w:pPr>
        <w:pStyle w:val="Lista3"/>
      </w:pPr>
      <w:r>
        <w:t>however, when referring to an entire publication that is part of a volume (such as a journal article or book chapter), the page range for the whole publication need not and must not be encoded, as the range for such a publication as a whole is already featured in the relevant Zotero entry</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912" w:name="_Ref233799826"/>
            <w:r>
              <w:t xml:space="preserve">Exhibit </w:t>
            </w:r>
            <w:fldSimple w:instr=" STYLEREF 2 \s ">
              <w:r>
                <w:rPr>
                  <w:noProof/>
                </w:rPr>
                <w:t>14.6</w:t>
              </w:r>
            </w:fldSimple>
            <w:r>
              <w:t>.</w:t>
            </w:r>
            <w:fldSimple w:instr=" SEQ Exhibit \* ALPHABETIC \s 2 ">
              <w:r>
                <w:rPr>
                  <w:noProof/>
                </w:rPr>
                <w:t>A</w:t>
              </w:r>
            </w:fldSimple>
            <w:bookmarkEnd w:id="912"/>
            <w:r>
              <w:t>: encoding a basic citation</w:t>
            </w:r>
          </w:p>
        </w:tc>
      </w:tr>
      <w:tr>
        <w:tc>
          <w:tcPr>
            <w:tcW w:w="5000" w:type="pct"/>
          </w:tcPr>
          <w:p>
            <w:pPr>
              <w:pStyle w:val="TableNote"/>
              <w:keepNext/>
            </w:pPr>
            <w:r>
              <w:t>Agrawala 1983</w:t>
            </w:r>
          </w:p>
        </w:tc>
      </w:tr>
      <w:tr>
        <w:tc>
          <w:tcPr>
            <w:tcW w:w="5000" w:type="pct"/>
          </w:tcPr>
          <w:p>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"bib:Agrawala1983_01"</w:t>
            </w:r>
            <w:r>
              <w:rPr>
                <w:rStyle w:val="Code"/>
              </w:rPr>
              <w:t>/&gt;</w:t>
            </w:r>
            <w:r>
              <w:rPr>
                <w:rStyle w:val="Codetext"/>
              </w:rPr>
              <w:br/>
            </w:r>
            <w:r>
              <w:rPr>
                <w:rStyle w:val="Code"/>
              </w:rPr>
              <w:t>&lt;/bibl&gt;</w:t>
            </w:r>
          </w:p>
        </w:tc>
      </w:tr>
    </w:tbl>
    <w:p/>
    <w:p>
      <w:pPr>
        <w:pStyle w:val="Cmsor4"/>
      </w:pPr>
      <w:bookmarkStart w:id="913" w:name="_Ref233811140"/>
      <w:r>
        <w:t>Specifying page numbers</w:t>
      </w:r>
      <w:bookmarkEnd w:id="913"/>
    </w:p>
    <w:p>
      <w:r>
        <w:t xml:space="preserve">Since </w:t>
      </w:r>
      <w:r>
        <w:rPr>
          <w:rStyle w:val="Code"/>
        </w:rPr>
        <w:t>&lt;citedRange&gt;</w:t>
      </w:r>
      <w:r>
        <w:t xml:space="preserve"> will be understood by default to refer to page numbers, no further code is needed for creating references to pages unless they are combined with other units of reference as per §</w:t>
      </w:r>
      <w:r>
        <w:fldChar w:fldCharType="begin"/>
      </w:r>
      <w:r>
        <w:instrText xml:space="preserve"> REF _Ref233812949 \r \h </w:instrText>
      </w:r>
      <w:r>
        <w:fldChar w:fldCharType="separate"/>
      </w:r>
      <w:r>
        <w:t>14.6.1.4</w:t>
      </w:r>
      <w:r>
        <w:fldChar w:fldCharType="end"/>
      </w:r>
      <w:r>
        <w:t>.</w:t>
      </w:r>
    </w:p>
    <w:p>
      <w:pPr>
        <w:pStyle w:val="Lista"/>
      </w:pPr>
      <w:r>
        <w:t xml:space="preserve">when specifying a reference through page numbers, simply enter the applicable number(s) within </w:t>
      </w:r>
      <w:r>
        <w:rPr>
          <w:rStyle w:val="Code"/>
        </w:rPr>
        <w:t>&lt;citedRange&gt;</w:t>
      </w:r>
    </w:p>
    <w:p>
      <w:pPr>
        <w:pStyle w:val="Lista"/>
      </w:pPr>
      <w:r>
        <w:t>references to page numbers may be specified in any of the following ways</w:t>
      </w:r>
    </w:p>
    <w:p>
      <w:pPr>
        <w:pStyle w:val="Lista2"/>
      </w:pPr>
      <w:r>
        <w:t xml:space="preserve">a single page number, e.g. </w:t>
      </w:r>
      <w:r>
        <w:rPr>
          <w:rStyle w:val="Code"/>
        </w:rPr>
        <w:t>&lt;citedRange&gt;</w:t>
      </w:r>
      <w:r>
        <w:rPr>
          <w:rStyle w:val="Codetext"/>
        </w:rPr>
        <w:t>12</w:t>
      </w:r>
      <w:r>
        <w:rPr>
          <w:rStyle w:val="Code"/>
        </w:rPr>
        <w:t>&lt;/citedRange&gt;</w:t>
      </w:r>
    </w:p>
    <w:p>
      <w:pPr>
        <w:pStyle w:val="Lista2"/>
      </w:pPr>
      <w:r>
        <w:t xml:space="preserve">a range of pages recorded as two numbers with an intervening hyphen, e.g. </w:t>
      </w:r>
      <w:r>
        <w:rPr>
          <w:rStyle w:val="Code"/>
        </w:rPr>
        <w:t>&lt;citedRange&gt;</w:t>
      </w:r>
      <w:r>
        <w:rPr>
          <w:rStyle w:val="Codetext"/>
        </w:rPr>
        <w:t>12-21</w:t>
      </w:r>
      <w:r>
        <w:rPr>
          <w:rStyle w:val="Code"/>
        </w:rPr>
        <w:t>&lt;/citedRange&gt;</w:t>
      </w:r>
    </w:p>
    <w:p>
      <w:pPr>
        <w:pStyle w:val="Lista3"/>
      </w:pPr>
      <w:r>
        <w:t xml:space="preserve">never drop digits from the number marking the endpoint of a range, e.g. </w:t>
      </w:r>
      <w:r>
        <w:rPr>
          <w:rStyle w:val="Code"/>
        </w:rPr>
        <w:t>&lt;citedRange&gt;</w:t>
      </w:r>
      <w:r>
        <w:rPr>
          <w:rStyle w:val="Codetext"/>
        </w:rPr>
        <w:t>123-124</w:t>
      </w:r>
      <w:r>
        <w:rPr>
          <w:rStyle w:val="Code"/>
        </w:rPr>
        <w:t>&lt;/citedRange&gt;</w:t>
      </w:r>
      <w:r>
        <w:t xml:space="preserve"> </w:t>
      </w:r>
      <w:r>
        <w:rPr>
          <w:noProof/>
        </w:rPr>
        <w:t>(</w:t>
      </w:r>
      <w:r>
        <w:t>not 123-4 or 123-24)</w:t>
      </w:r>
    </w:p>
    <w:p>
      <w:pPr>
        <w:pStyle w:val="Lista3"/>
      </w:pPr>
      <w:r>
        <w:t>when referring to a range of pages, always indicate the full range rather than just the starting point (avoid forms like 123f. or 123ff.)</w:t>
      </w:r>
    </w:p>
    <w:p>
      <w:pPr>
        <w:pStyle w:val="Lista3"/>
      </w:pPr>
      <w:r>
        <w:t xml:space="preserve">see </w:t>
      </w:r>
      <w:r>
        <w:fldChar w:fldCharType="begin"/>
      </w:r>
      <w:r>
        <w:instrText xml:space="preserve"> REF _Ref233817611 \h </w:instrText>
      </w:r>
      <w:r>
        <w:fldChar w:fldCharType="separate"/>
      </w:r>
      <w:r>
        <w:t xml:space="preserve">Exhibit </w:t>
      </w:r>
      <w:r>
        <w:rPr>
          <w:noProof/>
        </w:rPr>
        <w:t>14.6</w:t>
      </w:r>
      <w:r>
        <w:t>.</w:t>
      </w:r>
      <w:r>
        <w:rPr>
          <w:noProof/>
        </w:rPr>
        <w:t>B</w:t>
      </w:r>
      <w:r>
        <w:fldChar w:fldCharType="end"/>
      </w:r>
      <w:r>
        <w:t xml:space="preserve"> for an illustration</w:t>
      </w:r>
    </w:p>
    <w:p>
      <w:pPr>
        <w:pStyle w:val="Lista2"/>
        <w:rPr>
          <w:rStyle w:val="Code"/>
          <w:rFonts w:ascii="Gentium" w:hAnsi="Gentium" w:cs="Tiro Devanagari Sanskrit"/>
          <w:noProof w:val="0"/>
          <w:color w:val="auto"/>
          <w:shd w:val="clear" w:color="auto" w:fill="auto"/>
        </w:rPr>
      </w:pPr>
      <w:r>
        <w:t xml:space="preserve">two or more non-consecutive pages separated by a comma (and a space), e.g. </w:t>
      </w:r>
      <w:r>
        <w:rPr>
          <w:rStyle w:val="Code"/>
        </w:rPr>
        <w:t>&lt;citedRange&gt;</w:t>
      </w:r>
      <w:r>
        <w:rPr>
          <w:rStyle w:val="Codetext"/>
        </w:rPr>
        <w:t>12, 24</w:t>
      </w:r>
      <w:r>
        <w:rPr>
          <w:rStyle w:val="Code"/>
        </w:rPr>
        <w:t>&lt;/citedRange&gt;</w:t>
      </w:r>
    </w:p>
    <w:p>
      <w:pPr>
        <w:pStyle w:val="Lista"/>
      </w:pPr>
      <w:r>
        <w:t>page numbers which are not Arabic numerals may need to be converted to Arabic numerals as per §</w:t>
      </w:r>
      <w:r>
        <w:fldChar w:fldCharType="begin"/>
      </w:r>
      <w:r>
        <w:instrText xml:space="preserve"> REF _Ref233812153 \r \h </w:instrText>
      </w:r>
      <w:r>
        <w:fldChar w:fldCharType="separate"/>
      </w:r>
      <w:r>
        <w:t>14.6.1.3</w:t>
      </w:r>
      <w:r>
        <w:fldChar w:fldCharType="end"/>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914" w:name="_Ref233817611"/>
            <w:bookmarkStart w:id="915" w:name="_Ref233817605"/>
            <w:r>
              <w:t xml:space="preserve">Exhibit </w:t>
            </w:r>
            <w:fldSimple w:instr=" STYLEREF 2 \s ">
              <w:r>
                <w:rPr>
                  <w:noProof/>
                </w:rPr>
                <w:t>14.6</w:t>
              </w:r>
            </w:fldSimple>
            <w:r>
              <w:t>.</w:t>
            </w:r>
            <w:fldSimple w:instr=" SEQ Exhibit \* ALPHABETIC \s 2 ">
              <w:r>
                <w:rPr>
                  <w:noProof/>
                </w:rPr>
                <w:t>B</w:t>
              </w:r>
            </w:fldSimple>
            <w:bookmarkEnd w:id="914"/>
            <w:r>
              <w:t>: encoding a basic citation with a page range</w:t>
            </w:r>
            <w:bookmarkEnd w:id="915"/>
          </w:p>
        </w:tc>
      </w:tr>
      <w:tr>
        <w:tc>
          <w:tcPr>
            <w:tcW w:w="5000" w:type="pct"/>
          </w:tcPr>
          <w:p>
            <w:pPr>
              <w:pStyle w:val="TableNote"/>
              <w:keepNext/>
            </w:pPr>
            <w:r>
              <w:t>Majumdar 1943: 23–28</w:t>
            </w:r>
          </w:p>
        </w:tc>
      </w:tr>
      <w:tr>
        <w:tc>
          <w:tcPr>
            <w:tcW w:w="5000" w:type="pct"/>
          </w:tcPr>
          <w:p>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"bib:Majumdar1943_01"</w:t>
            </w:r>
            <w:r>
              <w:rPr>
                <w:rStyle w:val="Code"/>
              </w:rPr>
              <w:t>/&gt;</w:t>
            </w:r>
            <w:r>
              <w:rPr>
                <w:rStyle w:val="Codetext"/>
              </w:rPr>
              <w:br/>
              <w:t xml:space="preserve">  </w:t>
            </w:r>
            <w:r>
              <w:rPr>
                <w:rStyle w:val="Code"/>
              </w:rPr>
              <w:t>&lt;citedRange&gt;</w:t>
            </w:r>
            <w:r>
              <w:rPr>
                <w:rStyle w:val="Codetext"/>
              </w:rPr>
              <w:t>23-28</w:t>
            </w:r>
            <w:r>
              <w:rPr>
                <w:rStyle w:val="Code"/>
              </w:rPr>
              <w:t>&lt;/citedRange&gt;</w:t>
            </w:r>
            <w:r>
              <w:rPr>
                <w:rStyle w:val="Codetext"/>
              </w:rPr>
              <w:br/>
            </w:r>
            <w:r>
              <w:rPr>
                <w:rStyle w:val="Code"/>
              </w:rPr>
              <w:t>&lt;/bibl&gt;</w:t>
            </w:r>
          </w:p>
        </w:tc>
      </w:tr>
    </w:tbl>
    <w:p>
      <w:pPr>
        <w:pStyle w:val="Cmsor4"/>
      </w:pPr>
      <w:bookmarkStart w:id="916" w:name="_Ref233811283"/>
      <w:bookmarkStart w:id="917" w:name="_Ref233811284"/>
      <w:r>
        <w:t>Citation specifics other than pages</w:t>
      </w:r>
      <w:bookmarkEnd w:id="916"/>
      <w:bookmarkEnd w:id="917"/>
    </w:p>
    <w:p>
      <w:r>
        <w:t xml:space="preserve">To use entities other than pages in the specification of a citation, add the attribute </w:t>
      </w:r>
      <w:r>
        <w:rPr>
          <w:rStyle w:val="Codeattribute"/>
        </w:rPr>
        <w:t>@unit</w:t>
      </w:r>
      <w:r>
        <w:t xml:space="preserve"> to </w:t>
      </w:r>
      <w:r>
        <w:rPr>
          <w:rStyle w:val="Code"/>
        </w:rPr>
        <w:t>&lt;citedRange&gt;</w:t>
      </w:r>
      <w:r>
        <w:t xml:space="preserve"> and formulate the contents of the element accordingly.</w:t>
      </w:r>
    </w:p>
    <w:p>
      <w:pPr>
        <w:pStyle w:val="Lista"/>
      </w:pPr>
      <w:r>
        <w:t xml:space="preserve">in DHARMA practice, the following values of </w:t>
      </w:r>
      <w:r>
        <w:rPr>
          <w:rStyle w:val="Codeattribute"/>
        </w:rPr>
        <w:t>@unit</w:t>
      </w:r>
      <w:r>
        <w:t xml:space="preserve"> may be used on </w:t>
      </w:r>
      <w:r>
        <w:rPr>
          <w:rStyle w:val="Code"/>
        </w:rPr>
        <w:t>&lt;citedRange&gt;</w:t>
      </w:r>
    </w:p>
    <w:p>
      <w:pPr>
        <w:pStyle w:val="Lista2"/>
      </w:pPr>
      <w:r>
        <w:rPr>
          <w:rStyle w:val="Codevalue"/>
        </w:rPr>
        <w:t>"appendix"</w:t>
      </w:r>
      <w:r>
        <w:t xml:space="preserve"> for numbered appendices</w:t>
      </w:r>
    </w:p>
    <w:p>
      <w:pPr>
        <w:pStyle w:val="Lista2"/>
      </w:pPr>
      <w:r>
        <w:rPr>
          <w:rStyle w:val="Codevalue"/>
        </w:rPr>
        <w:t>"book"</w:t>
      </w:r>
      <w:r>
        <w:t xml:space="preserve"> for numbered divisions within a single volume, especially when designated by the term “book” or an equivalent, where the reference system is restarted in each division</w:t>
      </w:r>
    </w:p>
    <w:p>
      <w:pPr>
        <w:pStyle w:val="Lista3"/>
      </w:pPr>
      <w:r>
        <w:t xml:space="preserve">such as Sircar’s </w:t>
      </w:r>
      <w:r>
        <w:rPr>
          <w:i/>
          <w:iCs/>
        </w:rPr>
        <w:t>Select Inscriptions</w:t>
      </w:r>
      <w:r>
        <w:t>, where item numbers are restarted in each “book” of both volumes</w:t>
      </w:r>
    </w:p>
    <w:p>
      <w:pPr>
        <w:pStyle w:val="Lista3"/>
      </w:pPr>
      <w:r>
        <w:t>distinguish this unit from “part” and “volume”</w:t>
      </w:r>
    </w:p>
    <w:p>
      <w:pPr>
        <w:pStyle w:val="Lista2"/>
      </w:pPr>
      <w:r>
        <w:rPr>
          <w:rStyle w:val="Codevalue"/>
        </w:rPr>
        <w:t>"entry"</w:t>
      </w:r>
      <w:r>
        <w:t xml:space="preserve"> for an item in a dictionary or encyclopaedia </w:t>
      </w:r>
      <w:r>
        <w:rPr>
          <w:noProof/>
        </w:rPr>
        <w:t>(</w:t>
      </w:r>
      <w:r>
        <w:t xml:space="preserve">to be displayed as </w:t>
      </w:r>
      <w:r>
        <w:rPr>
          <w:rStyle w:val="Foreign"/>
        </w:rPr>
        <w:t>s.v.</w:t>
      </w:r>
      <w:r>
        <w:t>)</w:t>
      </w:r>
    </w:p>
    <w:p>
      <w:pPr>
        <w:pStyle w:val="Lista3"/>
      </w:pPr>
      <w:r>
        <w:lastRenderedPageBreak/>
        <w:t xml:space="preserve">if the reference is to a dictionary entry, optionally enclose the contents of </w:t>
      </w:r>
      <w:r>
        <w:rPr>
          <w:rStyle w:val="Code"/>
        </w:rPr>
        <w:t>&lt;citedRange&gt;</w:t>
      </w:r>
      <w:r>
        <w:t xml:space="preserve"> in </w:t>
      </w:r>
      <w:r>
        <w:rPr>
          <w:rStyle w:val="Code"/>
        </w:rPr>
        <w:t>&lt;foreign&gt;</w:t>
      </w:r>
      <w:r>
        <w:t xml:space="preserve"> (as per §</w:t>
      </w:r>
      <w:r>
        <w:fldChar w:fldCharType="begin"/>
      </w:r>
      <w:r>
        <w:instrText xml:space="preserve"> REF _Ref43986658 \r \h </w:instrText>
      </w:r>
      <w:r>
        <w:fldChar w:fldCharType="separate"/>
      </w:r>
      <w:r>
        <w:t>14.4.2</w:t>
      </w:r>
      <w:r>
        <w:fldChar w:fldCharType="end"/>
      </w:r>
      <w:r>
        <w:t>)</w:t>
      </w:r>
    </w:p>
    <w:p>
      <w:pPr>
        <w:pStyle w:val="Lista4"/>
        <w:rPr>
          <w:rStyle w:val="Code"/>
          <w:rFonts w:ascii="Gentium" w:hAnsi="Gentium" w:cs="Tiro Devanagari Sanskrit"/>
          <w:noProof w:val="0"/>
          <w:color w:val="auto"/>
          <w:shd w:val="clear" w:color="auto" w:fill="auto"/>
        </w:rPr>
      </w:pPr>
      <w:r>
        <w:t xml:space="preserve">this is not a technical requirement but a cosmetic option: the output will be italicised when wrapped in </w:t>
      </w:r>
      <w:r>
        <w:rPr>
          <w:rStyle w:val="Code"/>
        </w:rPr>
        <w:t>&lt;foreign&gt;</w:t>
      </w:r>
      <w:r>
        <w:t xml:space="preserve">, but not italicised without </w:t>
      </w:r>
      <w:r>
        <w:rPr>
          <w:rStyle w:val="Code"/>
        </w:rPr>
        <w:t>&lt;foreign&gt;</w:t>
      </w:r>
    </w:p>
    <w:p>
      <w:pPr>
        <w:pStyle w:val="Lista3"/>
      </w:pPr>
      <w:r>
        <w:t>to encode a reference containing only “s.v.” (without the actual headword), use a freestyle specification (§</w:t>
      </w:r>
      <w:r>
        <w:fldChar w:fldCharType="begin"/>
      </w:r>
      <w:r>
        <w:instrText xml:space="preserve"> REF _Ref233811324 \r \h </w:instrText>
      </w:r>
      <w:r>
        <w:fldChar w:fldCharType="separate"/>
      </w:r>
      <w:r>
        <w:t>14.6.1.5</w:t>
      </w:r>
      <w:r>
        <w:fldChar w:fldCharType="end"/>
      </w:r>
      <w:r>
        <w:t>) or simply add “s.v.” in the text outside the encoded citation</w:t>
      </w:r>
    </w:p>
    <w:p>
      <w:pPr>
        <w:pStyle w:val="Lista2"/>
      </w:pPr>
      <w:r>
        <w:rPr>
          <w:rStyle w:val="Codevalue"/>
        </w:rPr>
        <w:t>"figure"</w:t>
      </w:r>
      <w:r>
        <w:t xml:space="preserve"> for illustrations and other graphics</w:t>
      </w:r>
    </w:p>
    <w:p>
      <w:pPr>
        <w:pStyle w:val="Lista3"/>
      </w:pPr>
      <w:r>
        <w:t>distinguish this unit from “plate”</w:t>
      </w:r>
    </w:p>
    <w:p>
      <w:pPr>
        <w:pStyle w:val="Lista2"/>
      </w:pPr>
      <w:r>
        <w:rPr>
          <w:rStyle w:val="Codevalue"/>
        </w:rPr>
        <w:t>"item"</w:t>
      </w:r>
      <w:r>
        <w:t xml:space="preserve"> for a numbered item in an anthology of editions or an item in a numbered list </w:t>
      </w:r>
      <w:r>
        <w:rPr>
          <w:noProof/>
        </w:rPr>
        <w:t>(</w:t>
      </w:r>
      <w:r>
        <w:t>to be displayed as №)</w:t>
      </w:r>
    </w:p>
    <w:p>
      <w:pPr>
        <w:pStyle w:val="Lista3"/>
      </w:pPr>
      <w:r>
        <w:t xml:space="preserve">see </w:t>
      </w:r>
      <w:r>
        <w:fldChar w:fldCharType="begin"/>
      </w:r>
      <w:r>
        <w:instrText xml:space="preserve"> REF _Ref233646064 \h </w:instrText>
      </w:r>
      <w:r>
        <w:fldChar w:fldCharType="separate"/>
      </w:r>
      <w:r>
        <w:t xml:space="preserve">Exhibit </w:t>
      </w:r>
      <w:r>
        <w:rPr>
          <w:noProof/>
        </w:rPr>
        <w:t>14.3</w:t>
      </w:r>
      <w:r>
        <w:t>.</w:t>
      </w:r>
      <w:r>
        <w:rPr>
          <w:noProof/>
        </w:rPr>
        <w:t>C</w:t>
      </w:r>
      <w:r>
        <w:fldChar w:fldCharType="end"/>
      </w:r>
      <w:r>
        <w:t xml:space="preserve"> for an illustration</w:t>
      </w:r>
    </w:p>
    <w:p>
      <w:pPr>
        <w:pStyle w:val="Lista2"/>
      </w:pPr>
      <w:r>
        <w:rPr>
          <w:rStyle w:val="Codevalue"/>
        </w:rPr>
        <w:t>"line"</w:t>
      </w:r>
      <w:r>
        <w:t xml:space="preserve"> for a lineated work where citations are conventionally identified by line number</w:t>
      </w:r>
    </w:p>
    <w:p>
      <w:pPr>
        <w:pStyle w:val="Lista2"/>
      </w:pPr>
      <w:r>
        <w:rPr>
          <w:rStyle w:val="Codevalue"/>
        </w:rPr>
        <w:t>"note"</w:t>
      </w:r>
      <w:r>
        <w:t xml:space="preserve"> for a numbered </w:t>
      </w:r>
      <w:r>
        <w:rPr>
          <w:noProof/>
        </w:rPr>
        <w:t>(</w:t>
      </w:r>
      <w:r>
        <w:t>foot or end) note</w:t>
      </w:r>
    </w:p>
    <w:p>
      <w:pPr>
        <w:pStyle w:val="Lista2"/>
      </w:pPr>
      <w:r>
        <w:rPr>
          <w:rStyle w:val="Codevalue"/>
        </w:rPr>
        <w:t>"page"</w:t>
      </w:r>
      <w:r>
        <w:t xml:space="preserve"> for pages</w:t>
      </w:r>
    </w:p>
    <w:p>
      <w:pPr>
        <w:pStyle w:val="Lista3"/>
      </w:pPr>
      <w:r>
        <w:t>this value is understood by default and, as noted in §</w:t>
      </w:r>
      <w:r>
        <w:fldChar w:fldCharType="begin"/>
      </w:r>
      <w:r>
        <w:instrText xml:space="preserve"> REF _Ref233811140 \r \h </w:instrText>
      </w:r>
      <w:r>
        <w:fldChar w:fldCharType="separate"/>
      </w:r>
      <w:r>
        <w:t>14.6.1.1</w:t>
      </w:r>
      <w:r>
        <w:fldChar w:fldCharType="end"/>
      </w:r>
      <w:r>
        <w:t>, need not be encoded except when more than one specification is given for a single citation as per §</w:t>
      </w:r>
      <w:r>
        <w:fldChar w:fldCharType="begin"/>
      </w:r>
      <w:r>
        <w:instrText xml:space="preserve"> REF _Ref233811301 \r \h </w:instrText>
      </w:r>
      <w:r>
        <w:fldChar w:fldCharType="separate"/>
      </w:r>
      <w:r>
        <w:t>14.6.1.4</w:t>
      </w:r>
      <w:r>
        <w:fldChar w:fldCharType="end"/>
      </w:r>
    </w:p>
    <w:p>
      <w:pPr>
        <w:pStyle w:val="Lista2"/>
      </w:pPr>
      <w:r>
        <w:rPr>
          <w:rStyle w:val="Codevalue"/>
        </w:rPr>
        <w:t>"part"</w:t>
      </w:r>
      <w:r>
        <w:t xml:space="preserve"> to distinguish sections of publications where identical page numbers re-occur within a single volume </w:t>
      </w:r>
      <w:r>
        <w:rPr>
          <w:noProof/>
        </w:rPr>
        <w:t>(</w:t>
      </w:r>
      <w:r>
        <w:t>such as Epigraphia Carnatica)</w:t>
      </w:r>
    </w:p>
    <w:p>
      <w:pPr>
        <w:pStyle w:val="Lista2"/>
      </w:pPr>
      <w:r>
        <w:rPr>
          <w:rStyle w:val="Codevalue"/>
        </w:rPr>
        <w:t>"plate"</w:t>
      </w:r>
      <w:r>
        <w:t xml:space="preserve"> for visual material designated by the term “plate” or printed on pages separate from text</w:t>
      </w:r>
    </w:p>
    <w:p>
      <w:pPr>
        <w:pStyle w:val="Lista3"/>
      </w:pPr>
      <w:r>
        <w:t>distinguish this unit from “figure”</w:t>
      </w:r>
    </w:p>
    <w:p>
      <w:pPr>
        <w:pStyle w:val="Lista2"/>
      </w:pPr>
      <w:r>
        <w:rPr>
          <w:rStyle w:val="Codevalue"/>
        </w:rPr>
        <w:t>"section"</w:t>
      </w:r>
      <w:r>
        <w:t xml:space="preserve"> for one of many numbered paragraphs or short sections where this form of citation is practicable, such as many grammars as well as the descriptive parts of many volumes of the </w:t>
      </w:r>
      <w:r>
        <w:rPr>
          <w:rStyle w:val="Foreign"/>
        </w:rPr>
        <w:t>Annual Report on Indian Epigraphy</w:t>
      </w:r>
    </w:p>
    <w:p>
      <w:pPr>
        <w:pStyle w:val="Lista2"/>
      </w:pPr>
      <w:r>
        <w:rPr>
          <w:rStyle w:val="Codevalue"/>
        </w:rPr>
        <w:t>"table"</w:t>
      </w:r>
      <w:r>
        <w:t xml:space="preserve"> for material labelled as a table or presented in table form</w:t>
      </w:r>
    </w:p>
    <w:p>
      <w:pPr>
        <w:pStyle w:val="Lista2"/>
      </w:pPr>
      <w:r>
        <w:rPr>
          <w:rStyle w:val="Codevalue"/>
        </w:rPr>
        <w:t>"volume"</w:t>
      </w:r>
      <w:r>
        <w:t xml:space="preserve"> for a specific (physically separate) volume of multi-volume publications</w:t>
      </w:r>
    </w:p>
    <w:p>
      <w:pPr>
        <w:pStyle w:val="Lista3"/>
      </w:pPr>
      <w:r>
        <w:t>distinguish this unit from “book” and “part”</w:t>
      </w:r>
    </w:p>
    <w:p>
      <w:pPr>
        <w:pStyle w:val="Lista"/>
      </w:pPr>
      <w:r>
        <w:t xml:space="preserve">only the above values are permitted (as well as </w:t>
      </w:r>
      <w:r>
        <w:rPr>
          <w:rStyle w:val="Codevalue"/>
        </w:rPr>
        <w:t>"mixed"</w:t>
      </w:r>
      <w:r>
        <w:t>, §</w:t>
      </w:r>
      <w:r>
        <w:fldChar w:fldCharType="begin"/>
      </w:r>
      <w:r>
        <w:instrText xml:space="preserve"> REF _Ref233811324 \r \h </w:instrText>
      </w:r>
      <w:r>
        <w:fldChar w:fldCharType="separate"/>
      </w:r>
      <w:r>
        <w:t>14.6.1.5</w:t>
      </w:r>
      <w:r>
        <w:fldChar w:fldCharType="end"/>
      </w:r>
      <w:r>
        <w:t>)</w:t>
      </w:r>
    </w:p>
    <w:p>
      <w:pPr>
        <w:pStyle w:val="Lista2"/>
      </w:pPr>
      <w:r>
        <w:t>if the publication uses different terminology, find the best approximation among the acceptable values</w:t>
      </w:r>
    </w:p>
    <w:p>
      <w:pPr>
        <w:pStyle w:val="Lista2"/>
      </w:pPr>
      <w:r>
        <w:t xml:space="preserve">if the publication uses a different language, use the English equivalent (e.g. </w:t>
      </w:r>
      <w:r>
        <w:rPr>
          <w:rStyle w:val="Codevalue"/>
        </w:rPr>
        <w:t>"appendix"</w:t>
      </w:r>
      <w:r>
        <w:t xml:space="preserve"> for an original </w:t>
      </w:r>
      <w:r>
        <w:rPr>
          <w:rStyle w:val="Foreign"/>
        </w:rPr>
        <w:t>bijlage</w:t>
      </w:r>
      <w:r>
        <w:t>)</w:t>
      </w:r>
    </w:p>
    <w:p>
      <w:pPr>
        <w:pStyle w:val="Lista2"/>
      </w:pPr>
      <w:r>
        <w:t>if none of these solutions are satisfactory, encode a freestyle specification (§</w:t>
      </w:r>
      <w:r>
        <w:fldChar w:fldCharType="begin"/>
      </w:r>
      <w:r>
        <w:instrText xml:space="preserve"> REF _Ref233811324 \r \h </w:instrText>
      </w:r>
      <w:r>
        <w:fldChar w:fldCharType="separate"/>
      </w:r>
      <w:r>
        <w:t>14.6.1.5</w:t>
      </w:r>
      <w:r>
        <w:fldChar w:fldCharType="end"/>
      </w:r>
      <w:r>
        <w:t>)</w:t>
      </w:r>
    </w:p>
    <w:p>
      <w:pPr>
        <w:pStyle w:val="Lista"/>
      </w:pPr>
      <w:r>
        <w:t xml:space="preserve">just as with page numbers, </w:t>
      </w:r>
      <w:r>
        <w:rPr>
          <w:rStyle w:val="Code"/>
        </w:rPr>
        <w:t>&lt;citedRange&gt;</w:t>
      </w:r>
      <w:r>
        <w:t xml:space="preserve"> with any of the above values of </w:t>
      </w:r>
      <w:r>
        <w:rPr>
          <w:rStyle w:val="Codeattribute"/>
        </w:rPr>
        <w:t>@unit</w:t>
      </w:r>
      <w:r>
        <w:t xml:space="preserve"> may contain an individual identifier, a range separated with a hyphen, or a list separated with commas and spaces</w:t>
      </w:r>
    </w:p>
    <w:p>
      <w:pPr>
        <w:pStyle w:val="Lista"/>
      </w:pPr>
      <w:r>
        <w:t>no machine action will be performed on the specification of a citation, but strive to keep your reference as clear and unambiguous as possible</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r>
              <w:t xml:space="preserve">Exhibit </w:t>
            </w:r>
            <w:fldSimple w:instr=" STYLEREF 2 \s ">
              <w:r>
                <w:rPr>
                  <w:noProof/>
                </w:rPr>
                <w:t>14.6</w:t>
              </w:r>
            </w:fldSimple>
            <w:r>
              <w:t>.</w:t>
            </w:r>
            <w:fldSimple w:instr=" SEQ Exhibit \* ALPHABETIC \s 2 ">
              <w:r>
                <w:rPr>
                  <w:noProof/>
                </w:rPr>
                <w:t>C</w:t>
              </w:r>
            </w:fldSimple>
            <w:r>
              <w:t>: encoding a citation with an item number</w:t>
            </w:r>
          </w:p>
        </w:tc>
      </w:tr>
      <w:tr>
        <w:tc>
          <w:tcPr>
            <w:tcW w:w="5000" w:type="pct"/>
          </w:tcPr>
          <w:p>
            <w:pPr>
              <w:pStyle w:val="TableNote"/>
              <w:keepNext/>
            </w:pPr>
            <w:proofErr w:type="spellStart"/>
            <w:r>
              <w:t>Shastree</w:t>
            </w:r>
            <w:proofErr w:type="spellEnd"/>
            <w:r>
              <w:t xml:space="preserve"> 1844: № 1</w:t>
            </w:r>
          </w:p>
        </w:tc>
      </w:tr>
      <w:tr>
        <w:tc>
          <w:tcPr>
            <w:tcW w:w="5000" w:type="pct"/>
          </w:tcPr>
          <w:p>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w:t>
            </w:r>
            <w:r>
              <w:t xml:space="preserve"> </w:t>
            </w:r>
            <w:r>
              <w:rPr>
                <w:rStyle w:val="Codevalue"/>
              </w:rPr>
              <w:t>Shastree1844_01"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1</w:t>
            </w:r>
            <w:r>
              <w:rPr>
                <w:rStyle w:val="Code"/>
              </w:rPr>
              <w:t>&lt;/citedRange&gt;</w:t>
            </w:r>
            <w:r>
              <w:rPr>
                <w:rStyle w:val="Codetext"/>
              </w:rPr>
              <w:br/>
            </w:r>
            <w:r>
              <w:rPr>
                <w:rStyle w:val="Code"/>
              </w:rPr>
              <w:t>&lt;/bibl&gt;</w:t>
            </w:r>
          </w:p>
        </w:tc>
      </w:tr>
    </w:tbl>
    <w:p/>
    <w:p>
      <w:pPr>
        <w:pStyle w:val="Cmsor4"/>
      </w:pPr>
      <w:bookmarkStart w:id="918" w:name="_Ref233812153"/>
      <w:r>
        <w:t>Numeration style in bibliographic citations</w:t>
      </w:r>
      <w:bookmarkEnd w:id="918"/>
    </w:p>
    <w:p>
      <w:r>
        <w:rPr>
          <w:lang w:eastAsia="en-US" w:bidi="ar-SA"/>
        </w:rPr>
        <w:t xml:space="preserve">For consistency and the convenience of the reader, we generally prefer numeration in Arabic numerals. </w:t>
      </w:r>
      <w:r>
        <w:t xml:space="preserve">As per ZG §4.6, we recommend that you convert any other numerals used in the publication to Arabic numerals unless this results in an ambiguity because Arabic and non-Arabic numerals are both used for the same kind of entity within the same publication. </w:t>
      </w:r>
    </w:p>
    <w:p>
      <w:pPr>
        <w:pStyle w:val="Lista"/>
      </w:pPr>
      <w:r>
        <w:t>this is strongly recommended for publications in a non-European language that do not use Arabic page numbers anywhere</w:t>
      </w:r>
    </w:p>
    <w:p>
      <w:pPr>
        <w:pStyle w:val="Lista2"/>
      </w:pPr>
      <w:r>
        <w:lastRenderedPageBreak/>
        <w:t>but if one part of the publication has Arabic page numbering and another part has a different numeration system, keep the numbers as they are in order to avoid ambiguity</w:t>
      </w:r>
    </w:p>
    <w:p>
      <w:pPr>
        <w:pStyle w:val="Lista"/>
      </w:pPr>
      <w:r>
        <w:t>this is recommended, as far as deemed practicable, for units other than pages which are numerated in a non-Arabic system</w:t>
      </w:r>
    </w:p>
    <w:p>
      <w:pPr>
        <w:pStyle w:val="Lista2"/>
      </w:pPr>
      <w:r>
        <w:t>for example if all appendices or all figures have Roman numeration, this can be converted to Arabic without any ambiguity</w:t>
      </w:r>
    </w:p>
    <w:p>
      <w:pPr>
        <w:pStyle w:val="Cmsor4"/>
      </w:pPr>
      <w:bookmarkStart w:id="919" w:name="_Ref233811301"/>
      <w:bookmarkStart w:id="920" w:name="_Ref233812949"/>
      <w:r>
        <w:t>Combining citation specifics</w:t>
      </w:r>
      <w:bookmarkEnd w:id="919"/>
      <w:bookmarkEnd w:id="920"/>
    </w:p>
    <w:p>
      <w:pPr>
        <w:rPr>
          <w:lang w:eastAsia="en-US" w:bidi="ar-SA"/>
        </w:rPr>
      </w:pPr>
      <w:r>
        <w:rPr>
          <w:lang w:eastAsia="en-US" w:bidi="ar-SA"/>
        </w:rPr>
        <w:t xml:space="preserve">In order to increase accuracy, reduce ambiguity and facilitate looking up references, citations specified with reference to a unit other than page numbers may be complemented with other details, as illustrated in </w:t>
      </w:r>
      <w:r>
        <w:rPr>
          <w:lang w:eastAsia="en-US" w:bidi="ar-SA"/>
        </w:rPr>
        <w:fldChar w:fldCharType="begin"/>
      </w:r>
      <w:r>
        <w:rPr>
          <w:lang w:eastAsia="en-US" w:bidi="ar-SA"/>
        </w:rPr>
        <w:instrText xml:space="preserve"> REF _Ref233818239 \h </w:instrText>
      </w:r>
      <w:r>
        <w:rPr>
          <w:lang w:eastAsia="en-US" w:bidi="ar-SA"/>
        </w:rPr>
      </w:r>
      <w:r>
        <w:rPr>
          <w:lang w:eastAsia="en-US" w:bidi="ar-SA"/>
        </w:rPr>
        <w:fldChar w:fldCharType="separate"/>
      </w:r>
      <w:r>
        <w:t xml:space="preserve">Exhibit </w:t>
      </w:r>
      <w:r>
        <w:rPr>
          <w:noProof/>
        </w:rPr>
        <w:t>14.6</w:t>
      </w:r>
      <w:r>
        <w:t>.</w:t>
      </w:r>
      <w:r>
        <w:rPr>
          <w:noProof/>
        </w:rPr>
        <w:t>D</w:t>
      </w:r>
      <w:r>
        <w:rPr>
          <w:lang w:eastAsia="en-US" w:bidi="ar-SA"/>
        </w:rPr>
        <w:fldChar w:fldCharType="end"/>
      </w:r>
      <w:r>
        <w:rPr>
          <w:lang w:eastAsia="en-US" w:bidi="ar-SA"/>
        </w:rPr>
        <w:t xml:space="preserve"> and </w:t>
      </w:r>
      <w:r>
        <w:rPr>
          <w:lang w:eastAsia="en-US" w:bidi="ar-SA"/>
        </w:rPr>
        <w:fldChar w:fldCharType="begin"/>
      </w:r>
      <w:r>
        <w:rPr>
          <w:lang w:eastAsia="en-US" w:bidi="ar-SA"/>
        </w:rPr>
        <w:instrText xml:space="preserve"> REF _Ref233818240 \h </w:instrText>
      </w:r>
      <w:r>
        <w:rPr>
          <w:lang w:eastAsia="en-US" w:bidi="ar-SA"/>
        </w:rPr>
      </w:r>
      <w:r>
        <w:rPr>
          <w:lang w:eastAsia="en-US" w:bidi="ar-SA"/>
        </w:rPr>
        <w:fldChar w:fldCharType="separate"/>
      </w:r>
      <w:r>
        <w:t xml:space="preserve">Exhibit </w:t>
      </w:r>
      <w:r>
        <w:rPr>
          <w:noProof/>
        </w:rPr>
        <w:t>14.6</w:t>
      </w:r>
      <w:r>
        <w:t>.</w:t>
      </w:r>
      <w:r>
        <w:rPr>
          <w:noProof/>
        </w:rPr>
        <w:t>F</w:t>
      </w:r>
      <w:r>
        <w:rPr>
          <w:lang w:eastAsia="en-US" w:bidi="ar-SA"/>
        </w:rPr>
        <w:fldChar w:fldCharType="end"/>
      </w:r>
      <w:r>
        <w:rPr>
          <w:lang w:eastAsia="en-US" w:bidi="ar-SA"/>
        </w:rPr>
        <w:t>.</w:t>
      </w:r>
    </w:p>
    <w:p>
      <w:pPr>
        <w:pStyle w:val="Lista"/>
      </w:pPr>
      <w:r>
        <w:t>this subsection applies only to cases where all of the specifications point to the same cited locus, e.g. “Figure 3 on page 26”</w:t>
      </w:r>
    </w:p>
    <w:p>
      <w:pPr>
        <w:pStyle w:val="Lista2"/>
      </w:pPr>
      <w:r>
        <w:t>references to several loci specified by different units (e.g. “Figure 3 and page 26”) can only be expressed through a freestyle citation (§</w:t>
      </w:r>
      <w:r>
        <w:fldChar w:fldCharType="begin"/>
      </w:r>
      <w:r>
        <w:instrText xml:space="preserve"> REF _Ref233811324 \r \h </w:instrText>
      </w:r>
      <w:r>
        <w:fldChar w:fldCharType="separate"/>
      </w:r>
      <w:r>
        <w:t>14.6.1.5</w:t>
      </w:r>
      <w:r>
        <w:fldChar w:fldCharType="end"/>
      </w:r>
      <w:r>
        <w:t>)</w:t>
      </w:r>
    </w:p>
    <w:p>
      <w:pPr>
        <w:pStyle w:val="Lista"/>
      </w:pPr>
      <w:r>
        <w:t xml:space="preserve">to use more than one unit of reference for identifying a cited locus, create two or more </w:t>
      </w:r>
      <w:r>
        <w:rPr>
          <w:rStyle w:val="Code"/>
        </w:rPr>
        <w:t>&lt;citedRange&gt;</w:t>
      </w:r>
      <w:r>
        <w:t xml:space="preserve"> elements one after the other within your </w:t>
      </w:r>
      <w:r>
        <w:rPr>
          <w:rStyle w:val="Code"/>
        </w:rPr>
        <w:t>&lt;bibl&gt;</w:t>
      </w:r>
      <w:r>
        <w:t xml:space="preserve"> element</w:t>
      </w:r>
    </w:p>
    <w:p>
      <w:pPr>
        <w:pStyle w:val="Lista2"/>
      </w:pPr>
      <w:r>
        <w:t xml:space="preserve">if one of these refers to page numbers, then (unlike the situation where you refer only to page numbers) this must be explicitly encoded by using </w:t>
      </w:r>
      <w:r>
        <w:rPr>
          <w:rStyle w:val="Codeattribute"/>
        </w:rPr>
        <w:t>@unit</w:t>
      </w:r>
      <w:r>
        <w:rPr>
          <w:rStyle w:val="Code"/>
        </w:rPr>
        <w:t>=</w:t>
      </w:r>
      <w:r>
        <w:rPr>
          <w:rStyle w:val="Codevalue"/>
        </w:rPr>
        <w:t>"page"</w:t>
      </w:r>
      <w:r>
        <w:t xml:space="preserve"> on the </w:t>
      </w:r>
      <w:r>
        <w:rPr>
          <w:rStyle w:val="Code"/>
        </w:rPr>
        <w:t>&lt;citedRange&gt;</w:t>
      </w:r>
      <w:r>
        <w:t xml:space="preserve"> element</w:t>
      </w:r>
    </w:p>
    <w:p>
      <w:pPr>
        <w:pStyle w:val="Lista2"/>
      </w:pPr>
      <w:r>
        <w:t xml:space="preserve">the </w:t>
      </w:r>
      <w:r>
        <w:rPr>
          <w:rStyle w:val="Code"/>
        </w:rPr>
        <w:t>&lt;citedRange&gt;</w:t>
      </w:r>
      <w:r>
        <w:t xml:space="preserve"> elements must appear in the order in which they are eventually to be displayed</w:t>
      </w:r>
    </w:p>
    <w:p>
      <w:pPr>
        <w:pStyle w:val="Lista3"/>
      </w:pPr>
      <w:r>
        <w:t>e.g. a volume number must precede a page number, and a page number must precede a note number</w:t>
      </w:r>
    </w:p>
    <w:p>
      <w:pPr>
        <w:pStyle w:val="Lista"/>
      </w:pPr>
      <w:r>
        <w:t xml:space="preserve">citation of items in the appendices of the </w:t>
      </w:r>
      <w:r>
        <w:rPr>
          <w:rStyle w:val="Foreign"/>
        </w:rPr>
        <w:t>Annual Report on Indian Epigraphy</w:t>
      </w:r>
      <w:r>
        <w:t xml:space="preserve"> should always involve the full specification illustrated in </w:t>
      </w:r>
      <w:r>
        <w:fldChar w:fldCharType="begin"/>
      </w:r>
      <w:r>
        <w:instrText xml:space="preserve"> REF _Ref44079042 \h </w:instrText>
      </w:r>
      <w:r>
        <w:fldChar w:fldCharType="separate"/>
      </w:r>
      <w:r>
        <w:t xml:space="preserve">Exhibit </w:t>
      </w:r>
      <w:r>
        <w:rPr>
          <w:noProof/>
        </w:rPr>
        <w:t>14.6</w:t>
      </w:r>
      <w:r>
        <w:t>.</w:t>
      </w:r>
      <w:r>
        <w:rPr>
          <w:noProof/>
        </w:rPr>
        <w:t>G</w:t>
      </w:r>
      <w:r>
        <w:fldChar w:fldCharType="end"/>
      </w:r>
      <w:r>
        <w:t xml:space="preserve"> and consisting of </w:t>
      </w:r>
    </w:p>
    <w:p>
      <w:pPr>
        <w:pStyle w:val="Lista2"/>
      </w:pPr>
      <w:r>
        <w:t>the page number</w:t>
      </w:r>
    </w:p>
    <w:p>
      <w:pPr>
        <w:pStyle w:val="Lista2"/>
      </w:pPr>
      <w:r>
        <w:t xml:space="preserve">the identifier of the appendix including the year </w:t>
      </w:r>
      <w:r>
        <w:rPr>
          <w:noProof/>
        </w:rPr>
        <w:t>(</w:t>
      </w:r>
      <w:r>
        <w:t>or range of years written out in full), separated with a slash from the letter of the appendix</w:t>
      </w:r>
    </w:p>
    <w:p>
      <w:pPr>
        <w:pStyle w:val="Lista2"/>
      </w:pPr>
      <w:r>
        <w:t>the identifier of the item in the appendix</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921" w:name="_Ref233818239"/>
            <w:r>
              <w:t xml:space="preserve">Exhibit </w:t>
            </w:r>
            <w:fldSimple w:instr=" STYLEREF 2 \s ">
              <w:r>
                <w:rPr>
                  <w:noProof/>
                </w:rPr>
                <w:t>14.6</w:t>
              </w:r>
            </w:fldSimple>
            <w:r>
              <w:t>.</w:t>
            </w:r>
            <w:fldSimple w:instr=" SEQ Exhibit \* ALPHABETIC \s 2 ">
              <w:r>
                <w:rPr>
                  <w:noProof/>
                </w:rPr>
                <w:t>D</w:t>
              </w:r>
            </w:fldSimple>
            <w:bookmarkEnd w:id="921"/>
            <w:r>
              <w:t>: encoding a citation with a page and a figure number</w:t>
            </w:r>
          </w:p>
        </w:tc>
      </w:tr>
      <w:tr>
        <w:tc>
          <w:tcPr>
            <w:tcW w:w="5000" w:type="pct"/>
          </w:tcPr>
          <w:p>
            <w:pPr>
              <w:pStyle w:val="TableNote"/>
              <w:keepNext/>
            </w:pPr>
            <w:r>
              <w:t>Majumdar 1943: 23–28, fig. 12</w:t>
            </w:r>
          </w:p>
        </w:tc>
      </w:tr>
      <w:tr>
        <w:tc>
          <w:tcPr>
            <w:tcW w:w="5000" w:type="pct"/>
          </w:tcPr>
          <w:p>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"bib:Majumdar1943_01"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"page"</w:t>
            </w:r>
            <w:r>
              <w:rPr>
                <w:rStyle w:val="Code"/>
              </w:rPr>
              <w:t>&gt;</w:t>
            </w:r>
            <w:r>
              <w:rPr>
                <w:rStyle w:val="Codetext"/>
              </w:rPr>
              <w:t>23-28</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"figure"</w:t>
            </w:r>
            <w:r>
              <w:rPr>
                <w:rStyle w:val="Code"/>
              </w:rPr>
              <w:t>&gt;</w:t>
            </w:r>
            <w:r>
              <w:rPr>
                <w:rStyle w:val="Codetext"/>
              </w:rPr>
              <w:t>12</w:t>
            </w:r>
            <w:r>
              <w:rPr>
                <w:rStyle w:val="Code"/>
              </w:rPr>
              <w:t>&lt;/citedRange&gt;</w:t>
            </w:r>
            <w:r>
              <w:rPr>
                <w:rStyle w:val="Codetext"/>
              </w:rPr>
              <w:br/>
            </w:r>
            <w:r>
              <w:rPr>
                <w:rStyle w:val="Code"/>
              </w:rPr>
              <w:t>&lt;/bibl&gt;</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r>
              <w:t xml:space="preserve">Exhibit </w:t>
            </w:r>
            <w:fldSimple w:instr=" STYLEREF 2 \s ">
              <w:r>
                <w:rPr>
                  <w:noProof/>
                </w:rPr>
                <w:t>14.6</w:t>
              </w:r>
            </w:fldSimple>
            <w:r>
              <w:t>.</w:t>
            </w:r>
            <w:fldSimple w:instr=" SEQ Exhibit \* ALPHABETIC \s 2 ">
              <w:r>
                <w:rPr>
                  <w:noProof/>
                </w:rPr>
                <w:t>E</w:t>
              </w:r>
            </w:fldSimple>
            <w:r>
              <w:t>: encoding a citation with a volume and section number</w:t>
            </w:r>
          </w:p>
        </w:tc>
      </w:tr>
      <w:tr>
        <w:tc>
          <w:tcPr>
            <w:tcW w:w="5000" w:type="pct"/>
          </w:tcPr>
          <w:p>
            <w:pPr>
              <w:pStyle w:val="TableNote"/>
              <w:keepNext/>
            </w:pPr>
            <w:r>
              <w:t>Edgerton 1953, vol. 1: §§34-36</w:t>
            </w:r>
          </w:p>
        </w:tc>
      </w:tr>
      <w:tr>
        <w:tc>
          <w:tcPr>
            <w:tcW w:w="5000" w:type="pct"/>
          </w:tcPr>
          <w:p>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"bib:Edgerton1953_01"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"volume"</w:t>
            </w:r>
            <w:r>
              <w:rPr>
                <w:rStyle w:val="Code"/>
              </w:rPr>
              <w:t>&gt;</w:t>
            </w:r>
            <w:r>
              <w:rPr>
                <w:rStyle w:val="Codetext"/>
              </w:rPr>
              <w:t>1</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"section"</w:t>
            </w:r>
            <w:r>
              <w:rPr>
                <w:rStyle w:val="Code"/>
              </w:rPr>
              <w:t>&gt;</w:t>
            </w:r>
            <w:r>
              <w:rPr>
                <w:rStyle w:val="Codetext"/>
              </w:rPr>
              <w:t>34-36</w:t>
            </w:r>
            <w:r>
              <w:rPr>
                <w:rStyle w:val="Code"/>
              </w:rPr>
              <w:t>&lt;/citedRange&gt;</w:t>
            </w:r>
            <w:r>
              <w:rPr>
                <w:rStyle w:val="Codetext"/>
              </w:rPr>
              <w:br/>
            </w:r>
            <w:r>
              <w:rPr>
                <w:rStyle w:val="Code"/>
              </w:rPr>
              <w:t>&lt;/bibl&gt;</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922" w:name="_Ref233818240"/>
            <w:r>
              <w:t xml:space="preserve">Exhibit </w:t>
            </w:r>
            <w:fldSimple w:instr=" STYLEREF 2 \s ">
              <w:r>
                <w:rPr>
                  <w:noProof/>
                </w:rPr>
                <w:t>14.6</w:t>
              </w:r>
            </w:fldSimple>
            <w:r>
              <w:t>.</w:t>
            </w:r>
            <w:fldSimple w:instr=" SEQ Exhibit \* ALPHABETIC \s 2 ">
              <w:r>
                <w:rPr>
                  <w:noProof/>
                </w:rPr>
                <w:t>F</w:t>
              </w:r>
            </w:fldSimple>
            <w:bookmarkEnd w:id="922"/>
            <w:r>
              <w:t>: encoding a citation with a volume and page number</w:t>
            </w:r>
          </w:p>
        </w:tc>
      </w:tr>
      <w:tr>
        <w:tc>
          <w:tcPr>
            <w:tcW w:w="5000" w:type="pct"/>
          </w:tcPr>
          <w:p>
            <w:pPr>
              <w:pStyle w:val="TableNote"/>
              <w:keepNext/>
            </w:pPr>
            <w:r>
              <w:t>Majumdar 1943, vol. 1: 23–28</w:t>
            </w:r>
          </w:p>
        </w:tc>
      </w:tr>
      <w:tr>
        <w:tc>
          <w:tcPr>
            <w:tcW w:w="5000" w:type="pct"/>
          </w:tcPr>
          <w:p>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"bib:Majumdar1943_01"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"volume"</w:t>
            </w:r>
            <w:r>
              <w:rPr>
                <w:rStyle w:val="Code"/>
              </w:rPr>
              <w:t>&gt;</w:t>
            </w:r>
            <w:r>
              <w:rPr>
                <w:rStyle w:val="Codetext"/>
              </w:rPr>
              <w:t>1</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"page"</w:t>
            </w:r>
            <w:r>
              <w:rPr>
                <w:rStyle w:val="Code"/>
              </w:rPr>
              <w:t>&gt;</w:t>
            </w:r>
            <w:r>
              <w:rPr>
                <w:rStyle w:val="Codetext"/>
              </w:rPr>
              <w:t>23-28</w:t>
            </w:r>
            <w:r>
              <w:rPr>
                <w:rStyle w:val="Code"/>
              </w:rPr>
              <w:t>&lt;/citedRange&gt;</w:t>
            </w:r>
            <w:r>
              <w:rPr>
                <w:rStyle w:val="Codetext"/>
              </w:rPr>
              <w:br/>
            </w:r>
            <w:r>
              <w:rPr>
                <w:rStyle w:val="Code"/>
              </w:rPr>
              <w:t>&lt;/bibl&gt;</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923" w:name="_Ref44079042"/>
            <w:r>
              <w:lastRenderedPageBreak/>
              <w:t xml:space="preserve">Exhibit </w:t>
            </w:r>
            <w:fldSimple w:instr=" STYLEREF 2 \s ">
              <w:r>
                <w:rPr>
                  <w:noProof/>
                </w:rPr>
                <w:t>14.6</w:t>
              </w:r>
            </w:fldSimple>
            <w:r>
              <w:t>.</w:t>
            </w:r>
            <w:fldSimple w:instr=" SEQ Exhibit \* ALPHABETIC \s 2 ">
              <w:r>
                <w:rPr>
                  <w:noProof/>
                </w:rPr>
                <w:t>G</w:t>
              </w:r>
            </w:fldSimple>
            <w:bookmarkEnd w:id="923"/>
            <w:r>
              <w:t>: encoding a citation of the Annual Report on Indian Epigraphy</w:t>
            </w:r>
          </w:p>
        </w:tc>
      </w:tr>
      <w:tr>
        <w:tc>
          <w:tcPr>
            <w:tcW w:w="5000" w:type="pct"/>
          </w:tcPr>
          <w:p>
            <w:pPr>
              <w:pStyle w:val="TableNote"/>
              <w:keepNext/>
            </w:pPr>
            <w:r>
              <w:t>ARIE 1962–63, p. 157, appendix C/1945–1946, № 1</w:t>
            </w:r>
          </w:p>
        </w:tc>
      </w:tr>
      <w:tr>
        <w:tc>
          <w:tcPr>
            <w:tcW w:w="5000" w:type="pct"/>
          </w:tcPr>
          <w:p>
            <w:pPr>
              <w:pStyle w:val="CodeParagraph"/>
              <w:keepNext/>
              <w:spacing w:line="240" w:lineRule="auto"/>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"bib:ARIE1962-1963"</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"page"</w:t>
            </w:r>
            <w:r>
              <w:rPr>
                <w:rStyle w:val="Code"/>
              </w:rPr>
              <w:t>&gt;</w:t>
            </w:r>
            <w:r>
              <w:rPr>
                <w:rStyle w:val="Codetext"/>
              </w:rPr>
              <w:t>157</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"appendix"</w:t>
            </w:r>
            <w:r>
              <w:rPr>
                <w:rStyle w:val="Code"/>
              </w:rPr>
              <w:t>&gt;</w:t>
            </w:r>
            <w:r>
              <w:rPr>
                <w:rStyle w:val="Codetext"/>
              </w:rPr>
              <w:t>C/1945-1946</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1</w:t>
            </w:r>
            <w:r>
              <w:rPr>
                <w:rStyle w:val="Code"/>
              </w:rPr>
              <w:t>&lt;/citedRange&gt;</w:t>
            </w:r>
            <w:r>
              <w:rPr>
                <w:rStyle w:val="Codetext"/>
              </w:rPr>
              <w:br/>
            </w:r>
            <w:r>
              <w:rPr>
                <w:rStyle w:val="Code"/>
              </w:rPr>
              <w:t>&lt;/bibl&gt;</w:t>
            </w:r>
          </w:p>
        </w:tc>
      </w:tr>
    </w:tbl>
    <w:p/>
    <w:p>
      <w:pPr>
        <w:pStyle w:val="Cmsor4"/>
      </w:pPr>
      <w:bookmarkStart w:id="924" w:name="_Ref233811324"/>
      <w:r>
        <w:t>Freestyle specification</w:t>
      </w:r>
      <w:bookmarkEnd w:id="924"/>
    </w:p>
    <w:p>
      <w:r>
        <w:rPr>
          <w:lang w:eastAsia="en-US" w:bidi="ar-SA"/>
        </w:rPr>
        <w:t xml:space="preserve">It is sometimes desirable for a single citation to refer to several points in a publication where the points are identified by different units or different combinations of units </w:t>
      </w:r>
      <w:r>
        <w:t>(e.g. “notes 9 and 10 on page 291 and the body text on page 320”, “page 15 and appendix A”,  or “pages 216–217 of Part I and Plate XI in Part II”). Encoding such citations rigorously would be greatly complicated with no tangible return as regards machine actionability, therefore we permit the “freestyle” specification of citations.</w:t>
      </w:r>
    </w:p>
    <w:p>
      <w:pPr>
        <w:pStyle w:val="Lista"/>
      </w:pPr>
      <w:r>
        <w:t xml:space="preserve">to encode a freestyle specification, use </w:t>
      </w:r>
      <w:r>
        <w:rPr>
          <w:rStyle w:val="Code"/>
        </w:rPr>
        <w:t>&lt;citedRange&gt;</w:t>
      </w:r>
      <w:r>
        <w:t xml:space="preserve"> with </w:t>
      </w:r>
      <w:r>
        <w:rPr>
          <w:rStyle w:val="Codeattribute"/>
        </w:rPr>
        <w:t>@unit</w:t>
      </w:r>
      <w:r>
        <w:rPr>
          <w:rStyle w:val="Code"/>
        </w:rPr>
        <w:t>=</w:t>
      </w:r>
      <w:r>
        <w:rPr>
          <w:rStyle w:val="Codevalue"/>
        </w:rPr>
        <w:t>"mixed"</w:t>
      </w:r>
      <w:r>
        <w:t xml:space="preserve"> </w:t>
      </w:r>
    </w:p>
    <w:p>
      <w:pPr>
        <w:pStyle w:val="Lista"/>
      </w:pPr>
      <w:r>
        <w:t>the contents of this element shall be a human-readable, non-rigorous but unambiguous conventional indication of the target of your citation, such as</w:t>
      </w:r>
    </w:p>
    <w:p>
      <w:pPr>
        <w:pStyle w:val="Lista3"/>
      </w:pPr>
      <w:r>
        <w:rPr>
          <w:rStyle w:val="Codetext"/>
        </w:rPr>
        <w:t>p. 291 nn. 9, 10; p. 320</w:t>
      </w:r>
      <w:r>
        <w:t xml:space="preserve"> </w:t>
      </w:r>
    </w:p>
    <w:p>
      <w:pPr>
        <w:pStyle w:val="Lista3"/>
      </w:pPr>
      <w:r>
        <w:rPr>
          <w:rStyle w:val="Codetext"/>
        </w:rPr>
        <w:t>p. 15, App. A</w:t>
      </w:r>
      <w:r>
        <w:t xml:space="preserve"> </w:t>
      </w:r>
    </w:p>
    <w:p>
      <w:pPr>
        <w:pStyle w:val="Lista3"/>
      </w:pPr>
      <w:r>
        <w:rPr>
          <w:rStyle w:val="Codetext"/>
        </w:rPr>
        <w:t>part I, pp. 216–217; part II, pl. XI</w:t>
      </w:r>
    </w:p>
    <w:p>
      <w:pPr>
        <w:pStyle w:val="Lista2"/>
        <w:rPr>
          <w:rStyle w:val="Codetext"/>
          <w:rFonts w:ascii="Gentium" w:hAnsi="Gentium" w:cs="Tiro Devanagari Sanskrit"/>
          <w:noProof w:val="0"/>
          <w:color w:val="auto"/>
          <w:shd w:val="clear" w:color="auto" w:fill="auto"/>
        </w:rPr>
      </w:pPr>
      <w:r>
        <w:t xml:space="preserve">see </w:t>
      </w:r>
      <w:r>
        <w:fldChar w:fldCharType="begin"/>
      </w:r>
      <w:r>
        <w:instrText xml:space="preserve"> REF _Ref233819299 \h </w:instrText>
      </w:r>
      <w:r>
        <w:fldChar w:fldCharType="separate"/>
      </w:r>
      <w:r>
        <w:t xml:space="preserve">Exhibit </w:t>
      </w:r>
      <w:r>
        <w:rPr>
          <w:noProof/>
        </w:rPr>
        <w:t>14.6</w:t>
      </w:r>
      <w:r>
        <w:t>.</w:t>
      </w:r>
      <w:r>
        <w:rPr>
          <w:noProof/>
        </w:rPr>
        <w:t>H</w:t>
      </w:r>
      <w:r>
        <w:fldChar w:fldCharType="end"/>
      </w:r>
      <w:r>
        <w:t xml:space="preserve"> for an illustration</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925" w:name="_Ref233819299"/>
            <w:r>
              <w:t xml:space="preserve">Exhibit </w:t>
            </w:r>
            <w:fldSimple w:instr=" STYLEREF 2 \s ">
              <w:r>
                <w:rPr>
                  <w:noProof/>
                </w:rPr>
                <w:t>14.6</w:t>
              </w:r>
            </w:fldSimple>
            <w:r>
              <w:t>.</w:t>
            </w:r>
            <w:fldSimple w:instr=" SEQ Exhibit \* ALPHABETIC \s 2 ">
              <w:r>
                <w:rPr>
                  <w:noProof/>
                </w:rPr>
                <w:t>H</w:t>
              </w:r>
            </w:fldSimple>
            <w:bookmarkEnd w:id="925"/>
            <w:r>
              <w:t>: encoding a freestyle citation</w:t>
            </w:r>
          </w:p>
        </w:tc>
      </w:tr>
      <w:tr>
        <w:tc>
          <w:tcPr>
            <w:tcW w:w="5000" w:type="pct"/>
          </w:tcPr>
          <w:p>
            <w:pPr>
              <w:pStyle w:val="TableNote"/>
              <w:keepNext/>
            </w:pPr>
            <w:r>
              <w:t>ARIE 1938–39, p. 38, Appendix B/1938-1939, № 271; p. 91, §59</w:t>
            </w:r>
          </w:p>
        </w:tc>
      </w:tr>
      <w:tr>
        <w:tc>
          <w:tcPr>
            <w:tcW w:w="5000" w:type="pct"/>
          </w:tcPr>
          <w:p>
            <w:pPr>
              <w:pStyle w:val="CodeParagraph"/>
              <w:keepNext/>
              <w:spacing w:line="240" w:lineRule="auto"/>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"bib:ARIE1938-1939"</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"mixed"</w:t>
            </w:r>
            <w:r>
              <w:rPr>
                <w:rStyle w:val="Code"/>
              </w:rPr>
              <w:t>&gt;</w:t>
            </w:r>
            <w:r>
              <w:t xml:space="preserve"> </w:t>
            </w:r>
            <w:r>
              <w:rPr>
                <w:rStyle w:val="Codetext"/>
              </w:rPr>
              <w:t>p. 38, Appendix B/1938-1939, No. 271; p. 91, §59</w:t>
            </w:r>
            <w:r>
              <w:rPr>
                <w:rStyle w:val="Code"/>
              </w:rPr>
              <w:t>&lt;/citedRange&gt;</w:t>
            </w:r>
            <w:r>
              <w:rPr>
                <w:rStyle w:val="Codetext"/>
              </w:rPr>
              <w:br/>
            </w:r>
            <w:r>
              <w:rPr>
                <w:rStyle w:val="Code"/>
              </w:rPr>
              <w:t>&lt;/bibl&gt;</w:t>
            </w:r>
          </w:p>
        </w:tc>
      </w:tr>
    </w:tbl>
    <w:p/>
    <w:p>
      <w:pPr>
        <w:pStyle w:val="Cmsor4"/>
      </w:pPr>
      <w:bookmarkStart w:id="926" w:name="_Ref233818238"/>
      <w:r>
        <w:t>Managing the appearance of displayed citations</w:t>
      </w:r>
      <w:bookmarkEnd w:id="926"/>
    </w:p>
    <w:p>
      <w:r>
        <w:t>In the DHARMA environment, encoded citations will be displayed as an author-date citation (except for specific publications for which our Zotero database specifies a display shorthand such as ARIE, cf. ZG §4.15). When encoding a citation in text (i.e. outside the structured bibliographies), the following considerations apply to the integration of the citation with the surrounding text.</w:t>
      </w:r>
    </w:p>
    <w:p>
      <w:pPr>
        <w:pStyle w:val="Lista"/>
      </w:pPr>
      <w:r>
        <w:t>the specifics of a citation (page numbers and/or other units) will be automatically shown as conventional human-readable notation</w:t>
      </w:r>
    </w:p>
    <w:p>
      <w:pPr>
        <w:pStyle w:val="Lista2"/>
      </w:pPr>
      <w:r>
        <w:t xml:space="preserve">when a range or list of page numbers or other specifications is encoded in </w:t>
      </w:r>
      <w:r>
        <w:rPr>
          <w:rStyle w:val="Code"/>
        </w:rPr>
        <w:t>&lt;citedRange&gt;</w:t>
      </w:r>
      <w:r>
        <w:t xml:space="preserve">, the notation will be automatically changed to the corresponding plural (e.g. </w:t>
      </w:r>
      <w:r>
        <w:rPr>
          <w:rStyle w:val="Foreign"/>
        </w:rPr>
        <w:t>pp.</w:t>
      </w:r>
      <w:r>
        <w:t xml:space="preserve"> for pages, </w:t>
      </w:r>
      <w:r>
        <w:rPr>
          <w:rStyle w:val="Foreign"/>
        </w:rPr>
        <w:t>§§</w:t>
      </w:r>
      <w:r>
        <w:t xml:space="preserve"> for sections, etc.)</w:t>
      </w:r>
    </w:p>
    <w:p>
      <w:pPr>
        <w:pStyle w:val="Lista2"/>
      </w:pPr>
      <w:r>
        <w:t>this automatic conversion may occasionally miss items that should be displayed in the plural or produce false positives and display a plural where a singular is desired</w:t>
      </w:r>
    </w:p>
    <w:p>
      <w:pPr>
        <w:pStyle w:val="Lista3"/>
      </w:pPr>
      <w:r>
        <w:t>this should not be detrimental to the interpretability of our citations, but if the appearance bothers you after seeing the display transformation of your work, feel free to encode a freestyle reference (§</w:t>
      </w:r>
      <w:r>
        <w:fldChar w:fldCharType="begin"/>
      </w:r>
      <w:r>
        <w:instrText xml:space="preserve"> REF _Ref233811324 \r \h </w:instrText>
      </w:r>
      <w:r>
        <w:fldChar w:fldCharType="separate"/>
      </w:r>
      <w:r>
        <w:t>14.6.1.5</w:t>
      </w:r>
      <w:r>
        <w:fldChar w:fldCharType="end"/>
      </w:r>
      <w:r>
        <w:t>) instead</w:t>
      </w:r>
    </w:p>
    <w:p>
      <w:pPr>
        <w:pStyle w:val="Lista3"/>
      </w:pPr>
      <w:r>
        <w:t xml:space="preserve">automatic plural display is not generated for </w:t>
      </w:r>
      <w:r>
        <w:rPr>
          <w:rStyle w:val="Codeattribute"/>
        </w:rPr>
        <w:t>@unit=</w:t>
      </w:r>
      <w:r>
        <w:rPr>
          <w:rStyle w:val="Codevalue"/>
        </w:rPr>
        <w:t>"appendix"</w:t>
      </w:r>
      <w:r>
        <w:t>, because one rarely cites more than one appendix simultaneously, whereas some of the appendices we commonly refer to (particularly, ARIE appendices whose numbering contains a year range) would be misinterpreted by the algorithm as multiple values</w:t>
      </w:r>
    </w:p>
    <w:p>
      <w:pPr>
        <w:pStyle w:val="Lista"/>
      </w:pPr>
      <w:r>
        <w:t>parentheses will not be automatically produced around citations</w:t>
      </w:r>
    </w:p>
    <w:p>
      <w:pPr>
        <w:pStyle w:val="Lista2"/>
      </w:pPr>
      <w:r>
        <w:lastRenderedPageBreak/>
        <w:t xml:space="preserve">to show a bibliographic citation in parentheses, you must add the parentheses around the </w:t>
      </w:r>
      <w:r>
        <w:rPr>
          <w:rStyle w:val="Code"/>
        </w:rPr>
        <w:t>&lt;bibl&gt;</w:t>
      </w:r>
      <w:r>
        <w:t xml:space="preserve"> element</w:t>
      </w:r>
    </w:p>
    <w:p>
      <w:pPr>
        <w:pStyle w:val="Lista"/>
      </w:pPr>
      <w:r>
        <w:t>the name of the author(s) will always be shown (unless suppressed through a display shorthand in the Zotero record, ZG §4.15)</w:t>
      </w:r>
    </w:p>
    <w:p>
      <w:pPr>
        <w:pStyle w:val="Lista2"/>
      </w:pPr>
      <w:r>
        <w:t>when the author name is an integral part of your text and you want only the year of publication and any applicable specifications shown in parentheses, proceed as follows</w:t>
      </w:r>
    </w:p>
    <w:p>
      <w:pPr>
        <w:pStyle w:val="Lista3"/>
      </w:pPr>
      <w:r>
        <w:t>write the author name at the place and in the form you want it</w:t>
      </w:r>
    </w:p>
    <w:p>
      <w:pPr>
        <w:pStyle w:val="Lista3"/>
      </w:pPr>
      <w:r>
        <w:t xml:space="preserve">enter the parentheses around the </w:t>
      </w:r>
      <w:r>
        <w:rPr>
          <w:rStyle w:val="Code"/>
        </w:rPr>
        <w:t>&lt;bibl&gt;</w:t>
      </w:r>
      <w:r>
        <w:t xml:space="preserve"> element</w:t>
      </w:r>
    </w:p>
    <w:p>
      <w:pPr>
        <w:pStyle w:val="Lista3"/>
      </w:pPr>
      <w:r>
        <w:t xml:space="preserve">add the attribute </w:t>
      </w:r>
      <w:r>
        <w:rPr>
          <w:rStyle w:val="Codeattribute"/>
        </w:rPr>
        <w:t>@rend</w:t>
      </w:r>
      <w:r>
        <w:t xml:space="preserve"> with the value </w:t>
      </w:r>
      <w:r>
        <w:rPr>
          <w:rStyle w:val="Codevalue"/>
        </w:rPr>
        <w:t>"omitname"</w:t>
      </w:r>
      <w:r>
        <w:t xml:space="preserve"> to the </w:t>
      </w:r>
      <w:r>
        <w:rPr>
          <w:rStyle w:val="Code"/>
        </w:rPr>
        <w:t>&lt;bibl&gt;</w:t>
      </w:r>
      <w:r>
        <w:t xml:space="preserve"> element to suppress the automatic display of the author name</w:t>
      </w:r>
    </w:p>
    <w:p>
      <w:pPr>
        <w:pStyle w:val="Lista3"/>
      </w:pPr>
      <w:r>
        <w:t xml:space="preserve">see </w:t>
      </w:r>
      <w:r>
        <w:fldChar w:fldCharType="begin"/>
      </w:r>
      <w:r>
        <w:instrText xml:space="preserve"> REF _Ref44079069 \h  \* MERGEFORMAT </w:instrText>
      </w:r>
      <w:r>
        <w:fldChar w:fldCharType="separate"/>
      </w:r>
      <w:r>
        <w:t xml:space="preserve">Exhibit </w:t>
      </w:r>
      <w:r>
        <w:rPr>
          <w:noProof/>
        </w:rPr>
        <w:t>14.6.I</w:t>
      </w:r>
      <w:r>
        <w:fldChar w:fldCharType="end"/>
      </w:r>
      <w:r>
        <w:t xml:space="preserve"> below for an illustration</w:t>
      </w:r>
    </w:p>
    <w:p>
      <w:pPr>
        <w:pStyle w:val="Lista"/>
      </w:pPr>
      <w:r>
        <w:t>if you wish to show “ibid.” instead of the name of the author</w:t>
      </w:r>
      <w:r>
        <w:rPr>
          <w:noProof/>
        </w:rPr>
        <w:t>(</w:t>
      </w:r>
      <w:r>
        <w:t>s):</w:t>
      </w:r>
    </w:p>
    <w:p>
      <w:pPr>
        <w:pStyle w:val="Lista2"/>
      </w:pPr>
      <w:r>
        <w:t xml:space="preserve">add the attribute </w:t>
      </w:r>
      <w:r>
        <w:rPr>
          <w:rStyle w:val="Codeattribute"/>
        </w:rPr>
        <w:t>@rend</w:t>
      </w:r>
      <w:r>
        <w:t xml:space="preserve"> with the value </w:t>
      </w:r>
      <w:r>
        <w:rPr>
          <w:rStyle w:val="Codevalue"/>
        </w:rPr>
        <w:t>"ibid"</w:t>
      </w:r>
      <w:r>
        <w:t xml:space="preserve"> to the </w:t>
      </w:r>
      <w:r>
        <w:rPr>
          <w:rStyle w:val="Code"/>
        </w:rPr>
        <w:t>&lt;bibl&gt;</w:t>
      </w:r>
      <w:r>
        <w:t xml:space="preserve"> element, which will display “ibid.” instead of the name</w:t>
      </w:r>
    </w:p>
    <w:p>
      <w:pPr>
        <w:pStyle w:val="Lista2"/>
      </w:pPr>
      <w:r>
        <w:t>this encoding may be used</w:t>
      </w:r>
    </w:p>
    <w:p>
      <w:pPr>
        <w:pStyle w:val="Lista3"/>
      </w:pPr>
      <w:r>
        <w:t>with a page reference to refer to another part of a publication cited immediately before</w:t>
      </w:r>
    </w:p>
    <w:p>
      <w:pPr>
        <w:pStyle w:val="Lista3"/>
      </w:pPr>
      <w:r>
        <w:t>without a page reference to refer to the same locus as that cited immediately before</w:t>
      </w:r>
    </w:p>
    <w:p>
      <w:pPr>
        <w:pStyle w:val="Lista2"/>
      </w:pPr>
      <w:r>
        <w:t>as above, parentheses will not be automatically added and will have to be created by you if you need them</w:t>
      </w:r>
    </w:p>
    <w:p>
      <w:pPr>
        <w:pStyle w:val="Lista2"/>
      </w:pPr>
      <w:r>
        <w:t xml:space="preserve">see </w:t>
      </w:r>
      <w:r>
        <w:fldChar w:fldCharType="begin"/>
      </w:r>
      <w:r>
        <w:instrText xml:space="preserve"> REF _Ref44079082 \h  \* MERGEFORMAT </w:instrText>
      </w:r>
      <w:r>
        <w:fldChar w:fldCharType="separate"/>
      </w:r>
      <w:r>
        <w:t xml:space="preserve">Exhibit </w:t>
      </w:r>
      <w:r>
        <w:rPr>
          <w:noProof/>
        </w:rPr>
        <w:t>14.6.J</w:t>
      </w:r>
      <w:r>
        <w:fldChar w:fldCharType="end"/>
      </w:r>
      <w:r>
        <w:t xml:space="preserve"> below for an illustration</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927" w:name="_Ref44079069"/>
            <w:r>
              <w:t xml:space="preserve">Exhibit </w:t>
            </w:r>
            <w:fldSimple w:instr=" STYLEREF 2 \s ">
              <w:r>
                <w:rPr>
                  <w:noProof/>
                </w:rPr>
                <w:t>14.6</w:t>
              </w:r>
            </w:fldSimple>
            <w:r>
              <w:t>.</w:t>
            </w:r>
            <w:fldSimple w:instr=" SEQ Exhibit \* ALPHABETIC \s 2 ">
              <w:r>
                <w:rPr>
                  <w:noProof/>
                </w:rPr>
                <w:t>I</w:t>
              </w:r>
            </w:fldSimple>
            <w:bookmarkEnd w:id="927"/>
            <w:r>
              <w:t>: encoding a citation with parentheses only around the year and pages</w:t>
            </w:r>
          </w:p>
        </w:tc>
      </w:tr>
      <w:tr>
        <w:tc>
          <w:tcPr>
            <w:tcW w:w="5000" w:type="pct"/>
          </w:tcPr>
          <w:p>
            <w:pPr>
              <w:pStyle w:val="TableNote"/>
              <w:keepNext/>
            </w:pPr>
            <w:r>
              <w:t xml:space="preserve">Majumdar </w:t>
            </w:r>
            <w:r>
              <w:rPr>
                <w:noProof/>
              </w:rPr>
              <w:t>(</w:t>
            </w:r>
            <w:r>
              <w:t>1943: 23–28)</w:t>
            </w:r>
          </w:p>
          <w:p>
            <w:pPr>
              <w:pStyle w:val="TableNote"/>
              <w:keepNext/>
            </w:pPr>
            <w:r>
              <w:t xml:space="preserve">note that the parentheses are added manually around the </w:t>
            </w:r>
            <w:r>
              <w:rPr>
                <w:rStyle w:val="Code"/>
              </w:rPr>
              <w:t>&lt;bibl&gt;</w:t>
            </w:r>
            <w:r>
              <w:t xml:space="preserve"> element</w:t>
            </w:r>
          </w:p>
        </w:tc>
      </w:tr>
      <w:tr>
        <w:tc>
          <w:tcPr>
            <w:tcW w:w="5000" w:type="pct"/>
          </w:tcPr>
          <w:p>
            <w:pPr>
              <w:pStyle w:val="CodeParagraph"/>
              <w:rPr>
                <w:rStyle w:val="Code"/>
              </w:rPr>
            </w:pPr>
            <w:r>
              <w:rPr>
                <w:rStyle w:val="Codetext"/>
              </w:rPr>
              <w:t>Majumdar (</w:t>
            </w:r>
            <w:r>
              <w:rPr>
                <w:rStyle w:val="Code"/>
              </w:rPr>
              <w:t xml:space="preserve">&lt;bibl </w:t>
            </w:r>
            <w:r>
              <w:rPr>
                <w:rStyle w:val="Codeattribute"/>
              </w:rPr>
              <w:t>rend</w:t>
            </w:r>
            <w:r>
              <w:rPr>
                <w:rStyle w:val="Code"/>
              </w:rPr>
              <w:t>=</w:t>
            </w:r>
            <w:r>
              <w:rPr>
                <w:rStyle w:val="Codevalue"/>
              </w:rPr>
              <w:t>"omitname"</w:t>
            </w:r>
            <w:r>
              <w:rPr>
                <w:rStyle w:val="Code"/>
              </w:rPr>
              <w:t>&gt;</w:t>
            </w:r>
            <w:r>
              <w:rPr>
                <w:rStyle w:val="Codetext"/>
              </w:rPr>
              <w:br/>
              <w:t xml:space="preserve">  </w:t>
            </w:r>
            <w:r>
              <w:rPr>
                <w:rStyle w:val="Code"/>
              </w:rPr>
              <w:t xml:space="preserve">&lt;ptr </w:t>
            </w:r>
            <w:r>
              <w:rPr>
                <w:rStyle w:val="Codeattribute"/>
              </w:rPr>
              <w:t>target</w:t>
            </w:r>
            <w:r>
              <w:rPr>
                <w:rStyle w:val="Code"/>
              </w:rPr>
              <w:t>=</w:t>
            </w:r>
            <w:r>
              <w:rPr>
                <w:rStyle w:val="Codevalue"/>
              </w:rPr>
              <w:t>"bib:Majumdar1943_01"</w:t>
            </w:r>
            <w:r>
              <w:rPr>
                <w:rStyle w:val="Code"/>
              </w:rPr>
              <w:t>/&gt;</w:t>
            </w:r>
            <w:r>
              <w:rPr>
                <w:rStyle w:val="Codetext"/>
              </w:rPr>
              <w:br/>
              <w:t xml:space="preserve">  </w:t>
            </w:r>
            <w:r>
              <w:rPr>
                <w:rStyle w:val="Code"/>
              </w:rPr>
              <w:t>&lt;citedRange&gt;</w:t>
            </w:r>
            <w:r>
              <w:rPr>
                <w:rStyle w:val="Codetext"/>
              </w:rPr>
              <w:t>23-28</w:t>
            </w:r>
            <w:r>
              <w:rPr>
                <w:rStyle w:val="Code"/>
              </w:rPr>
              <w:t>&lt;/citedRange&gt;</w:t>
            </w:r>
            <w:r>
              <w:rPr>
                <w:rStyle w:val="Codetext"/>
              </w:rPr>
              <w:br/>
            </w:r>
            <w:r>
              <w:rPr>
                <w:rStyle w:val="Code"/>
              </w:rPr>
              <w:t>&lt;/bibl&gt;</w:t>
            </w:r>
            <w:r>
              <w:t>)</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928" w:name="_Ref44079082"/>
            <w:r>
              <w:t xml:space="preserve">Exhibit </w:t>
            </w:r>
            <w:fldSimple w:instr=" STYLEREF 2 \s ">
              <w:r>
                <w:rPr>
                  <w:noProof/>
                </w:rPr>
                <w:t>14.6</w:t>
              </w:r>
            </w:fldSimple>
            <w:r>
              <w:t>.</w:t>
            </w:r>
            <w:fldSimple w:instr=" SEQ Exhibit \* ALPHABETIC \s 2 ">
              <w:r>
                <w:rPr>
                  <w:noProof/>
                </w:rPr>
                <w:t>J</w:t>
              </w:r>
            </w:fldSimple>
            <w:bookmarkEnd w:id="928"/>
            <w:r>
              <w:t>: encoding a citation with ibid.</w:t>
            </w:r>
          </w:p>
        </w:tc>
      </w:tr>
      <w:tr>
        <w:tc>
          <w:tcPr>
            <w:tcW w:w="5000" w:type="pct"/>
          </w:tcPr>
          <w:p>
            <w:pPr>
              <w:pStyle w:val="TableNote"/>
              <w:keepNext/>
            </w:pPr>
            <w:r>
              <w:rPr>
                <w:i/>
                <w:iCs/>
              </w:rPr>
              <w:t>ibid.</w:t>
            </w:r>
            <w:r>
              <w:t>: 23–28</w:t>
            </w:r>
          </w:p>
        </w:tc>
      </w:tr>
      <w:tr>
        <w:tc>
          <w:tcPr>
            <w:tcW w:w="5000" w:type="pct"/>
          </w:tcPr>
          <w:p>
            <w:pPr>
              <w:pStyle w:val="CodeParagraph"/>
              <w:rPr>
                <w:rStyle w:val="Code"/>
              </w:rPr>
            </w:pPr>
            <w:r>
              <w:rPr>
                <w:rStyle w:val="Code"/>
              </w:rPr>
              <w:t xml:space="preserve">&lt;bibl </w:t>
            </w:r>
            <w:r>
              <w:rPr>
                <w:rStyle w:val="Codeattribute"/>
              </w:rPr>
              <w:t>rend</w:t>
            </w:r>
            <w:r>
              <w:rPr>
                <w:rStyle w:val="Code"/>
              </w:rPr>
              <w:t>=</w:t>
            </w:r>
            <w:r>
              <w:rPr>
                <w:rStyle w:val="Codevalue"/>
              </w:rPr>
              <w:t>"ibid"</w:t>
            </w:r>
            <w:r>
              <w:rPr>
                <w:rStyle w:val="Code"/>
              </w:rPr>
              <w:t>&gt;</w:t>
            </w:r>
            <w:r>
              <w:rPr>
                <w:rStyle w:val="Codetext"/>
              </w:rPr>
              <w:br/>
              <w:t xml:space="preserve">  </w:t>
            </w:r>
            <w:r>
              <w:rPr>
                <w:rStyle w:val="Code"/>
              </w:rPr>
              <w:t xml:space="preserve">&lt;ptr </w:t>
            </w:r>
            <w:r>
              <w:rPr>
                <w:rStyle w:val="Codeattribute"/>
              </w:rPr>
              <w:t>target</w:t>
            </w:r>
            <w:r>
              <w:rPr>
                <w:rStyle w:val="Code"/>
              </w:rPr>
              <w:t>=</w:t>
            </w:r>
            <w:r>
              <w:rPr>
                <w:rStyle w:val="Codevalue"/>
              </w:rPr>
              <w:t>"bib:Majumdar1943_01"</w:t>
            </w:r>
            <w:r>
              <w:rPr>
                <w:rStyle w:val="Code"/>
              </w:rPr>
              <w:t>/&gt;</w:t>
            </w:r>
            <w:r>
              <w:rPr>
                <w:rStyle w:val="Codetext"/>
              </w:rPr>
              <w:br/>
              <w:t xml:space="preserve">  </w:t>
            </w:r>
            <w:r>
              <w:rPr>
                <w:rStyle w:val="Code"/>
              </w:rPr>
              <w:t>&lt;citedRange&gt;</w:t>
            </w:r>
            <w:r>
              <w:rPr>
                <w:rStyle w:val="Codetext"/>
              </w:rPr>
              <w:t>23-28</w:t>
            </w:r>
            <w:r>
              <w:rPr>
                <w:rStyle w:val="Code"/>
              </w:rPr>
              <w:t>&lt;/citedRange&gt;</w:t>
            </w:r>
            <w:r>
              <w:rPr>
                <w:rStyle w:val="Codetext"/>
              </w:rPr>
              <w:br/>
            </w:r>
            <w:r>
              <w:rPr>
                <w:rStyle w:val="Code"/>
              </w:rPr>
              <w:t>&lt;/bibl&gt;</w:t>
            </w:r>
          </w:p>
        </w:tc>
      </w:tr>
    </w:tbl>
    <w:p>
      <w:pPr>
        <w:pStyle w:val="Cmsor3"/>
      </w:pPr>
      <w:bookmarkStart w:id="929" w:name="_7sk1okht0w4v" w:colFirst="0" w:colLast="0"/>
      <w:bookmarkStart w:id="930" w:name="_awz2oua7qthd" w:colFirst="0" w:colLast="0"/>
      <w:bookmarkStart w:id="931" w:name="_wsjjvbttqmtg" w:colFirst="0" w:colLast="0"/>
      <w:bookmarkStart w:id="932" w:name="_Ref43989551"/>
      <w:bookmarkStart w:id="933" w:name="_Ref44490119"/>
      <w:bookmarkStart w:id="934" w:name="_Toc242976725"/>
      <w:bookmarkEnd w:id="929"/>
      <w:bookmarkEnd w:id="930"/>
      <w:bookmarkEnd w:id="931"/>
      <w:r>
        <w:t xml:space="preserve">Crediting publications with </w:t>
      </w:r>
      <w:bookmarkEnd w:id="932"/>
      <w:r>
        <w:rPr>
          <w:rStyle w:val="Codeattribute"/>
        </w:rPr>
        <w:t>@source</w:t>
      </w:r>
      <w:bookmarkEnd w:id="933"/>
      <w:bookmarkEnd w:id="934"/>
    </w:p>
    <w:p>
      <w:r>
        <w:t xml:space="preserve">The attribute </w:t>
      </w:r>
      <w:r>
        <w:rPr>
          <w:rStyle w:val="Codeattribute"/>
        </w:rPr>
        <w:t>@source</w:t>
      </w:r>
      <w:r>
        <w:t xml:space="preserve"> may be used on certain elements to accredit the content of the element to a particular source such as a publication. Unlike bibliographic citations (§</w:t>
      </w:r>
      <w:r>
        <w:fldChar w:fldCharType="begin"/>
      </w:r>
      <w:r>
        <w:instrText xml:space="preserve"> REF _Ref233877601 \r \h </w:instrText>
      </w:r>
      <w:r>
        <w:fldChar w:fldCharType="separate"/>
      </w:r>
      <w:r>
        <w:t>14.6.1</w:t>
      </w:r>
      <w:r>
        <w:fldChar w:fldCharType="end"/>
      </w:r>
      <w:r>
        <w:t xml:space="preserve">), accrediting by means of </w:t>
      </w:r>
      <w:r>
        <w:rPr>
          <w:rStyle w:val="Codeattribute"/>
        </w:rPr>
        <w:t>@source</w:t>
      </w:r>
      <w:r>
        <w:t xml:space="preserve"> applies specifically to an XML element (rather than to unspecified adjacent text), and cannot specify a particular locus within the source.</w:t>
      </w:r>
    </w:p>
    <w:p>
      <w:pPr>
        <w:pStyle w:val="Lista"/>
      </w:pPr>
      <w:r>
        <w:t xml:space="preserve">in DHARMA practice, </w:t>
      </w:r>
      <w:r>
        <w:rPr>
          <w:rStyle w:val="Codeattribute"/>
        </w:rPr>
        <w:t>@source</w:t>
      </w:r>
      <w:r>
        <w:t xml:space="preserve"> is used only in the following conditions</w:t>
      </w:r>
    </w:p>
    <w:p>
      <w:pPr>
        <w:pStyle w:val="Lista2"/>
      </w:pPr>
      <w:r>
        <w:t>in a critical apparatus, for lemmas (§</w:t>
      </w:r>
      <w:r>
        <w:fldChar w:fldCharType="begin"/>
      </w:r>
      <w:r>
        <w:instrText xml:space="preserve"> REF _Ref233625530 \r \h </w:instrText>
      </w:r>
      <w:r>
        <w:fldChar w:fldCharType="separate"/>
      </w:r>
      <w:r>
        <w:t>10.3.3</w:t>
      </w:r>
      <w:r>
        <w:fldChar w:fldCharType="end"/>
      </w:r>
      <w:r>
        <w:t xml:space="preserve">) and alternative readings </w:t>
      </w:r>
      <w:r>
        <w:rPr>
          <w:noProof/>
        </w:rPr>
        <w:t>(</w:t>
      </w:r>
      <w:r>
        <w:t>§</w:t>
      </w:r>
      <w:r>
        <w:fldChar w:fldCharType="begin"/>
      </w:r>
      <w:r>
        <w:instrText xml:space="preserve"> REF _Ref233625579 \r \h </w:instrText>
      </w:r>
      <w:r>
        <w:fldChar w:fldCharType="separate"/>
      </w:r>
      <w:r>
        <w:t>10.4.3</w:t>
      </w:r>
      <w:r>
        <w:fldChar w:fldCharType="end"/>
      </w:r>
      <w:r>
        <w:t>)</w:t>
      </w:r>
    </w:p>
    <w:p>
      <w:pPr>
        <w:pStyle w:val="Lista2"/>
      </w:pPr>
      <w:r>
        <w:t>notes in translations (§</w:t>
      </w:r>
      <w:r>
        <w:fldChar w:fldCharType="begin"/>
      </w:r>
      <w:r>
        <w:instrText xml:space="preserve"> REF _Ref233298582 \r \h </w:instrText>
      </w:r>
      <w:r>
        <w:fldChar w:fldCharType="separate"/>
      </w:r>
      <w:r>
        <w:t>11.5.3</w:t>
      </w:r>
      <w:r>
        <w:fldChar w:fldCharType="end"/>
      </w:r>
      <w:r>
        <w:t xml:space="preserve">) and elsewhere </w:t>
      </w:r>
      <w:r>
        <w:rPr>
          <w:noProof/>
        </w:rPr>
        <w:t>(</w:t>
      </w:r>
      <w:r>
        <w:t>§</w:t>
      </w:r>
      <w:r>
        <w:fldChar w:fldCharType="begin"/>
      </w:r>
      <w:r>
        <w:instrText xml:space="preserve"> REF _Ref233730339 \r \h </w:instrText>
      </w:r>
      <w:r>
        <w:fldChar w:fldCharType="separate"/>
      </w:r>
      <w:r>
        <w:t>14.5.1.1</w:t>
      </w:r>
      <w:r>
        <w:fldChar w:fldCharType="end"/>
      </w:r>
      <w:r>
        <w:t>)</w:t>
      </w:r>
    </w:p>
    <w:p>
      <w:pPr>
        <w:pStyle w:val="Lista2"/>
      </w:pPr>
      <w:r>
        <w:t xml:space="preserve">translations as a whole </w:t>
      </w:r>
      <w:r>
        <w:rPr>
          <w:noProof/>
        </w:rPr>
        <w:t>(</w:t>
      </w:r>
      <w:r>
        <w:t>§</w:t>
      </w:r>
      <w:r>
        <w:fldChar w:fldCharType="begin"/>
      </w:r>
      <w:r>
        <w:instrText xml:space="preserve"> REF _Ref233887001 \r \h </w:instrText>
      </w:r>
      <w:r>
        <w:fldChar w:fldCharType="separate"/>
      </w:r>
      <w:r>
        <w:t>11.5.2</w:t>
      </w:r>
      <w:r>
        <w:fldChar w:fldCharType="end"/>
      </w:r>
      <w:r>
        <w:t>)</w:t>
      </w:r>
    </w:p>
    <w:p>
      <w:pPr>
        <w:pStyle w:val="Lista"/>
      </w:pPr>
      <w:r>
        <w:t xml:space="preserve">to credit a previous publication, the attribute </w:t>
      </w:r>
      <w:r>
        <w:rPr>
          <w:rStyle w:val="Codeattribute"/>
        </w:rPr>
        <w:t>@source</w:t>
      </w:r>
      <w:r>
        <w:t xml:space="preserve"> must be added to the XML entity representing the item you wish to credit</w:t>
      </w:r>
    </w:p>
    <w:p>
      <w:pPr>
        <w:pStyle w:val="Lista"/>
      </w:pPr>
      <w:r>
        <w:t xml:space="preserve">the value of </w:t>
      </w:r>
      <w:r>
        <w:rPr>
          <w:rStyle w:val="Codeattribute"/>
        </w:rPr>
        <w:t>@source</w:t>
      </w:r>
      <w:r>
        <w:t xml:space="preserve"> shall be the Zotero Short Title (ZG §4.10) of the publication containing the reading you are crediting, prefixed with the string </w:t>
      </w:r>
      <w:r>
        <w:rPr>
          <w:rStyle w:val="Codevalue"/>
        </w:rPr>
        <w:t>bib:</w:t>
      </w:r>
    </w:p>
    <w:p>
      <w:pPr>
        <w:pStyle w:val="Lista"/>
      </w:pPr>
      <w:r>
        <w:t xml:space="preserve">to credit more than one publication </w:t>
      </w:r>
      <w:r>
        <w:rPr>
          <w:noProof/>
        </w:rPr>
        <w:t>(</w:t>
      </w:r>
      <w:r>
        <w:t xml:space="preserve">e.g. because more than one scholar has suggested or endorsed a certain reading, or because a note was published in several publications), list all relevant short titles, each with the prefix </w:t>
      </w:r>
      <w:r>
        <w:rPr>
          <w:rStyle w:val="Codevalue"/>
        </w:rPr>
        <w:t>bib:</w:t>
      </w:r>
      <w:r>
        <w:t xml:space="preserve">, within a single </w:t>
      </w:r>
      <w:r>
        <w:rPr>
          <w:rStyle w:val="Codeattribute"/>
        </w:rPr>
        <w:t>@source</w:t>
      </w:r>
      <w:r>
        <w:t xml:space="preserve"> attribute, separated by a space (and nothing else)</w:t>
      </w:r>
    </w:p>
    <w:p>
      <w:pPr>
        <w:pStyle w:val="Lista2"/>
      </w:pPr>
      <w:r>
        <w:lastRenderedPageBreak/>
        <w:t>list the publications in chronological order</w:t>
      </w:r>
    </w:p>
    <w:p>
      <w:pPr>
        <w:pStyle w:val="Lista2"/>
        <w:rPr>
          <w:rStyle w:val="Code"/>
          <w:rFonts w:ascii="Gentium" w:hAnsi="Gentium" w:cs="Tiro Devanagari Sanskrit"/>
          <w:noProof w:val="0"/>
          <w:color w:val="auto"/>
          <w:shd w:val="clear" w:color="auto" w:fill="auto"/>
        </w:rPr>
      </w:pPr>
      <w:r>
        <w:t xml:space="preserve">e.g. </w:t>
      </w:r>
      <w:r>
        <w:rPr>
          <w:rStyle w:val="Code"/>
        </w:rPr>
        <w:t xml:space="preserve">&lt;rdg </w:t>
      </w:r>
      <w:r>
        <w:rPr>
          <w:rStyle w:val="Codeattribute"/>
        </w:rPr>
        <w:t>source</w:t>
      </w:r>
      <w:r>
        <w:rPr>
          <w:rStyle w:val="Code"/>
        </w:rPr>
        <w:t>=</w:t>
      </w:r>
      <w:r>
        <w:rPr>
          <w:rStyle w:val="Codevalue"/>
        </w:rPr>
        <w:t>"bib:Devadatta1863_01 bib:Doe2019_01"</w:t>
      </w:r>
      <w:r>
        <w:rPr>
          <w:rStyle w:val="Code"/>
        </w:rPr>
        <w:t>&gt;</w:t>
      </w:r>
    </w:p>
    <w:p>
      <w:pPr>
        <w:pStyle w:val="Cmsor3"/>
      </w:pPr>
      <w:bookmarkStart w:id="935" w:name="_Toc242976726"/>
      <w:r>
        <w:t>Quotation</w:t>
      </w:r>
      <w:bookmarkEnd w:id="935"/>
    </w:p>
    <w:p>
      <w:pPr>
        <w:pStyle w:val="Cmsor4"/>
      </w:pPr>
      <w:bookmarkStart w:id="936" w:name="_Ref233880809"/>
      <w:r>
        <w:t>Generic quotes</w:t>
      </w:r>
      <w:bookmarkEnd w:id="936"/>
    </w:p>
    <w:p>
      <w:r>
        <w:rPr>
          <w:lang w:eastAsia="en-US" w:bidi="ar-SA"/>
        </w:rPr>
        <w:t xml:space="preserve">Quotations which are not accredited to a publication shall normally </w:t>
      </w:r>
      <w:r>
        <w:t xml:space="preserve">be wrapped in the element </w:t>
      </w:r>
      <w:r>
        <w:rPr>
          <w:rStyle w:val="Code"/>
        </w:rPr>
        <w:t>&lt;q&gt;</w:t>
      </w:r>
      <w:r>
        <w:t xml:space="preserve"> (for “quoted”), available at any point in the XML document where free modern-language text is permitted. Quotation marks will be automatically displayed and must not be entered manually when </w:t>
      </w:r>
      <w:r>
        <w:rPr>
          <w:rStyle w:val="Code"/>
        </w:rPr>
        <w:t>&lt;q&gt;</w:t>
      </w:r>
      <w:r>
        <w:t xml:space="preserve"> is present. </w:t>
      </w:r>
    </w:p>
    <w:p>
      <w:pPr>
        <w:pStyle w:val="Lista"/>
      </w:pPr>
      <w:r>
        <w:t xml:space="preserve">if the quotation is in a modern language other than that of the surrounding text, use </w:t>
      </w:r>
      <w:r>
        <w:rPr>
          <w:rStyle w:val="Codeattribute"/>
        </w:rPr>
        <w:t>@xml:lang</w:t>
      </w:r>
      <w:r>
        <w:t xml:space="preserve"> on the </w:t>
      </w:r>
      <w:r>
        <w:rPr>
          <w:rStyle w:val="Code"/>
        </w:rPr>
        <w:t>&lt;q&gt;</w:t>
      </w:r>
      <w:r>
        <w:t xml:space="preserve"> element, as per §</w:t>
      </w:r>
      <w:r>
        <w:fldChar w:fldCharType="begin"/>
      </w:r>
      <w:r>
        <w:instrText xml:space="preserve"> REF _Ref233727317 \r \h </w:instrText>
      </w:r>
      <w:r>
        <w:fldChar w:fldCharType="separate"/>
      </w:r>
      <w:r>
        <w:t>14.4.1</w:t>
      </w:r>
      <w:r>
        <w:fldChar w:fldCharType="end"/>
      </w:r>
      <w:r>
        <w:t xml:space="preserve"> </w:t>
      </w:r>
    </w:p>
    <w:p>
      <w:pPr>
        <w:pStyle w:val="Lista2"/>
      </w:pPr>
      <w:r>
        <w:t xml:space="preserve">text quoted from a primary source in the original language, to be displayed in italics without quotation marks, shall not be marked up in this way, but must be tagged as </w:t>
      </w:r>
      <w:r>
        <w:rPr>
          <w:rStyle w:val="Code"/>
        </w:rPr>
        <w:t>&lt;foreign&gt;</w:t>
      </w:r>
      <w:r>
        <w:t xml:space="preserve"> as per §</w:t>
      </w:r>
      <w:r>
        <w:fldChar w:fldCharType="begin"/>
      </w:r>
      <w:r>
        <w:instrText xml:space="preserve"> REF _Ref43986658 \r \h </w:instrText>
      </w:r>
      <w:r>
        <w:fldChar w:fldCharType="separate"/>
      </w:r>
      <w:r>
        <w:t>14.4.2</w:t>
      </w:r>
      <w:r>
        <w:fldChar w:fldCharType="end"/>
      </w:r>
    </w:p>
    <w:p>
      <w:pPr>
        <w:pStyle w:val="Lista"/>
      </w:pPr>
      <w:r>
        <w:t xml:space="preserve">by default, a quotation tagged with </w:t>
      </w:r>
      <w:r>
        <w:rPr>
          <w:rStyle w:val="Code"/>
        </w:rPr>
        <w:t>&lt;q&gt;</w:t>
      </w:r>
      <w:r>
        <w:t xml:space="preserve"> will be displayed inline</w:t>
      </w:r>
    </w:p>
    <w:p>
      <w:pPr>
        <w:pStyle w:val="Lista2"/>
      </w:pPr>
      <w:r>
        <w:t xml:space="preserve">to create a block quote, add the attribute </w:t>
      </w:r>
      <w:r>
        <w:rPr>
          <w:rStyle w:val="Codeattribute"/>
        </w:rPr>
        <w:t>@rend</w:t>
      </w:r>
      <w:r>
        <w:rPr>
          <w:rStyle w:val="Codetext"/>
        </w:rPr>
        <w:t>=</w:t>
      </w:r>
      <w:r>
        <w:rPr>
          <w:rStyle w:val="Codevalue"/>
        </w:rPr>
        <w:t>"block"</w:t>
      </w:r>
      <w:r>
        <w:t xml:space="preserve"> as described in §</w:t>
      </w:r>
      <w:r>
        <w:fldChar w:fldCharType="begin"/>
      </w:r>
      <w:r>
        <w:instrText xml:space="preserve"> REF _Ref233793283 \r \h </w:instrText>
      </w:r>
      <w:r>
        <w:fldChar w:fldCharType="separate"/>
      </w:r>
      <w:r>
        <w:t>14.3.3</w:t>
      </w:r>
      <w:r>
        <w:fldChar w:fldCharType="end"/>
      </w:r>
      <w:r>
        <w:t xml:space="preserve"> and illustrated in </w:t>
      </w:r>
      <w:r>
        <w:fldChar w:fldCharType="begin"/>
      </w:r>
      <w:r>
        <w:instrText xml:space="preserve"> REF _Ref233795218 \h </w:instrText>
      </w:r>
      <w:r>
        <w:fldChar w:fldCharType="separate"/>
      </w:r>
      <w:r>
        <w:t xml:space="preserve">Exhibit </w:t>
      </w:r>
      <w:r>
        <w:rPr>
          <w:noProof/>
        </w:rPr>
        <w:t>14.3</w:t>
      </w:r>
      <w:r>
        <w:t>.</w:t>
      </w:r>
      <w:r>
        <w:rPr>
          <w:noProof/>
        </w:rPr>
        <w:t>A</w:t>
      </w:r>
      <w:r>
        <w:fldChar w:fldCharType="end"/>
      </w:r>
    </w:p>
    <w:p>
      <w:pPr>
        <w:pStyle w:val="Lista"/>
      </w:pPr>
      <w:r>
        <w:t xml:space="preserve">encoding with </w:t>
      </w:r>
      <w:r>
        <w:rPr>
          <w:rStyle w:val="Code"/>
        </w:rPr>
        <w:t>&lt;q&gt;</w:t>
      </w:r>
      <w:r>
        <w:t xml:space="preserve"> is acceptable but not essential for situations which conventionally involve the use of quotation marks but are not actually quotation, for example with technical terms or glosses</w:t>
      </w:r>
    </w:p>
    <w:p>
      <w:pPr>
        <w:pStyle w:val="Lista2"/>
      </w:pPr>
      <w:r>
        <w:t xml:space="preserve">if you opt for entering quotation marks instead of encoding, preferably use the printer’s quotes applicable to the language and context </w:t>
      </w:r>
      <w:r>
        <w:rPr>
          <w:noProof/>
        </w:rPr>
        <w:t>(</w:t>
      </w:r>
      <w:r>
        <w:t>„...” “...” ‘...’ «...») rather than generic typewriter quotes or apostrophes</w:t>
      </w:r>
    </w:p>
    <w:p>
      <w:pPr>
        <w:pStyle w:val="Cmsor4"/>
      </w:pPr>
      <w:bookmarkStart w:id="937" w:name="_oux10a9n6xn3" w:colFirst="0" w:colLast="0"/>
      <w:bookmarkStart w:id="938" w:name="_Ref233880854"/>
      <w:bookmarkEnd w:id="937"/>
      <w:r>
        <w:t>Quotations attributed to a source</w:t>
      </w:r>
      <w:bookmarkEnd w:id="938"/>
    </w:p>
    <w:p>
      <w:pPr>
        <w:rPr>
          <w:lang w:eastAsia="en-US" w:bidi="ar-SA"/>
        </w:rPr>
      </w:pPr>
      <w:r>
        <w:rPr>
          <w:lang w:eastAsia="en-US" w:bidi="ar-SA"/>
        </w:rPr>
        <w:t>Quotations from a published source, especially from scholarly literature, may be encoded in a structured manner as follows. Alternatively, the quotation may be encoded as a generic quote (§</w:t>
      </w:r>
      <w:r>
        <w:rPr>
          <w:lang w:eastAsia="en-US" w:bidi="ar-SA"/>
        </w:rPr>
        <w:fldChar w:fldCharType="begin"/>
      </w:r>
      <w:r>
        <w:rPr>
          <w:lang w:eastAsia="en-US" w:bidi="ar-SA"/>
        </w:rPr>
        <w:instrText xml:space="preserve"> REF _Ref233880809 \r \h </w:instrText>
      </w:r>
      <w:r>
        <w:rPr>
          <w:lang w:eastAsia="en-US" w:bidi="ar-SA"/>
        </w:rPr>
      </w:r>
      <w:r>
        <w:rPr>
          <w:lang w:eastAsia="en-US" w:bidi="ar-SA"/>
        </w:rPr>
        <w:fldChar w:fldCharType="separate"/>
      </w:r>
      <w:r>
        <w:rPr>
          <w:lang w:eastAsia="en-US" w:bidi="ar-SA"/>
        </w:rPr>
        <w:t>14.6.3.1</w:t>
      </w:r>
      <w:r>
        <w:rPr>
          <w:lang w:eastAsia="en-US" w:bidi="ar-SA"/>
        </w:rPr>
        <w:fldChar w:fldCharType="end"/>
      </w:r>
      <w:r>
        <w:rPr>
          <w:lang w:eastAsia="en-US" w:bidi="ar-SA"/>
        </w:rPr>
        <w:t xml:space="preserve">) and a bibliographic reference may be integrated into the surrounding text. Both are illustrated in </w:t>
      </w:r>
      <w:r>
        <w:rPr>
          <w:lang w:eastAsia="en-US" w:bidi="ar-SA"/>
        </w:rPr>
        <w:fldChar w:fldCharType="begin"/>
      </w:r>
      <w:r>
        <w:rPr>
          <w:lang w:eastAsia="en-US" w:bidi="ar-SA"/>
        </w:rPr>
        <w:instrText xml:space="preserve"> REF _Ref233881565 \h </w:instrText>
      </w:r>
      <w:r>
        <w:rPr>
          <w:lang w:eastAsia="en-US" w:bidi="ar-SA"/>
        </w:rPr>
      </w:r>
      <w:r>
        <w:rPr>
          <w:lang w:eastAsia="en-US" w:bidi="ar-SA"/>
        </w:rPr>
        <w:fldChar w:fldCharType="separate"/>
      </w:r>
      <w:r>
        <w:t xml:space="preserve">Exhibit </w:t>
      </w:r>
      <w:r>
        <w:rPr>
          <w:noProof/>
        </w:rPr>
        <w:t>14.6</w:t>
      </w:r>
      <w:r>
        <w:t>.</w:t>
      </w:r>
      <w:r>
        <w:rPr>
          <w:noProof/>
        </w:rPr>
        <w:t>K</w:t>
      </w:r>
      <w:r>
        <w:rPr>
          <w:lang w:eastAsia="en-US" w:bidi="ar-SA"/>
        </w:rPr>
        <w:fldChar w:fldCharType="end"/>
      </w:r>
      <w:r>
        <w:rPr>
          <w:lang w:eastAsia="en-US" w:bidi="ar-SA"/>
        </w:rPr>
        <w:t>.</w:t>
      </w:r>
    </w:p>
    <w:p>
      <w:pPr>
        <w:pStyle w:val="Lista"/>
      </w:pPr>
      <w:r>
        <w:t xml:space="preserve">within the </w:t>
      </w:r>
      <w:r>
        <w:rPr>
          <w:rStyle w:val="Code"/>
        </w:rPr>
        <w:t>&lt;p&gt;</w:t>
      </w:r>
      <w:r>
        <w:t xml:space="preserve"> or </w:t>
      </w:r>
      <w:r>
        <w:rPr>
          <w:rStyle w:val="Code"/>
        </w:rPr>
        <w:t>&lt;note&gt;</w:t>
      </w:r>
      <w:r>
        <w:t xml:space="preserve"> element in which you quote a publication, create the wrapper </w:t>
      </w:r>
      <w:r>
        <w:rPr>
          <w:rStyle w:val="Code"/>
        </w:rPr>
        <w:t>&lt;cit&gt;</w:t>
      </w:r>
    </w:p>
    <w:p>
      <w:pPr>
        <w:pStyle w:val="Lista2"/>
      </w:pPr>
      <w:r>
        <w:t xml:space="preserve">within </w:t>
      </w:r>
      <w:r>
        <w:rPr>
          <w:rStyle w:val="Code"/>
        </w:rPr>
        <w:t>&lt;cit&gt;</w:t>
      </w:r>
      <w:r>
        <w:t xml:space="preserve">, as its first child, create the element </w:t>
      </w:r>
      <w:r>
        <w:rPr>
          <w:rStyle w:val="Code"/>
        </w:rPr>
        <w:t>&lt;quote&gt;</w:t>
      </w:r>
      <w:r>
        <w:t xml:space="preserve"> (for “quotation”)</w:t>
      </w:r>
    </w:p>
    <w:p>
      <w:pPr>
        <w:pStyle w:val="Lista3"/>
      </w:pPr>
      <w:r>
        <w:t xml:space="preserve">enter the quoted text within </w:t>
      </w:r>
      <w:r>
        <w:rPr>
          <w:rStyle w:val="Code"/>
        </w:rPr>
        <w:t>&lt;quote&gt;</w:t>
      </w:r>
    </w:p>
    <w:p>
      <w:pPr>
        <w:pStyle w:val="Lista3"/>
      </w:pPr>
      <w:r>
        <w:t>do not add quotation marks to the text, as these will be automatically produced in display</w:t>
      </w:r>
    </w:p>
    <w:p>
      <w:pPr>
        <w:pStyle w:val="Lista2"/>
      </w:pPr>
      <w:r>
        <w:t xml:space="preserve">also within </w:t>
      </w:r>
      <w:r>
        <w:rPr>
          <w:rStyle w:val="Code"/>
        </w:rPr>
        <w:t>&lt;cit&gt;</w:t>
      </w:r>
      <w:r>
        <w:t xml:space="preserve">, as its second child immediately after </w:t>
      </w:r>
      <w:r>
        <w:rPr>
          <w:rStyle w:val="Code"/>
        </w:rPr>
        <w:t>&lt;quote&gt;</w:t>
      </w:r>
      <w:r>
        <w:t>, create a bibliographic citation as per §</w:t>
      </w:r>
      <w:r>
        <w:fldChar w:fldCharType="begin"/>
      </w:r>
      <w:r>
        <w:instrText xml:space="preserve"> REF _Ref233877601 \r \h </w:instrText>
      </w:r>
      <w:r>
        <w:fldChar w:fldCharType="separate"/>
      </w:r>
      <w:r>
        <w:t>14.6.1</w:t>
      </w:r>
      <w:r>
        <w:fldChar w:fldCharType="end"/>
      </w:r>
      <w:r>
        <w:t xml:space="preserve"> identifying the source of the quotation</w:t>
      </w:r>
    </w:p>
    <w:p>
      <w:pPr>
        <w:pStyle w:val="Lista"/>
      </w:pPr>
      <w:r>
        <w:t xml:space="preserve">if the quotation is in a modern language other than that of the surrounding text, use </w:t>
      </w:r>
      <w:r>
        <w:rPr>
          <w:rStyle w:val="Codeattribute"/>
        </w:rPr>
        <w:t>@xml:lang</w:t>
      </w:r>
      <w:r>
        <w:t xml:space="preserve"> on the </w:t>
      </w:r>
      <w:r>
        <w:rPr>
          <w:rStyle w:val="Code"/>
        </w:rPr>
        <w:t>&lt;quote&gt;</w:t>
      </w:r>
      <w:r>
        <w:t xml:space="preserve"> element, as per §</w:t>
      </w:r>
      <w:r>
        <w:fldChar w:fldCharType="begin"/>
      </w:r>
      <w:r>
        <w:instrText xml:space="preserve"> REF _Ref233727317 \r \h </w:instrText>
      </w:r>
      <w:r>
        <w:fldChar w:fldCharType="separate"/>
      </w:r>
      <w:r>
        <w:t>14.4.1</w:t>
      </w:r>
      <w:r>
        <w:fldChar w:fldCharType="end"/>
      </w:r>
      <w:r>
        <w:t xml:space="preserve"> </w:t>
      </w:r>
    </w:p>
    <w:p>
      <w:pPr>
        <w:pStyle w:val="Lista"/>
      </w:pPr>
      <w:r>
        <w:t>by default, a quotation encoded in this manner will be displayed inline, with the citation following the quoted text</w:t>
      </w:r>
    </w:p>
    <w:p>
      <w:pPr>
        <w:pStyle w:val="Lista2"/>
      </w:pPr>
      <w:r>
        <w:t xml:space="preserve">to create a block quote, add the attribute </w:t>
      </w:r>
      <w:r>
        <w:rPr>
          <w:rStyle w:val="Codeattribute"/>
        </w:rPr>
        <w:t>@rend</w:t>
      </w:r>
      <w:r>
        <w:rPr>
          <w:rStyle w:val="Codetext"/>
        </w:rPr>
        <w:t>=</w:t>
      </w:r>
      <w:r>
        <w:rPr>
          <w:rStyle w:val="Codevalue"/>
        </w:rPr>
        <w:t>"block"</w:t>
      </w:r>
      <w:r>
        <w:t xml:space="preserve"> to the </w:t>
      </w:r>
      <w:r>
        <w:rPr>
          <w:rStyle w:val="Code"/>
        </w:rPr>
        <w:t>&lt;quote&gt;</w:t>
      </w:r>
      <w:r>
        <w:t xml:space="preserve"> element as described in §</w:t>
      </w:r>
      <w:r>
        <w:fldChar w:fldCharType="begin"/>
      </w:r>
      <w:r>
        <w:instrText xml:space="preserve"> REF _Ref233793283 \r \h </w:instrText>
      </w:r>
      <w:r>
        <w:fldChar w:fldCharType="separate"/>
      </w:r>
      <w:r>
        <w:t>14.3.3</w:t>
      </w:r>
      <w:r>
        <w:fldChar w:fldCharType="end"/>
      </w:r>
    </w:p>
    <w:p>
      <w:pPr>
        <w:pStyle w:val="Lista"/>
      </w:pPr>
      <w:r>
        <w:t xml:space="preserve">when citing text from a publication with </w:t>
      </w:r>
      <w:r>
        <w:rPr>
          <w:rStyle w:val="Code"/>
        </w:rPr>
        <w:t>&lt;quote&gt;</w:t>
      </w:r>
      <w:r>
        <w:t>, any transliterated words in the cited text shall be retained in their original form rather than being converted to our transliteration system</w:t>
      </w:r>
    </w:p>
    <w:p>
      <w:pPr>
        <w:pStyle w:val="Lista2"/>
      </w:pPr>
      <w:r>
        <w:t xml:space="preserve">but any text adopted without </w:t>
      </w:r>
      <w:r>
        <w:rPr>
          <w:rStyle w:val="Code"/>
        </w:rPr>
        <w:t>&lt;quote&gt;</w:t>
      </w:r>
      <w:r>
        <w:t>, for example in apparatus readings, translations and paraphrased/summarised opinions, should be converted to the DHARMA transliteration system</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939" w:name="_Ref233881565"/>
            <w:r>
              <w:lastRenderedPageBreak/>
              <w:t xml:space="preserve">Exhibit </w:t>
            </w:r>
            <w:fldSimple w:instr=" STYLEREF 2 \s ">
              <w:r>
                <w:rPr>
                  <w:noProof/>
                </w:rPr>
                <w:t>14.6</w:t>
              </w:r>
            </w:fldSimple>
            <w:r>
              <w:t>.</w:t>
            </w:r>
            <w:fldSimple w:instr=" SEQ Exhibit \* ALPHABETIC \s 2 ">
              <w:r>
                <w:rPr>
                  <w:noProof/>
                </w:rPr>
                <w:t>K</w:t>
              </w:r>
            </w:fldSimple>
            <w:bookmarkEnd w:id="939"/>
            <w:r>
              <w:t>: attributing quotations to a publication</w:t>
            </w:r>
          </w:p>
        </w:tc>
      </w:tr>
      <w:tr>
        <w:tc>
          <w:tcPr>
            <w:tcW w:w="5000" w:type="pct"/>
          </w:tcPr>
          <w:p>
            <w:pPr>
              <w:pStyle w:val="TableNote"/>
              <w:keepNext/>
            </w:pPr>
            <w:r>
              <w:t>encoded as an attributed quotation</w:t>
            </w:r>
          </w:p>
        </w:tc>
      </w:tr>
      <w:tr>
        <w:tc>
          <w:tcPr>
            <w:tcW w:w="5000" w:type="pct"/>
          </w:tcPr>
          <w:p>
            <w:pPr>
              <w:pStyle w:val="CodeParagraph"/>
              <w:keepNext/>
              <w:rPr>
                <w:rStyle w:val="Code"/>
              </w:rPr>
            </w:pPr>
            <w:r>
              <w:rPr>
                <w:rStyle w:val="Code"/>
              </w:rPr>
              <w:t>&lt;note&gt;</w:t>
            </w:r>
            <w:r>
              <w:t xml:space="preserve"> </w:t>
            </w:r>
            <w:r>
              <w:rPr>
                <w:rStyle w:val="Codetext"/>
              </w:rPr>
              <w:t xml:space="preserve">Hultzsch notes: </w:t>
            </w:r>
            <w:r>
              <w:rPr>
                <w:rStyle w:val="Code"/>
              </w:rPr>
              <w:t>&lt;cit&gt;&lt;quote&gt;</w:t>
            </w:r>
            <w:r>
              <w:rPr>
                <w:rStyle w:val="Codetext"/>
              </w:rPr>
              <w:t>The genitive bhagavato refers to Chittarathasâmi, the first member of the following compound. This is of course a grammatical blunder of the officer who drafted the inscription</w:t>
            </w:r>
            <w:r>
              <w:rPr>
                <w:rStyle w:val="Code"/>
              </w:rPr>
              <w:t xml:space="preserve">&lt;/quote&gt;&lt;bibl&gt;&lt;ptr </w:t>
            </w:r>
            <w:r>
              <w:rPr>
                <w:rStyle w:val="Codeattribute"/>
              </w:rPr>
              <w:t>target=</w:t>
            </w:r>
            <w:r>
              <w:rPr>
                <w:rStyle w:val="Codevalue"/>
              </w:rPr>
              <w:t>"bib:Hultzsch1907-1908_03"</w:t>
            </w:r>
            <w:r>
              <w:rPr>
                <w:rStyle w:val="Code"/>
              </w:rPr>
              <w:t>/&gt;</w:t>
            </w:r>
            <w:r>
              <w:rPr>
                <w:rStyle w:val="Codetext"/>
              </w:rPr>
              <w:t xml:space="preserve">: </w:t>
            </w:r>
            <w:r>
              <w:rPr>
                <w:rStyle w:val="Code"/>
              </w:rPr>
              <w:t>&lt;citedRange&gt;</w:t>
            </w:r>
            <w:r>
              <w:rPr>
                <w:rStyle w:val="Codetext"/>
              </w:rPr>
              <w:t>59</w:t>
            </w:r>
            <w:r>
              <w:rPr>
                <w:rStyle w:val="Code"/>
              </w:rPr>
              <w:t>&lt;/citedRange&gt;&lt;/bibl&gt;&lt;/cit&gt;</w:t>
            </w:r>
            <w:r>
              <w:rPr>
                <w:rStyle w:val="Codetext"/>
              </w:rPr>
              <w:t>. The same “blunder” is found...</w:t>
            </w:r>
            <w:r>
              <w:rPr>
                <w:rStyle w:val="Code"/>
              </w:rPr>
              <w:t>&lt;/note&gt;</w:t>
            </w:r>
          </w:p>
        </w:tc>
      </w:tr>
      <w:tr>
        <w:tc>
          <w:tcPr>
            <w:tcW w:w="5000" w:type="pct"/>
          </w:tcPr>
          <w:p>
            <w:pPr>
              <w:pStyle w:val="TableNote"/>
              <w:keepNext/>
            </w:pPr>
            <w:r>
              <w:t>encoded with a separate citation</w:t>
            </w:r>
          </w:p>
        </w:tc>
      </w:tr>
      <w:tr>
        <w:tc>
          <w:tcPr>
            <w:tcW w:w="5000" w:type="pct"/>
          </w:tcPr>
          <w:p>
            <w:pPr>
              <w:pStyle w:val="CodeParagraph"/>
              <w:keepNext/>
              <w:rPr>
                <w:rStyle w:val="Code"/>
              </w:rPr>
            </w:pPr>
            <w:r>
              <w:rPr>
                <w:rStyle w:val="Code"/>
              </w:rPr>
              <w:t>&lt;note&gt;</w:t>
            </w:r>
            <w:r>
              <w:t xml:space="preserve"> </w:t>
            </w:r>
            <w:r>
              <w:rPr>
                <w:rStyle w:val="Codetext"/>
              </w:rPr>
              <w:t>Hultzsch (</w:t>
            </w:r>
            <w:r>
              <w:rPr>
                <w:rStyle w:val="Code"/>
              </w:rPr>
              <w:t xml:space="preserve">&lt;bibl </w:t>
            </w:r>
            <w:r>
              <w:rPr>
                <w:rStyle w:val="Codeattribute"/>
              </w:rPr>
              <w:t>rend</w:t>
            </w:r>
            <w:r>
              <w:rPr>
                <w:rStyle w:val="Code"/>
              </w:rPr>
              <w:t>=</w:t>
            </w:r>
            <w:r>
              <w:rPr>
                <w:rStyle w:val="Codevalue"/>
              </w:rPr>
              <w:t>"omitname"</w:t>
            </w:r>
            <w:r>
              <w:rPr>
                <w:rStyle w:val="Code"/>
              </w:rPr>
              <w:t xml:space="preserve">&gt;&lt;ptr </w:t>
            </w:r>
            <w:r>
              <w:rPr>
                <w:rStyle w:val="Codeattribute"/>
              </w:rPr>
              <w:t>target=</w:t>
            </w:r>
            <w:r>
              <w:rPr>
                <w:rStyle w:val="Codevalue"/>
              </w:rPr>
              <w:t>"bib:Hultzsch1907-1908_03"</w:t>
            </w:r>
            <w:r>
              <w:rPr>
                <w:rStyle w:val="Code"/>
              </w:rPr>
              <w:t>/&gt;</w:t>
            </w:r>
            <w:r>
              <w:rPr>
                <w:rStyle w:val="Codetext"/>
              </w:rPr>
              <w:t xml:space="preserve">: </w:t>
            </w:r>
            <w:r>
              <w:rPr>
                <w:rStyle w:val="Code"/>
              </w:rPr>
              <w:t>&lt;citedRange&gt;</w:t>
            </w:r>
            <w:r>
              <w:rPr>
                <w:rStyle w:val="Codetext"/>
              </w:rPr>
              <w:t>59</w:t>
            </w:r>
            <w:r>
              <w:rPr>
                <w:rStyle w:val="Code"/>
              </w:rPr>
              <w:t>&lt;/citedRange&gt;&lt;/bibl&gt;</w:t>
            </w:r>
            <w:r>
              <w:rPr>
                <w:rStyle w:val="Codetext"/>
              </w:rPr>
              <w:t xml:space="preserve">) notes: </w:t>
            </w:r>
            <w:r>
              <w:rPr>
                <w:rStyle w:val="Code"/>
              </w:rPr>
              <w:t>&lt;q&gt;</w:t>
            </w:r>
            <w:r>
              <w:rPr>
                <w:rStyle w:val="Codetext"/>
              </w:rPr>
              <w:t>The genitive bhagavato refers to Chittarathasâmi, the first member of the following compound. This is of course a grammatical blunder of the officer who drafted the inscription</w:t>
            </w:r>
            <w:r>
              <w:rPr>
                <w:rStyle w:val="Code"/>
              </w:rPr>
              <w:t>&lt;/q&gt;</w:t>
            </w:r>
            <w:r>
              <w:rPr>
                <w:rStyle w:val="Codetext"/>
              </w:rPr>
              <w:t>. The same “blunder” is found...</w:t>
            </w:r>
            <w:r>
              <w:rPr>
                <w:rStyle w:val="Code"/>
              </w:rPr>
              <w:t>&lt;/note&gt;</w:t>
            </w:r>
          </w:p>
        </w:tc>
      </w:tr>
    </w:tbl>
    <w:p/>
    <w:p>
      <w:pPr>
        <w:pStyle w:val="Cmsor3"/>
      </w:pPr>
      <w:bookmarkStart w:id="940" w:name="_Toc242976727"/>
      <w:r>
        <w:t>Referring to web resources</w:t>
      </w:r>
      <w:bookmarkEnd w:id="940"/>
    </w:p>
    <w:p>
      <w:r>
        <w:t xml:space="preserve">References to electronic resources available on the internet shall be encoded with the element </w:t>
      </w:r>
      <w:r>
        <w:rPr>
          <w:rStyle w:val="Code"/>
        </w:rPr>
        <w:t>&lt;ref&gt;</w:t>
      </w:r>
      <w:r>
        <w:t xml:space="preserve">, as described in the following subsections. Unlike the </w:t>
      </w:r>
      <w:r>
        <w:rPr>
          <w:rStyle w:val="Code"/>
        </w:rPr>
        <w:t>&lt;ptr/&gt;</w:t>
      </w:r>
      <w:r>
        <w:t xml:space="preserve"> element used in bibliographic citations </w:t>
      </w:r>
      <w:r>
        <w:rPr>
          <w:noProof/>
        </w:rPr>
        <w:t>(</w:t>
      </w:r>
      <w:r>
        <w:t>§</w:t>
      </w:r>
      <w:r>
        <w:fldChar w:fldCharType="begin"/>
      </w:r>
      <w:r>
        <w:instrText xml:space="preserve"> REF _Ref233877601 \r \h </w:instrText>
      </w:r>
      <w:r>
        <w:fldChar w:fldCharType="separate"/>
      </w:r>
      <w:r>
        <w:t>14.6.1</w:t>
      </w:r>
      <w:r>
        <w:fldChar w:fldCharType="end"/>
      </w:r>
      <w:r>
        <w:t xml:space="preserve">), </w:t>
      </w:r>
      <w:r>
        <w:rPr>
          <w:rStyle w:val="Code"/>
        </w:rPr>
        <w:t>&lt;ref&gt;</w:t>
      </w:r>
      <w:r>
        <w:t xml:space="preserve"> must contain the text that is to be shown with a hyperlink to the digital resource. The contents are technically free text, but we strongly recommend that you use short and clear human-readable conventional references in the form that is best integrated into the context. Detailed specification of the reference, such as a line or verse number, is best added outside this markup in plain text for human consumption. Such references may be encoded at any point in the XML document where free modern-language text is permitted.</w:t>
      </w:r>
    </w:p>
    <w:p>
      <w:pPr>
        <w:pStyle w:val="Cmsor4"/>
      </w:pPr>
      <w:bookmarkStart w:id="941" w:name="_Ref43988648"/>
      <w:bookmarkStart w:id="942" w:name="_Ref148531705"/>
      <w:r>
        <w:t>Referring to editions in the DHARMA corpus</w:t>
      </w:r>
      <w:bookmarkEnd w:id="941"/>
      <w:bookmarkEnd w:id="942"/>
    </w:p>
    <w:p>
      <w:pPr>
        <w:pStyle w:val="Lista"/>
      </w:pPr>
      <w:r>
        <w:t xml:space="preserve">to refer to another edition in the DHARMA corpus, use the element </w:t>
      </w:r>
      <w:r>
        <w:rPr>
          <w:rStyle w:val="Code"/>
        </w:rPr>
        <w:t>&lt;ref&gt;</w:t>
      </w:r>
      <w:r>
        <w:t xml:space="preserve"> in the following manner</w:t>
      </w:r>
    </w:p>
    <w:p>
      <w:pPr>
        <w:pStyle w:val="Lista2"/>
      </w:pPr>
      <w:r>
        <w:t xml:space="preserve">add the attribute </w:t>
      </w:r>
      <w:r>
        <w:rPr>
          <w:rStyle w:val="Codeattribute"/>
        </w:rPr>
        <w:t>@target</w:t>
      </w:r>
      <w:r>
        <w:t xml:space="preserve"> with a value that is the full filename of the edition</w:t>
      </w:r>
    </w:p>
    <w:p>
      <w:pPr>
        <w:pStyle w:val="Lista2"/>
      </w:pPr>
      <w:r>
        <w:t xml:space="preserve">as the contents of </w:t>
      </w:r>
      <w:r>
        <w:rPr>
          <w:rStyle w:val="Code"/>
        </w:rPr>
        <w:t>&lt;ref&gt;</w:t>
      </w:r>
      <w:r>
        <w:t>, enter a human-friendly identifier or title of the edition</w:t>
      </w:r>
    </w:p>
    <w:p>
      <w:pPr>
        <w:pStyle w:val="Lista"/>
      </w:pPr>
      <w:r>
        <w:t>examples:</w:t>
      </w:r>
    </w:p>
    <w:p>
      <w:pPr>
        <w:pStyle w:val="Lista2"/>
        <w:rPr>
          <w:rStyle w:val="Code"/>
          <w:rFonts w:ascii="Gentium" w:hAnsi="Gentium" w:cs="Tiro Devanagari Sanskrit"/>
          <w:noProof w:val="0"/>
          <w:color w:val="auto"/>
          <w:shd w:val="clear" w:color="auto" w:fill="auto"/>
        </w:rPr>
      </w:pPr>
      <w:r>
        <w:rPr>
          <w:rStyle w:val="Code"/>
        </w:rPr>
        <w:t xml:space="preserve">&lt;ref </w:t>
      </w:r>
      <w:r>
        <w:rPr>
          <w:rStyle w:val="Codeattribute"/>
        </w:rPr>
        <w:t>target</w:t>
      </w:r>
      <w:r>
        <w:rPr>
          <w:rStyle w:val="Code"/>
        </w:rPr>
        <w:t>=</w:t>
      </w:r>
      <w:r>
        <w:rPr>
          <w:rStyle w:val="Codevalue"/>
        </w:rPr>
        <w:t>"DHARMA_INSPallava00002.xml"</w:t>
      </w:r>
      <w:r>
        <w:rPr>
          <w:rStyle w:val="Code"/>
        </w:rPr>
        <w:t>&gt;</w:t>
      </w:r>
      <w:r>
        <w:rPr>
          <w:rStyle w:val="Codetext"/>
        </w:rPr>
        <w:t>Pallava 2</w:t>
      </w:r>
      <w:r>
        <w:rPr>
          <w:rStyle w:val="Code"/>
        </w:rPr>
        <w:t>&lt;/ref&gt;</w:t>
      </w:r>
    </w:p>
    <w:p>
      <w:pPr>
        <w:pStyle w:val="Lista2"/>
        <w:rPr>
          <w:rStyle w:val="Code"/>
        </w:rPr>
      </w:pPr>
      <w:r>
        <w:rPr>
          <w:rStyle w:val="Code"/>
        </w:rPr>
        <w:t xml:space="preserve">&lt;ref </w:t>
      </w:r>
      <w:r>
        <w:rPr>
          <w:rStyle w:val="Codeattribute"/>
        </w:rPr>
        <w:t>target=</w:t>
      </w:r>
      <w:r>
        <w:rPr>
          <w:rStyle w:val="Codevalue"/>
        </w:rPr>
        <w:t>"DHARMA_INSVengiCalukya00048.xml"</w:t>
      </w:r>
      <w:r>
        <w:rPr>
          <w:rStyle w:val="Code"/>
        </w:rPr>
        <w:t>&gt;</w:t>
      </w:r>
      <w:r>
        <w:rPr>
          <w:rStyle w:val="Codetext"/>
        </w:rPr>
        <w:t>London plates of Maṅgi Yuvarāja</w:t>
      </w:r>
      <w:r>
        <w:rPr>
          <w:rStyle w:val="Code"/>
        </w:rPr>
        <w:t>&lt;/ref&gt;</w:t>
      </w:r>
    </w:p>
    <w:p>
      <w:pPr>
        <w:pStyle w:val="Cmsor4"/>
      </w:pPr>
      <w:bookmarkStart w:id="943" w:name="_Ref155689459"/>
      <w:r>
        <w:t>Referring to websites</w:t>
      </w:r>
      <w:bookmarkEnd w:id="943"/>
    </w:p>
    <w:p>
      <w:pPr>
        <w:pStyle w:val="Lista"/>
      </w:pPr>
      <w:r>
        <w:t xml:space="preserve">to refer to an external website or other web resource, use the element </w:t>
      </w:r>
      <w:r>
        <w:rPr>
          <w:rStyle w:val="Code"/>
        </w:rPr>
        <w:t>&lt;ref&gt;</w:t>
      </w:r>
      <w:r>
        <w:t xml:space="preserve"> in the following manner</w:t>
      </w:r>
    </w:p>
    <w:p>
      <w:pPr>
        <w:pStyle w:val="Lista2"/>
      </w:pPr>
      <w:r>
        <w:t xml:space="preserve">add the attribute </w:t>
      </w:r>
      <w:r>
        <w:rPr>
          <w:rStyle w:val="Codeattribute"/>
        </w:rPr>
        <w:t>@target</w:t>
      </w:r>
      <w:r>
        <w:t xml:space="preserve"> with a value that is the full URL of the resource</w:t>
      </w:r>
    </w:p>
    <w:p>
      <w:pPr>
        <w:pStyle w:val="Lista2"/>
      </w:pPr>
      <w:r>
        <w:t xml:space="preserve">as the contents of </w:t>
      </w:r>
      <w:r>
        <w:rPr>
          <w:rStyle w:val="Code"/>
        </w:rPr>
        <w:t>&lt;ref&gt;</w:t>
      </w:r>
      <w:r>
        <w:t>, enter the title of the site or page or simply repeat the URL</w:t>
      </w:r>
    </w:p>
    <w:p>
      <w:pPr>
        <w:pStyle w:val="Lista"/>
      </w:pPr>
      <w:r>
        <w:t>examples</w:t>
      </w:r>
    </w:p>
    <w:p>
      <w:pPr>
        <w:pStyle w:val="Lista2"/>
      </w:pPr>
      <w:r>
        <w:rPr>
          <w:rStyle w:val="Codetext"/>
        </w:rPr>
        <w:t>&lt;</w:t>
      </w:r>
      <w:r>
        <w:rPr>
          <w:rStyle w:val="Code"/>
        </w:rPr>
        <w:t>ref</w:t>
      </w:r>
      <w:r>
        <w:rPr>
          <w:rStyle w:val="Codetext"/>
        </w:rPr>
        <w:t xml:space="preserve"> </w:t>
      </w:r>
      <w:r>
        <w:rPr>
          <w:rStyle w:val="Codeattribute"/>
        </w:rPr>
        <w:t>target</w:t>
      </w:r>
      <w:r>
        <w:rPr>
          <w:rStyle w:val="Codetext"/>
        </w:rPr>
        <w:t>="</w:t>
      </w:r>
      <w:r>
        <w:rPr>
          <w:rStyle w:val="Codevalue"/>
        </w:rPr>
        <w:t>http://museumsofindia.gov.in/repository/record/im_kol-A20050-9085-18</w:t>
      </w:r>
      <w:r>
        <w:rPr>
          <w:rStyle w:val="Codetext"/>
        </w:rPr>
        <w:t>"&gt;Baigram fragment&lt;/</w:t>
      </w:r>
      <w:r>
        <w:rPr>
          <w:rStyle w:val="Code"/>
        </w:rPr>
        <w:t>ref</w:t>
      </w:r>
      <w:r>
        <w:rPr>
          <w:rStyle w:val="Codetext"/>
        </w:rPr>
        <w:t>&gt;</w:t>
      </w:r>
    </w:p>
    <w:p>
      <w:pPr>
        <w:pStyle w:val="Lista2"/>
      </w:pPr>
      <w:r>
        <w:rPr>
          <w:rStyle w:val="Codetext"/>
        </w:rPr>
        <w:t>&lt;</w:t>
      </w:r>
      <w:r>
        <w:rPr>
          <w:rStyle w:val="Code"/>
        </w:rPr>
        <w:t>ref</w:t>
      </w:r>
      <w:r>
        <w:rPr>
          <w:rStyle w:val="Codetext"/>
        </w:rPr>
        <w:t xml:space="preserve"> </w:t>
      </w:r>
      <w:r>
        <w:rPr>
          <w:rStyle w:val="Codeattribute"/>
        </w:rPr>
        <w:t>target</w:t>
      </w:r>
      <w:r>
        <w:rPr>
          <w:rStyle w:val="Codetext"/>
        </w:rPr>
        <w:t>="</w:t>
      </w:r>
      <w:r>
        <w:rPr>
          <w:rStyle w:val="Codevalue"/>
        </w:rPr>
        <w:t>https://tei-c.org/</w:t>
      </w:r>
      <w:r>
        <w:rPr>
          <w:rStyle w:val="Codetext"/>
        </w:rPr>
        <w:t>"&gt;</w:t>
      </w:r>
      <w:r>
        <w:rPr>
          <w:rFonts w:ascii="Consolas" w:hAnsi="Consolas" w:cs="Consolas"/>
          <w:noProof/>
          <w:shd w:val="clear" w:color="auto" w:fill="F2F2F2" w:themeFill="background1" w:themeFillShade="F2"/>
        </w:rPr>
        <w:t>https://tei-c.org/</w:t>
      </w:r>
      <w:r>
        <w:rPr>
          <w:rStyle w:val="Code"/>
        </w:rPr>
        <w:t>&lt;/ref&gt;</w:t>
      </w:r>
    </w:p>
    <w:p>
      <w:pPr>
        <w:pStyle w:val="Cmsor3"/>
      </w:pPr>
      <w:bookmarkStart w:id="944" w:name="_57tiei7g7b2r" w:colFirst="0" w:colLast="0"/>
      <w:bookmarkStart w:id="945" w:name="_dx7skv6pu8qf" w:colFirst="0" w:colLast="0"/>
      <w:bookmarkStart w:id="946" w:name="_g75gsrc5lpm1" w:colFirst="0" w:colLast="0"/>
      <w:bookmarkStart w:id="947" w:name="_Ref43989765"/>
      <w:bookmarkStart w:id="948" w:name="_Toc242976728"/>
      <w:bookmarkEnd w:id="944"/>
      <w:bookmarkEnd w:id="945"/>
      <w:bookmarkEnd w:id="946"/>
      <w:r>
        <w:t xml:space="preserve">Crediting a DHARMA contributor with </w:t>
      </w:r>
      <w:bookmarkEnd w:id="947"/>
      <w:r>
        <w:rPr>
          <w:rStyle w:val="Codeattribute"/>
        </w:rPr>
        <w:t>@resp</w:t>
      </w:r>
      <w:bookmarkEnd w:id="948"/>
    </w:p>
    <w:p>
      <w:r>
        <w:t xml:space="preserve">The attribute </w:t>
      </w:r>
      <w:r>
        <w:rPr>
          <w:rStyle w:val="Codeattribute"/>
        </w:rPr>
        <w:t>@resp</w:t>
      </w:r>
      <w:r>
        <w:t xml:space="preserve"> </w:t>
      </w:r>
      <w:r>
        <w:rPr>
          <w:noProof/>
        </w:rPr>
        <w:t>(</w:t>
      </w:r>
      <w:r>
        <w:t xml:space="preserve">for “responsibility”) may be added to any XML element to encode the fact that a particular entity is the author of that particular item. In regular DHARMA practice this is done only to attribute the authorship of translations </w:t>
      </w:r>
      <w:r>
        <w:rPr>
          <w:noProof/>
        </w:rPr>
        <w:t>(</w:t>
      </w:r>
      <w:r>
        <w:t>§</w:t>
      </w:r>
      <w:r>
        <w:fldChar w:fldCharType="begin"/>
      </w:r>
      <w:r>
        <w:instrText xml:space="preserve"> REF _Ref233276652 \r \h </w:instrText>
      </w:r>
      <w:r>
        <w:fldChar w:fldCharType="separate"/>
      </w:r>
      <w:r>
        <w:t>11.1.2</w:t>
      </w:r>
      <w:r>
        <w:fldChar w:fldCharType="end"/>
      </w:r>
      <w:r>
        <w:t>) and of individual notes in translations (§</w:t>
      </w:r>
      <w:r>
        <w:fldChar w:fldCharType="begin"/>
      </w:r>
      <w:r>
        <w:instrText xml:space="preserve"> REF _Ref233298582 \r \h </w:instrText>
      </w:r>
      <w:r>
        <w:fldChar w:fldCharType="separate"/>
      </w:r>
      <w:r>
        <w:t>11.5.3</w:t>
      </w:r>
      <w:r>
        <w:fldChar w:fldCharType="end"/>
      </w:r>
      <w:r>
        <w:t>) as well as elsewhere (§</w:t>
      </w:r>
      <w:r>
        <w:fldChar w:fldCharType="begin"/>
      </w:r>
      <w:r>
        <w:instrText xml:space="preserve"> REF _Ref233730339 \r \h </w:instrText>
      </w:r>
      <w:r>
        <w:fldChar w:fldCharType="separate"/>
      </w:r>
      <w:r>
        <w:t>14.5.1.1</w:t>
      </w:r>
      <w:r>
        <w:fldChar w:fldCharType="end"/>
      </w:r>
      <w:r>
        <w:t>) to a DHARMA contributor, but the same encoding may also be used for the tracking and crediting of revisions and improvements to editions encoded by someone else.</w:t>
      </w:r>
    </w:p>
    <w:p>
      <w:pPr>
        <w:pStyle w:val="Lista"/>
      </w:pPr>
      <w:r>
        <w:t xml:space="preserve">the value of </w:t>
      </w:r>
      <w:r>
        <w:rPr>
          <w:rStyle w:val="Codeattribute"/>
        </w:rPr>
        <w:t>@resp</w:t>
      </w:r>
      <w:r>
        <w:t xml:space="preserve"> shall be the personal identifier of a DHARMA contributor, with the prefix </w:t>
      </w:r>
      <w:r>
        <w:rPr>
          <w:rStyle w:val="Codevalue"/>
        </w:rPr>
        <w:t>part:</w:t>
      </w:r>
      <w:r>
        <w:t xml:space="preserve"> </w:t>
      </w:r>
      <w:r>
        <w:rPr>
          <w:noProof/>
        </w:rPr>
        <w:t>(</w:t>
      </w:r>
      <w:r>
        <w:t>as an abbreviated reference to the file listing participants of the project)</w:t>
      </w:r>
    </w:p>
    <w:p>
      <w:pPr>
        <w:pStyle w:val="Lista2"/>
      </w:pPr>
      <w:r>
        <w:t xml:space="preserve">our personal identifiers are available at </w:t>
      </w:r>
      <w:hyperlink r:id="rId79" w:history="1">
        <w:r>
          <w:rPr>
            <w:rStyle w:val="Hiperhivatkozs"/>
          </w:rPr>
          <w:t>https://dharmalekha.info/contributors</w:t>
        </w:r>
      </w:hyperlink>
      <w:r>
        <w:t xml:space="preserve"> </w:t>
      </w:r>
    </w:p>
    <w:p>
      <w:pPr>
        <w:pStyle w:val="Lista2"/>
      </w:pPr>
      <w:r>
        <w:t xml:space="preserve">to credit more than one contributor, simply include several personal identifiers </w:t>
      </w:r>
      <w:r>
        <w:rPr>
          <w:noProof/>
        </w:rPr>
        <w:t>(</w:t>
      </w:r>
      <w:r>
        <w:t xml:space="preserve">each prefixed as above) within a single </w:t>
      </w:r>
      <w:r>
        <w:rPr>
          <w:rStyle w:val="Codeattribute"/>
        </w:rPr>
        <w:t>@resp</w:t>
      </w:r>
      <w:r>
        <w:t xml:space="preserve"> attribute, separating them with a space and nothing else</w:t>
      </w:r>
    </w:p>
    <w:p>
      <w:pPr>
        <w:pStyle w:val="Cmsor3"/>
      </w:pPr>
      <w:bookmarkStart w:id="949" w:name="_5hzh3m6qj48r" w:colFirst="0" w:colLast="0"/>
      <w:bookmarkStart w:id="950" w:name="_Ref43988993"/>
      <w:bookmarkStart w:id="951" w:name="_Toc242976729"/>
      <w:bookmarkEnd w:id="949"/>
      <w:r>
        <w:lastRenderedPageBreak/>
        <w:t xml:space="preserve">Identifying elements with </w:t>
      </w:r>
      <w:r>
        <w:rPr>
          <w:rStyle w:val="Codeattribute"/>
        </w:rPr>
        <w:t>@xml:id</w:t>
      </w:r>
      <w:bookmarkEnd w:id="950"/>
      <w:bookmarkEnd w:id="951"/>
    </w:p>
    <w:p>
      <w:r>
        <w:t xml:space="preserve">The attribute </w:t>
      </w:r>
      <w:r>
        <w:rPr>
          <w:rStyle w:val="Codeattribute"/>
        </w:rPr>
        <w:t>@xml:id</w:t>
      </w:r>
      <w:r>
        <w:t xml:space="preserve"> may be used to assign a unique identifier to any XML element, which can then be used in computer processing to target that element precisely. Although future developments may call for more extensive use of such identification, present DHARMA practice utilises </w:t>
      </w:r>
      <w:r>
        <w:rPr>
          <w:rStyle w:val="Codeattribute"/>
        </w:rPr>
        <w:t>@xml:id</w:t>
      </w:r>
      <w:r>
        <w:t xml:space="preserve"> only for the identification of scribal hands as described in §</w:t>
      </w:r>
      <w:r>
        <w:fldChar w:fldCharType="begin"/>
      </w:r>
      <w:r>
        <w:instrText xml:space="preserve"> REF _Ref231980025 \r \h </w:instrText>
      </w:r>
      <w:r>
        <w:fldChar w:fldCharType="separate"/>
      </w:r>
      <w:r>
        <w:t>15.2.1.2</w:t>
      </w:r>
      <w:r>
        <w:fldChar w:fldCharType="end"/>
      </w:r>
      <w:r>
        <w:t>.</w:t>
      </w:r>
    </w:p>
    <w:p>
      <w:pPr>
        <w:pStyle w:val="Lista"/>
      </w:pPr>
      <w:r>
        <w:t xml:space="preserve">the following technical requirements apply to </w:t>
      </w:r>
      <w:r>
        <w:rPr>
          <w:rStyle w:val="Codeattribute"/>
        </w:rPr>
        <w:t>@xml:id</w:t>
      </w:r>
    </w:p>
    <w:p>
      <w:pPr>
        <w:pStyle w:val="Lista2"/>
      </w:pPr>
      <w:r>
        <w:t xml:space="preserve">all </w:t>
      </w:r>
      <w:r>
        <w:rPr>
          <w:rStyle w:val="Codeattribute"/>
        </w:rPr>
        <w:t>@xml:id</w:t>
      </w:r>
      <w:r>
        <w:t xml:space="preserve"> values used within a document must be unique in order to be able to provide unequivocal identification</w:t>
      </w:r>
    </w:p>
    <w:p>
      <w:pPr>
        <w:pStyle w:val="Lista2"/>
      </w:pPr>
      <w:r>
        <w:t xml:space="preserve">the value of </w:t>
      </w:r>
      <w:r>
        <w:rPr>
          <w:rStyle w:val="Codeattribute"/>
        </w:rPr>
        <w:t>@xml:id</w:t>
      </w:r>
      <w:r>
        <w:t xml:space="preserve"> must start with a letter or an underscore (_) and can contain only letters, digits, hyphens, periods (full stops), and underscores</w:t>
      </w:r>
    </w:p>
    <w:p>
      <w:pPr>
        <w:pStyle w:val="Lista2"/>
      </w:pPr>
      <w:r>
        <w:t xml:space="preserve">the value is case-sensitive, so for instance </w:t>
      </w:r>
      <w:r>
        <w:rPr>
          <w:rStyle w:val="Codeattribute"/>
        </w:rPr>
        <w:t>@xml:id=</w:t>
      </w:r>
      <w:r>
        <w:rPr>
          <w:rStyle w:val="Codevalue"/>
        </w:rPr>
        <w:t>"hand1"</w:t>
      </w:r>
      <w:r>
        <w:t xml:space="preserve"> is not equivalent to </w:t>
      </w:r>
      <w:r>
        <w:rPr>
          <w:rStyle w:val="Codeattribute"/>
        </w:rPr>
        <w:t>@xml:id=</w:t>
      </w:r>
      <w:r>
        <w:rPr>
          <w:rStyle w:val="Codevalue"/>
        </w:rPr>
        <w:t>"Hand1"</w:t>
      </w:r>
    </w:p>
    <w:p>
      <w:pPr>
        <w:pStyle w:val="Cmsor2"/>
      </w:pPr>
      <w:r>
        <w:t>Analytical and interpretive markup</w:t>
      </w:r>
    </w:p>
    <w:p>
      <w:r>
        <w:t>The encoding prescribed for numbers and abbreviations in §</w:t>
      </w:r>
      <w:r>
        <w:fldChar w:fldCharType="begin"/>
      </w:r>
      <w:r>
        <w:instrText xml:space="preserve"> REF _Ref232002354 \r \h </w:instrText>
      </w:r>
      <w:r>
        <w:fldChar w:fldCharType="separate"/>
      </w:r>
      <w:r>
        <w:t>9</w:t>
      </w:r>
      <w:r>
        <w:fldChar w:fldCharType="end"/>
      </w:r>
      <w:r>
        <w:t xml:space="preserve"> shall only be used in the edition division or in text cited verbatim from the edition as per §</w:t>
      </w:r>
      <w:r>
        <w:fldChar w:fldCharType="begin"/>
      </w:r>
      <w:r>
        <w:instrText xml:space="preserve"> REF _Ref43990337 \r \h </w:instrText>
      </w:r>
      <w:r>
        <w:fldChar w:fldCharType="separate"/>
      </w:r>
      <w:r>
        <w:t>14.1</w:t>
      </w:r>
      <w:r>
        <w:fldChar w:fldCharType="end"/>
      </w:r>
      <w:r>
        <w:t>. Conversely, the encoding of titles (§</w:t>
      </w:r>
      <w:r>
        <w:fldChar w:fldCharType="begin"/>
      </w:r>
      <w:r>
        <w:instrText xml:space="preserve"> REF _Ref233796804 \r \h </w:instrText>
      </w:r>
      <w:r>
        <w:fldChar w:fldCharType="separate"/>
      </w:r>
      <w:r>
        <w:t>14.7.1</w:t>
      </w:r>
      <w:r>
        <w:fldChar w:fldCharType="end"/>
      </w:r>
      <w:r>
        <w:t>) is only applicable outside the edition. In DHARMA practice, names (§</w:t>
      </w:r>
      <w:r>
        <w:fldChar w:fldCharType="begin"/>
      </w:r>
      <w:r>
        <w:instrText xml:space="preserve"> REF _Ref233882783 \r \h </w:instrText>
      </w:r>
      <w:r>
        <w:fldChar w:fldCharType="separate"/>
      </w:r>
      <w:r>
        <w:t>14.7.2</w:t>
      </w:r>
      <w:r>
        <w:fldChar w:fldCharType="end"/>
      </w:r>
      <w:r>
        <w:t>) are only tagged in the TEI header (§</w:t>
      </w:r>
      <w:r>
        <w:fldChar w:fldCharType="begin"/>
      </w:r>
      <w:r>
        <w:instrText xml:space="preserve"> REF _Ref43990001 \r \h </w:instrText>
      </w:r>
      <w:r>
        <w:fldChar w:fldCharType="separate"/>
      </w:r>
      <w:r>
        <w:t>15.1.2</w:t>
      </w:r>
      <w:r>
        <w:fldChar w:fldCharType="end"/>
      </w:r>
      <w:r>
        <w:t>). Additional semantic encoding (§</w:t>
      </w:r>
      <w:r>
        <w:fldChar w:fldCharType="begin"/>
      </w:r>
      <w:r>
        <w:instrText xml:space="preserve"> REF _Ref232173896 \r \h </w:instrText>
      </w:r>
      <w:r>
        <w:fldChar w:fldCharType="separate"/>
      </w:r>
      <w:r>
        <w:t>14.7.3</w:t>
      </w:r>
      <w:r>
        <w:fldChar w:fldCharType="end"/>
      </w:r>
      <w:r>
        <w:t>) is permitted but not encouraged in DHARMA editions.</w:t>
      </w:r>
    </w:p>
    <w:p>
      <w:pPr>
        <w:pStyle w:val="Cmsor3"/>
      </w:pPr>
      <w:bookmarkStart w:id="952" w:name="_m34hlz9vjuhp" w:colFirst="0" w:colLast="0"/>
      <w:bookmarkStart w:id="953" w:name="_Ref233796804"/>
      <w:bookmarkStart w:id="954" w:name="_Toc242976730"/>
      <w:bookmarkEnd w:id="952"/>
      <w:r>
        <w:t>Encoding titles</w:t>
      </w:r>
      <w:bookmarkEnd w:id="953"/>
      <w:bookmarkEnd w:id="954"/>
    </w:p>
    <w:p>
      <w:r>
        <w:t xml:space="preserve">Any titles you mention outside the edition division (for instance in a note or commentary) shall be tagged as such with the element </w:t>
      </w:r>
      <w:r>
        <w:rPr>
          <w:rStyle w:val="Code"/>
        </w:rPr>
        <w:t>&lt;title&gt;</w:t>
      </w:r>
      <w:r>
        <w:t>.</w:t>
      </w:r>
    </w:p>
    <w:p>
      <w:pPr>
        <w:pStyle w:val="Lista"/>
      </w:pPr>
      <w:r>
        <w:t>titles to be tagged in this way include</w:t>
      </w:r>
    </w:p>
    <w:p>
      <w:pPr>
        <w:pStyle w:val="Lista2"/>
      </w:pPr>
      <w:r>
        <w:t xml:space="preserve">non-epigraphic primary sources </w:t>
      </w:r>
      <w:r>
        <w:rPr>
          <w:noProof/>
        </w:rPr>
        <w:t>(</w:t>
      </w:r>
      <w:r>
        <w:t xml:space="preserve">literary texts), e.g. </w:t>
      </w:r>
      <w:r>
        <w:rPr>
          <w:rStyle w:val="Code"/>
        </w:rPr>
        <w:t>&lt;title&gt;</w:t>
      </w:r>
      <w:r>
        <w:rPr>
          <w:rStyle w:val="Codetext"/>
        </w:rPr>
        <w:t>Harivaṁśa</w:t>
      </w:r>
      <w:r>
        <w:rPr>
          <w:rStyle w:val="Code"/>
        </w:rPr>
        <w:t>&lt;/title&gt;</w:t>
      </w:r>
    </w:p>
    <w:p>
      <w:pPr>
        <w:pStyle w:val="Lista2"/>
      </w:pPr>
      <w:r>
        <w:t xml:space="preserve">secondary sources </w:t>
      </w:r>
      <w:r>
        <w:rPr>
          <w:noProof/>
        </w:rPr>
        <w:t>(</w:t>
      </w:r>
      <w:r>
        <w:t>scholarly literature), regardless of whether the title is cited</w:t>
      </w:r>
    </w:p>
    <w:p>
      <w:pPr>
        <w:pStyle w:val="Lista3"/>
      </w:pPr>
      <w:r>
        <w:t xml:space="preserve">in full, e.g. </w:t>
      </w:r>
      <w:r>
        <w:rPr>
          <w:rStyle w:val="Code"/>
        </w:rPr>
        <w:t>&lt;title&gt;</w:t>
      </w:r>
      <w:r>
        <w:rPr>
          <w:rStyle w:val="Codetext"/>
        </w:rPr>
        <w:t>Early History of the Deccan</w:t>
      </w:r>
      <w:r>
        <w:rPr>
          <w:rStyle w:val="Code"/>
        </w:rPr>
        <w:t>&lt;/title&gt;</w:t>
      </w:r>
      <w:r>
        <w:t>, or</w:t>
      </w:r>
    </w:p>
    <w:p>
      <w:pPr>
        <w:pStyle w:val="Lista3"/>
      </w:pPr>
      <w:r>
        <w:t xml:space="preserve">in abbreviated form, e.g. </w:t>
      </w:r>
      <w:r>
        <w:rPr>
          <w:rStyle w:val="Code"/>
        </w:rPr>
        <w:t>&lt;title&gt;</w:t>
      </w:r>
      <w:r>
        <w:rPr>
          <w:rStyle w:val="Codetext"/>
        </w:rPr>
        <w:t>Mahâbodhi</w:t>
      </w:r>
      <w:r>
        <w:rPr>
          <w:rStyle w:val="Code"/>
        </w:rPr>
        <w:t>&lt;/title&gt;</w:t>
      </w:r>
      <w:r>
        <w:t xml:space="preserve"> for the title </w:t>
      </w:r>
      <w:r>
        <w:rPr>
          <w:rStyle w:val="Foreign"/>
        </w:rPr>
        <w:t>Mahâbodhi, or the great Buddhist temple under the Bodhi tree at Buddha-Gaya</w:t>
      </w:r>
      <w:r>
        <w:t>, or</w:t>
      </w:r>
    </w:p>
    <w:p>
      <w:pPr>
        <w:pStyle w:val="Lista3"/>
      </w:pPr>
      <w:r>
        <w:t xml:space="preserve">as a widely known acronym, e.g. </w:t>
      </w:r>
      <w:r>
        <w:rPr>
          <w:rStyle w:val="Code"/>
        </w:rPr>
        <w:t>&lt;title&gt;</w:t>
      </w:r>
      <w:r>
        <w:rPr>
          <w:rStyle w:val="Codetext"/>
        </w:rPr>
        <w:t>OJED</w:t>
      </w:r>
      <w:r>
        <w:rPr>
          <w:rStyle w:val="Code"/>
        </w:rPr>
        <w:t>&lt;/title&gt;</w:t>
      </w:r>
      <w:r>
        <w:t xml:space="preserve"> for the title </w:t>
      </w:r>
      <w:r>
        <w:rPr>
          <w:rStyle w:val="Foreign"/>
        </w:rPr>
        <w:t>Old Javanese-English dictionary</w:t>
      </w:r>
    </w:p>
    <w:p>
      <w:pPr>
        <w:pStyle w:val="Lista"/>
      </w:pPr>
      <w:r>
        <w:t>“titles” designating inscriptions shall not be encoded in this way</w:t>
      </w:r>
    </w:p>
    <w:p>
      <w:pPr>
        <w:pStyle w:val="Lista2"/>
      </w:pPr>
      <w:r>
        <w:t>but inscriptions edited in the DHARMA corpus are to be encoded as per §</w:t>
      </w:r>
      <w:r>
        <w:fldChar w:fldCharType="begin"/>
      </w:r>
      <w:r>
        <w:instrText xml:space="preserve"> REF _Ref148531705 \r \h </w:instrText>
      </w:r>
      <w:r>
        <w:fldChar w:fldCharType="separate"/>
      </w:r>
      <w:r>
        <w:t>14.6.4.1</w:t>
      </w:r>
      <w:r>
        <w:fldChar w:fldCharType="end"/>
      </w:r>
    </w:p>
    <w:p>
      <w:pPr>
        <w:pStyle w:val="Lista"/>
      </w:pPr>
      <w:r>
        <w:t>by default, all titles tagged with this element will be displayed in italics; when this is not desired, choose the applicable from the following options</w:t>
      </w:r>
    </w:p>
    <w:p>
      <w:pPr>
        <w:pStyle w:val="Lista2"/>
      </w:pPr>
      <w:r>
        <w:t xml:space="preserve">for titles of chapters </w:t>
      </w:r>
      <w:r>
        <w:rPr>
          <w:noProof/>
        </w:rPr>
        <w:t>(</w:t>
      </w:r>
      <w:r>
        <w:t xml:space="preserve">e.g. in a multi-author book) and articles </w:t>
      </w:r>
      <w:r>
        <w:rPr>
          <w:noProof/>
        </w:rPr>
        <w:t>(</w:t>
      </w:r>
      <w:r>
        <w:t xml:space="preserve">e.g. in a journal), add the attribute </w:t>
      </w:r>
      <w:r>
        <w:rPr>
          <w:rStyle w:val="Codeattribute"/>
        </w:rPr>
        <w:t>@level</w:t>
      </w:r>
      <w:r>
        <w:t xml:space="preserve"> with the value </w:t>
      </w:r>
      <w:r>
        <w:rPr>
          <w:rStyle w:val="Codevalue"/>
        </w:rPr>
        <w:t>"a"</w:t>
      </w:r>
      <w:r>
        <w:t xml:space="preserve"> </w:t>
      </w:r>
      <w:r>
        <w:rPr>
          <w:noProof/>
        </w:rPr>
        <w:t>(</w:t>
      </w:r>
      <w:r>
        <w:t>for “analytic”)</w:t>
      </w:r>
    </w:p>
    <w:p>
      <w:pPr>
        <w:pStyle w:val="Lista3"/>
      </w:pPr>
      <w:r>
        <w:t xml:space="preserve">e.g. </w:t>
      </w:r>
      <w:r>
        <w:rPr>
          <w:rStyle w:val="Code"/>
        </w:rPr>
        <w:t xml:space="preserve">&lt;title </w:t>
      </w:r>
      <w:r>
        <w:rPr>
          <w:rStyle w:val="Codeattribute"/>
        </w:rPr>
        <w:t>level</w:t>
      </w:r>
      <w:r>
        <w:rPr>
          <w:rStyle w:val="Code"/>
        </w:rPr>
        <w:t>=</w:t>
      </w:r>
      <w:r>
        <w:rPr>
          <w:rStyle w:val="Codevalue"/>
        </w:rPr>
        <w:t>"a"</w:t>
      </w:r>
      <w:r>
        <w:rPr>
          <w:rStyle w:val="Code"/>
        </w:rPr>
        <w:t>&gt;</w:t>
      </w:r>
      <w:r>
        <w:rPr>
          <w:rStyle w:val="Codetext"/>
        </w:rPr>
        <w:t>Grants from Valabhî</w:t>
      </w:r>
      <w:r>
        <w:rPr>
          <w:rStyle w:val="Code"/>
        </w:rPr>
        <w:t>&lt;/title&gt;</w:t>
      </w:r>
    </w:p>
    <w:p>
      <w:pPr>
        <w:pStyle w:val="Lista3"/>
      </w:pPr>
      <w:r>
        <w:t>titles tagged in this way will be displayed in regular type, but with quote marks added around them</w:t>
      </w:r>
    </w:p>
    <w:p>
      <w:pPr>
        <w:pStyle w:val="Lista2"/>
      </w:pPr>
      <w:r>
        <w:t xml:space="preserve">for any other titles that you wish to display without italics for whatever reason, add the attribute </w:t>
      </w:r>
      <w:r>
        <w:rPr>
          <w:rStyle w:val="Codeattribute"/>
        </w:rPr>
        <w:t>@rend</w:t>
      </w:r>
      <w:r>
        <w:t xml:space="preserve"> with the value </w:t>
      </w:r>
      <w:r>
        <w:rPr>
          <w:rStyle w:val="Codevalue"/>
        </w:rPr>
        <w:t>"plain"</w:t>
      </w:r>
    </w:p>
    <w:p>
      <w:pPr>
        <w:pStyle w:val="Lista3"/>
      </w:pPr>
      <w:r>
        <w:t>titles tagged in this way will be displayed without any typographic distinction from the surrounding text</w:t>
      </w:r>
    </w:p>
    <w:p>
      <w:pPr>
        <w:pStyle w:val="Cmsor3"/>
      </w:pPr>
      <w:bookmarkStart w:id="955" w:name="_Ref233882773"/>
      <w:bookmarkStart w:id="956" w:name="_Ref233882783"/>
      <w:bookmarkStart w:id="957" w:name="_Toc242976731"/>
      <w:r>
        <w:t>Encoding names</w:t>
      </w:r>
      <w:bookmarkEnd w:id="955"/>
      <w:bookmarkEnd w:id="956"/>
      <w:bookmarkEnd w:id="957"/>
    </w:p>
    <w:p>
      <w:r>
        <w:t xml:space="preserve">Names may, in principle, be tagged anywhere in a document, but we do not recommend doing so in any content except the Responsibility Statement </w:t>
      </w:r>
      <w:r>
        <w:rPr>
          <w:noProof/>
        </w:rPr>
        <w:t>(</w:t>
      </w:r>
      <w:r>
        <w:t>§</w:t>
      </w:r>
      <w:r>
        <w:fldChar w:fldCharType="begin"/>
      </w:r>
      <w:r>
        <w:instrText xml:space="preserve"> REF _Ref43990001 \r \h  \* MERGEFORMAT </w:instrText>
      </w:r>
      <w:r>
        <w:fldChar w:fldCharType="separate"/>
      </w:r>
      <w:r>
        <w:t>15.1.2</w:t>
      </w:r>
      <w:r>
        <w:fldChar w:fldCharType="end"/>
      </w:r>
      <w:r>
        <w:t>). Both modern and historic names may be tagged for analytical purposes as indicated in §</w:t>
      </w:r>
      <w:r>
        <w:fldChar w:fldCharType="begin"/>
      </w:r>
      <w:r>
        <w:instrText xml:space="preserve"> REF _Ref232173896 \r \h </w:instrText>
      </w:r>
      <w:r>
        <w:fldChar w:fldCharType="separate"/>
      </w:r>
      <w:r>
        <w:t>14.7.3</w:t>
      </w:r>
      <w:r>
        <w:fldChar w:fldCharType="end"/>
      </w:r>
      <w:r>
        <w:t xml:space="preserve">. The required encoding for modern names in the Responsibility Statement is as follows, illustrated in </w:t>
      </w:r>
      <w:r>
        <w:fldChar w:fldCharType="begin"/>
      </w:r>
      <w:r>
        <w:instrText xml:space="preserve"> REF _Ref233883689 \h </w:instrText>
      </w:r>
      <w:r>
        <w:fldChar w:fldCharType="separate"/>
      </w:r>
      <w:r>
        <w:t xml:space="preserve">Exhibit </w:t>
      </w:r>
      <w:r>
        <w:rPr>
          <w:noProof/>
        </w:rPr>
        <w:t>14.7</w:t>
      </w:r>
      <w:r>
        <w:t>.</w:t>
      </w:r>
      <w:r>
        <w:rPr>
          <w:noProof/>
        </w:rPr>
        <w:t>A</w:t>
      </w:r>
      <w:r>
        <w:fldChar w:fldCharType="end"/>
      </w:r>
    </w:p>
    <w:p>
      <w:pPr>
        <w:pStyle w:val="Lista"/>
      </w:pPr>
      <w:bookmarkStart w:id="958" w:name="_5n8o6akv2b3b" w:colFirst="0" w:colLast="0"/>
      <w:bookmarkEnd w:id="958"/>
      <w:r>
        <w:t xml:space="preserve">when a contemporary name requires a tag, wrap the entire name in the element </w:t>
      </w:r>
      <w:r>
        <w:rPr>
          <w:rStyle w:val="Code"/>
        </w:rPr>
        <w:t>&lt;persName&gt;</w:t>
      </w:r>
    </w:p>
    <w:p>
      <w:pPr>
        <w:pStyle w:val="Lista2"/>
      </w:pPr>
      <w:r>
        <w:t xml:space="preserve">if the name is that of a DHARMA project participant </w:t>
      </w:r>
      <w:r>
        <w:rPr>
          <w:noProof/>
        </w:rPr>
        <w:t>(</w:t>
      </w:r>
      <w:r>
        <w:t xml:space="preserve">such as your own name), add the attribute </w:t>
      </w:r>
      <w:r>
        <w:rPr>
          <w:rStyle w:val="Codeattribute"/>
        </w:rPr>
        <w:t>@ref</w:t>
      </w:r>
    </w:p>
    <w:p>
      <w:pPr>
        <w:pStyle w:val="Lista3"/>
      </w:pPr>
      <w:r>
        <w:lastRenderedPageBreak/>
        <w:t xml:space="preserve">the value of this attribute shall be the personal identifier of the contributor, with the prefix </w:t>
      </w:r>
      <w:r>
        <w:rPr>
          <w:rStyle w:val="Codevalue"/>
        </w:rPr>
        <w:t>part:</w:t>
      </w:r>
      <w:r>
        <w:t xml:space="preserve"> </w:t>
      </w:r>
      <w:r>
        <w:rPr>
          <w:noProof/>
        </w:rPr>
        <w:t>(</w:t>
      </w:r>
      <w:r>
        <w:t>as an abbreviated reference to the file listing participants of the project)</w:t>
      </w:r>
    </w:p>
    <w:p>
      <w:pPr>
        <w:pStyle w:val="Lista3"/>
      </w:pPr>
      <w:r>
        <w:t xml:space="preserve">our personal identifiers are available at </w:t>
      </w:r>
      <w:hyperlink r:id="rId80" w:history="1">
        <w:r>
          <w:rPr>
            <w:rStyle w:val="Hiperhivatkozs"/>
          </w:rPr>
          <w:t>https://dharmalekha.info/contributors</w:t>
        </w:r>
      </w:hyperlink>
      <w:r>
        <w:t xml:space="preserve"> </w:t>
      </w:r>
    </w:p>
    <w:p>
      <w:pPr>
        <w:pStyle w:val="Lista2"/>
      </w:pPr>
      <w:r>
        <w:t>persons who are not DHARMA contributors will not be identified with a machine-readable reference</w:t>
      </w:r>
    </w:p>
    <w:p>
      <w:pPr>
        <w:pStyle w:val="Lista"/>
      </w:pPr>
      <w:r>
        <w:t>within this element</w:t>
      </w:r>
    </w:p>
    <w:p>
      <w:pPr>
        <w:pStyle w:val="Lista2"/>
      </w:pPr>
      <w:r>
        <w:t xml:space="preserve">either apply the tags </w:t>
      </w:r>
      <w:r>
        <w:rPr>
          <w:rStyle w:val="Code"/>
        </w:rPr>
        <w:t>&lt;forename&gt;</w:t>
      </w:r>
      <w:r>
        <w:t xml:space="preserve"> and </w:t>
      </w:r>
      <w:r>
        <w:rPr>
          <w:rStyle w:val="Code"/>
        </w:rPr>
        <w:t>&lt;surname&gt;</w:t>
      </w:r>
      <w:r>
        <w:t xml:space="preserve"> to the respective components of the name</w:t>
      </w:r>
    </w:p>
    <w:p>
      <w:pPr>
        <w:pStyle w:val="Lista2"/>
      </w:pPr>
      <w:r>
        <w:t xml:space="preserve">or apply </w:t>
      </w:r>
      <w:r>
        <w:rPr>
          <w:rStyle w:val="Code"/>
        </w:rPr>
        <w:t>&lt;name&gt;</w:t>
      </w:r>
      <w:r>
        <w:t xml:space="preserve"> to the whole of a name if it cannot be broken down in this way</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959" w:name="_Ref233883689"/>
            <w:r>
              <w:t xml:space="preserve">Exhibit </w:t>
            </w:r>
            <w:fldSimple w:instr=" STYLEREF 2 \s ">
              <w:r>
                <w:rPr>
                  <w:noProof/>
                </w:rPr>
                <w:t>14.7</w:t>
              </w:r>
            </w:fldSimple>
            <w:r>
              <w:t>.</w:t>
            </w:r>
            <w:fldSimple w:instr=" SEQ Exhibit \* ALPHABETIC \s 2 ">
              <w:r>
                <w:rPr>
                  <w:noProof/>
                </w:rPr>
                <w:t>A</w:t>
              </w:r>
            </w:fldSimple>
            <w:bookmarkEnd w:id="959"/>
            <w:r>
              <w:t>: encoding the name of a project participant</w:t>
            </w:r>
          </w:p>
        </w:tc>
      </w:tr>
      <w:tr>
        <w:tc>
          <w:tcPr>
            <w:tcW w:w="5000" w:type="pct"/>
          </w:tcPr>
          <w:p>
            <w:pPr>
              <w:pStyle w:val="TableNote"/>
            </w:pPr>
            <w:r>
              <w:t>with forename and surname</w:t>
            </w:r>
          </w:p>
        </w:tc>
      </w:tr>
      <w:tr>
        <w:tc>
          <w:tcPr>
            <w:tcW w:w="5000" w:type="pct"/>
          </w:tcPr>
          <w:p>
            <w:pPr>
              <w:pStyle w:val="CodeParagraph"/>
              <w:rPr>
                <w:rStyle w:val="Code"/>
              </w:rPr>
            </w:pPr>
            <w:r>
              <w:rPr>
                <w:rStyle w:val="Code"/>
              </w:rPr>
              <w:t xml:space="preserve">&lt;persName </w:t>
            </w:r>
            <w:r>
              <w:rPr>
                <w:rStyle w:val="Codeattribute"/>
              </w:rPr>
              <w:t>ref</w:t>
            </w:r>
            <w:r>
              <w:rPr>
                <w:rStyle w:val="Code"/>
              </w:rPr>
              <w:t>=</w:t>
            </w:r>
            <w:r>
              <w:rPr>
                <w:rStyle w:val="Codevalue"/>
              </w:rPr>
              <w:t>"part:argr"</w:t>
            </w:r>
            <w:r>
              <w:rPr>
                <w:rStyle w:val="Code"/>
              </w:rPr>
              <w:t>&gt;</w:t>
            </w:r>
            <w:r>
              <w:rPr>
                <w:rStyle w:val="Codetext"/>
              </w:rPr>
              <w:br/>
              <w:t xml:space="preserve">  </w:t>
            </w:r>
            <w:r>
              <w:rPr>
                <w:rStyle w:val="Code"/>
              </w:rPr>
              <w:t>&lt;forename&gt;</w:t>
            </w:r>
            <w:r>
              <w:rPr>
                <w:rStyle w:val="Codetext"/>
              </w:rPr>
              <w:t>Arlo</w:t>
            </w:r>
            <w:r>
              <w:rPr>
                <w:rStyle w:val="Code"/>
              </w:rPr>
              <w:t>&lt;/forename&gt;</w:t>
            </w:r>
            <w:r>
              <w:rPr>
                <w:rStyle w:val="Codetext"/>
              </w:rPr>
              <w:br/>
              <w:t xml:space="preserve">  </w:t>
            </w:r>
            <w:r>
              <w:rPr>
                <w:rStyle w:val="Code"/>
              </w:rPr>
              <w:t>&lt;surname&gt;</w:t>
            </w:r>
            <w:r>
              <w:rPr>
                <w:rStyle w:val="Codetext"/>
              </w:rPr>
              <w:t>Griffiths</w:t>
            </w:r>
            <w:r>
              <w:rPr>
                <w:rStyle w:val="Code"/>
              </w:rPr>
              <w:t>&lt;/surname&gt;</w:t>
            </w:r>
            <w:r>
              <w:rPr>
                <w:rStyle w:val="Codetext"/>
              </w:rPr>
              <w:br/>
            </w:r>
            <w:r>
              <w:rPr>
                <w:rStyle w:val="Code"/>
              </w:rPr>
              <w:t>&lt;/persName&gt;</w:t>
            </w:r>
          </w:p>
        </w:tc>
      </w:tr>
      <w:tr>
        <w:tc>
          <w:tcPr>
            <w:tcW w:w="5000" w:type="pct"/>
          </w:tcPr>
          <w:p>
            <w:pPr>
              <w:pStyle w:val="TableNote"/>
            </w:pPr>
            <w:r>
              <w:t>with a name that resists breaking down into forename and surname</w:t>
            </w:r>
          </w:p>
        </w:tc>
      </w:tr>
      <w:tr>
        <w:tc>
          <w:tcPr>
            <w:tcW w:w="5000" w:type="pct"/>
          </w:tcPr>
          <w:p>
            <w:pPr>
              <w:pStyle w:val="CodeParagraph"/>
              <w:rPr>
                <w:rStyle w:val="Code"/>
              </w:rPr>
            </w:pPr>
            <w:r>
              <w:rPr>
                <w:rStyle w:val="Code"/>
              </w:rPr>
              <w:t xml:space="preserve">&lt;persName </w:t>
            </w:r>
            <w:r>
              <w:rPr>
                <w:rStyle w:val="Codeattribute"/>
              </w:rPr>
              <w:t>ref</w:t>
            </w:r>
            <w:r>
              <w:rPr>
                <w:rStyle w:val="Code"/>
              </w:rPr>
              <w:t>=</w:t>
            </w:r>
            <w:r>
              <w:rPr>
                <w:rStyle w:val="Codevalue"/>
              </w:rPr>
              <w:t>"part:</w:t>
            </w:r>
            <w:r>
              <w:t xml:space="preserve"> </w:t>
            </w:r>
            <w:r>
              <w:rPr>
                <w:rStyle w:val="Codevalue"/>
              </w:rPr>
              <w:t>dapu"</w:t>
            </w:r>
            <w:r>
              <w:rPr>
                <w:rStyle w:val="Code"/>
              </w:rPr>
              <w:t>&gt;</w:t>
            </w:r>
            <w:r>
              <w:rPr>
                <w:rStyle w:val="Codetext"/>
              </w:rPr>
              <w:br/>
              <w:t xml:space="preserve">  </w:t>
            </w:r>
            <w:r>
              <w:rPr>
                <w:rStyle w:val="Code"/>
              </w:rPr>
              <w:t>&lt;name&gt;</w:t>
            </w:r>
            <w:r>
              <w:rPr>
                <w:rStyle w:val="Codetext"/>
              </w:rPr>
              <w:t>I Gde Agus Darma Putra</w:t>
            </w:r>
            <w:r>
              <w:rPr>
                <w:rStyle w:val="Code"/>
              </w:rPr>
              <w:t>&lt;/name&gt;</w:t>
            </w:r>
            <w:r>
              <w:rPr>
                <w:rStyle w:val="Codetext"/>
              </w:rPr>
              <w:br/>
            </w:r>
            <w:r>
              <w:rPr>
                <w:rStyle w:val="Code"/>
              </w:rPr>
              <w:t>&lt;/persName&gt;</w:t>
            </w:r>
          </w:p>
        </w:tc>
      </w:tr>
    </w:tbl>
    <w:p/>
    <w:p>
      <w:pPr>
        <w:pStyle w:val="Cmsor3"/>
      </w:pPr>
      <w:bookmarkStart w:id="960" w:name="_yz32t9xtry6d" w:colFirst="0" w:colLast="0"/>
      <w:bookmarkStart w:id="961" w:name="_Ref232173896"/>
      <w:bookmarkStart w:id="962" w:name="_Toc242976732"/>
      <w:bookmarkEnd w:id="960"/>
      <w:r>
        <w:t xml:space="preserve">Other interpretive and analytical </w:t>
      </w:r>
      <w:bookmarkEnd w:id="961"/>
      <w:r>
        <w:t>encoding</w:t>
      </w:r>
      <w:bookmarkEnd w:id="962"/>
    </w:p>
    <w:p>
      <w:r>
        <w:t>As noted in the introduction to §</w:t>
      </w:r>
      <w:r>
        <w:fldChar w:fldCharType="begin"/>
      </w:r>
      <w:r>
        <w:instrText xml:space="preserve"> REF _Ref232002354 \r \h </w:instrText>
      </w:r>
      <w:r>
        <w:fldChar w:fldCharType="separate"/>
      </w:r>
      <w:r>
        <w:t>9</w:t>
      </w:r>
      <w:r>
        <w:fldChar w:fldCharType="end"/>
      </w:r>
      <w:r>
        <w:t>, interpretive tagging other than the kinds explicitly prescribed by this Guide is not encouraged in DHARMA editions because it greatly increases the presence of overlapping hierarchies in our documents. While project members as well as others adopting the DHARMA encoding scheme are free to experiment with encoding additional interpretive detail, on the whole we recommend that analytical tags should only be added to editions once an entire subcorpus has been encoded as documentary editions and once the precise range of interpretive elements and the conditions of their use has been determined after ripe reflection on the texts and consideration of a particular (set of) research question(s). Even in such a case, it may be desirable to create a fork of the subcorpus, strip it of most of the documentary encoding, and add interpretive encoding to this stripped version.</w:t>
      </w:r>
    </w:p>
    <w:p>
      <w:pPr>
        <w:ind w:firstLine="567"/>
      </w:pPr>
      <w:r>
        <w:t>Interpretive tags may be used in the editions or, with a smaller potential for conflict with other elements, in modern-language translations and annotations. Any such tagging that you do choose to apply should be implemented in accordance with the workflow of your task force as determined by and in consultation with the PI of your task force. It is your responsibility as encoder to ensure that overlapping hierarchies are properly handled, without disrupting editorial encoding such as that for reading difficulties and structural containers.</w:t>
      </w:r>
    </w:p>
    <w:p/>
    <w:p>
      <w:r>
        <w:t>The DHARMA schema permits the following potentially useful interpretive tags, which shall be used in the manner and with the attributes endorsed by the TEI guidelines.</w:t>
      </w:r>
    </w:p>
    <w:p>
      <w:pPr>
        <w:pStyle w:val="Lista"/>
      </w:pPr>
      <w:r>
        <w:rPr>
          <w:rStyle w:val="Code"/>
        </w:rPr>
        <w:t>&lt;persName&gt;</w:t>
      </w:r>
      <w:r>
        <w:t xml:space="preserve"> – for proper nouns referring to a person, e.g. </w:t>
      </w:r>
      <w:r>
        <w:rPr>
          <w:rStyle w:val="Code"/>
        </w:rPr>
        <w:t xml:space="preserve">&lt;persName </w:t>
      </w:r>
      <w:r>
        <w:rPr>
          <w:rStyle w:val="Codeattribute"/>
        </w:rPr>
        <w:t>type</w:t>
      </w:r>
      <w:r>
        <w:rPr>
          <w:rStyle w:val="Code"/>
        </w:rPr>
        <w:t>=</w:t>
      </w:r>
      <w:r>
        <w:rPr>
          <w:rStyle w:val="Codevalue"/>
        </w:rPr>
        <w:t>"human"</w:t>
      </w:r>
      <w:r>
        <w:t xml:space="preserve"> </w:t>
      </w:r>
      <w:r>
        <w:rPr>
          <w:rStyle w:val="Codeattribute"/>
        </w:rPr>
        <w:t>ref</w:t>
      </w:r>
      <w:r>
        <w:rPr>
          <w:rStyle w:val="Code"/>
        </w:rPr>
        <w:t>=</w:t>
      </w:r>
      <w:r>
        <w:rPr>
          <w:rStyle w:val="Codevalue"/>
        </w:rPr>
        <w:t>"#Rajaraja1"</w:t>
      </w:r>
      <w:r>
        <w:rPr>
          <w:rStyle w:val="Code"/>
        </w:rPr>
        <w:t>&gt;</w:t>
      </w:r>
      <w:r>
        <w:rPr>
          <w:rStyle w:val="Codetext"/>
        </w:rPr>
        <w:t>Arumoḻivarmaṉ</w:t>
      </w:r>
      <w:r>
        <w:rPr>
          <w:rStyle w:val="Code"/>
        </w:rPr>
        <w:t>&lt;/persName&gt;</w:t>
      </w:r>
    </w:p>
    <w:p>
      <w:pPr>
        <w:pStyle w:val="Lista"/>
      </w:pPr>
      <w:r>
        <w:rPr>
          <w:rStyle w:val="Code"/>
        </w:rPr>
        <w:t>&lt;placeName&gt;</w:t>
      </w:r>
      <w:r>
        <w:t xml:space="preserve"> – for proper nouns and other terms referring to a place </w:t>
      </w:r>
      <w:r>
        <w:rPr>
          <w:rStyle w:val="Code"/>
        </w:rPr>
        <w:t xml:space="preserve">&lt;placeName </w:t>
      </w:r>
      <w:r>
        <w:rPr>
          <w:rStyle w:val="Codeattribute"/>
        </w:rPr>
        <w:t>type</w:t>
      </w:r>
      <w:r>
        <w:rPr>
          <w:rStyle w:val="Code"/>
        </w:rPr>
        <w:t>=</w:t>
      </w:r>
      <w:r>
        <w:rPr>
          <w:rStyle w:val="Codevalue"/>
        </w:rPr>
        <w:t>"territorialDivision"</w:t>
      </w:r>
      <w:r>
        <w:rPr>
          <w:rStyle w:val="Code"/>
        </w:rPr>
        <w:t xml:space="preserve"> </w:t>
      </w:r>
      <w:r>
        <w:rPr>
          <w:rStyle w:val="Codeattribute"/>
        </w:rPr>
        <w:t>subtype</w:t>
      </w:r>
      <w:r>
        <w:rPr>
          <w:rStyle w:val="Code"/>
        </w:rPr>
        <w:t>=</w:t>
      </w:r>
      <w:r>
        <w:rPr>
          <w:rStyle w:val="Codevalue"/>
        </w:rPr>
        <w:t>"village"</w:t>
      </w:r>
      <w:r>
        <w:rPr>
          <w:rStyle w:val="Code"/>
        </w:rPr>
        <w:t>&gt;c</w:t>
      </w:r>
      <w:r>
        <w:rPr>
          <w:rStyle w:val="Codetext"/>
        </w:rPr>
        <w:t>ārukūr</w:t>
      </w:r>
      <w:r>
        <w:rPr>
          <w:rStyle w:val="Code"/>
        </w:rPr>
        <w:t>&lt;/placeName&gt;</w:t>
      </w:r>
    </w:p>
    <w:p>
      <w:pPr>
        <w:pStyle w:val="Lista"/>
      </w:pPr>
      <w:r>
        <w:rPr>
          <w:rStyle w:val="Code"/>
        </w:rPr>
        <w:t>&lt;roleName&gt;</w:t>
      </w:r>
      <w:r>
        <w:t xml:space="preserve"> – for a name component which indicates that the referent has a particular role or position in society, e.g. </w:t>
      </w:r>
      <w:r>
        <w:rPr>
          <w:rStyle w:val="Code"/>
        </w:rPr>
        <w:t xml:space="preserve">&lt;roleName </w:t>
      </w:r>
      <w:r>
        <w:rPr>
          <w:rStyle w:val="Codeattribute"/>
        </w:rPr>
        <w:t>type</w:t>
      </w:r>
      <w:r>
        <w:rPr>
          <w:rStyle w:val="Code"/>
        </w:rPr>
        <w:t>=</w:t>
      </w:r>
      <w:r>
        <w:rPr>
          <w:rStyle w:val="Codevalue"/>
        </w:rPr>
        <w:t>"king"</w:t>
      </w:r>
      <w:r>
        <w:rPr>
          <w:rStyle w:val="Code"/>
        </w:rPr>
        <w:t>&gt;</w:t>
      </w:r>
      <w:r>
        <w:rPr>
          <w:rStyle w:val="Codetext"/>
        </w:rPr>
        <w:t>mahārājādhirāja</w:t>
      </w:r>
      <w:r>
        <w:rPr>
          <w:rStyle w:val="Code"/>
        </w:rPr>
        <w:t>&lt;/roleName&gt;</w:t>
      </w:r>
    </w:p>
    <w:p>
      <w:pPr>
        <w:pStyle w:val="Lista"/>
      </w:pPr>
      <w:r>
        <w:rPr>
          <w:rStyle w:val="Code"/>
        </w:rPr>
        <w:t>&lt;date&gt;</w:t>
      </w:r>
      <w:r>
        <w:t xml:space="preserve"> – for dates in any form, e.g. </w:t>
      </w:r>
      <w:r>
        <w:rPr>
          <w:rStyle w:val="Code"/>
        </w:rPr>
        <w:t xml:space="preserve">&lt;date </w:t>
      </w:r>
      <w:r>
        <w:rPr>
          <w:rStyle w:val="Codeattribute"/>
        </w:rPr>
        <w:t>calendar</w:t>
      </w:r>
      <w:r>
        <w:rPr>
          <w:rStyle w:val="Code"/>
        </w:rPr>
        <w:t>=</w:t>
      </w:r>
      <w:r>
        <w:rPr>
          <w:rStyle w:val="Codevalue"/>
        </w:rPr>
        <w:t>"saka"</w:t>
      </w:r>
      <w:r>
        <w:rPr>
          <w:rStyle w:val="Codeattribute"/>
        </w:rPr>
        <w:t xml:space="preserve"> notBefore</w:t>
      </w:r>
      <w:r>
        <w:rPr>
          <w:rStyle w:val="Code"/>
        </w:rPr>
        <w:t>=</w:t>
      </w:r>
      <w:r>
        <w:rPr>
          <w:rStyle w:val="Codevalue"/>
        </w:rPr>
        <w:t>"0921"</w:t>
      </w:r>
      <w:r>
        <w:rPr>
          <w:rStyle w:val="Codeattribute"/>
        </w:rPr>
        <w:t xml:space="preserve"> notAfter</w:t>
      </w:r>
      <w:r>
        <w:rPr>
          <w:rStyle w:val="Code"/>
        </w:rPr>
        <w:t>=</w:t>
      </w:r>
      <w:r>
        <w:rPr>
          <w:rStyle w:val="Codevalue"/>
        </w:rPr>
        <w:t>"0923"</w:t>
      </w:r>
      <w:r>
        <w:rPr>
          <w:rStyle w:val="Code"/>
        </w:rPr>
        <w:t>&gt;</w:t>
      </w:r>
      <w:r>
        <w:rPr>
          <w:rStyle w:val="Codetext"/>
        </w:rPr>
        <w:t>śaka-vatsareṣu vedāṁburāśi-nidhi-varttiṣu</w:t>
      </w:r>
      <w:r>
        <w:rPr>
          <w:rStyle w:val="Code"/>
        </w:rPr>
        <w:t>&lt;/date&gt;</w:t>
      </w:r>
    </w:p>
    <w:p>
      <w:pPr>
        <w:pStyle w:val="Lista"/>
      </w:pPr>
      <w:r>
        <w:rPr>
          <w:rStyle w:val="Code"/>
        </w:rPr>
        <w:t>&lt;measure&gt;</w:t>
      </w:r>
      <w:r>
        <w:t xml:space="preserve"> – for quantities of an object or commodity, e.g. </w:t>
      </w:r>
      <w:r>
        <w:rPr>
          <w:rStyle w:val="Code"/>
        </w:rPr>
        <w:t xml:space="preserve">&lt;measure </w:t>
      </w:r>
      <w:r>
        <w:rPr>
          <w:rStyle w:val="Codeattribute"/>
        </w:rPr>
        <w:t>unit</w:t>
      </w:r>
      <w:r>
        <w:rPr>
          <w:rStyle w:val="Code"/>
        </w:rPr>
        <w:t>=</w:t>
      </w:r>
      <w:r>
        <w:rPr>
          <w:rStyle w:val="Codevalue"/>
        </w:rPr>
        <w:t>"kaḻañcu"</w:t>
      </w:r>
      <w:r>
        <w:rPr>
          <w:rStyle w:val="Code"/>
        </w:rPr>
        <w:t xml:space="preserve"> </w:t>
      </w:r>
      <w:r>
        <w:rPr>
          <w:rStyle w:val="Codeattribute"/>
        </w:rPr>
        <w:t>quantity</w:t>
      </w:r>
      <w:r>
        <w:rPr>
          <w:rStyle w:val="Code"/>
        </w:rPr>
        <w:t>=</w:t>
      </w:r>
      <w:r>
        <w:rPr>
          <w:rStyle w:val="Codevalue"/>
        </w:rPr>
        <w:t>"100"</w:t>
      </w:r>
      <w:r>
        <w:rPr>
          <w:rStyle w:val="Code"/>
        </w:rPr>
        <w:t xml:space="preserve"> </w:t>
      </w:r>
      <w:r>
        <w:rPr>
          <w:rStyle w:val="Codeattribute"/>
        </w:rPr>
        <w:t>commodity</w:t>
      </w:r>
      <w:r>
        <w:rPr>
          <w:rStyle w:val="Code"/>
        </w:rPr>
        <w:t>=</w:t>
      </w:r>
      <w:r>
        <w:rPr>
          <w:rStyle w:val="Codevalue"/>
        </w:rPr>
        <w:t>"gold"</w:t>
      </w:r>
      <w:r>
        <w:rPr>
          <w:rStyle w:val="Code"/>
        </w:rPr>
        <w:t>&gt;</w:t>
      </w:r>
      <w:r>
        <w:rPr>
          <w:rStyle w:val="Codetext"/>
        </w:rPr>
        <w:t>nūṟṟu-k kaḻañcu poṉṉum</w:t>
      </w:r>
      <w:r>
        <w:rPr>
          <w:rStyle w:val="Code"/>
        </w:rPr>
        <w:t>&lt;/measure&gt;</w:t>
      </w:r>
    </w:p>
    <w:p>
      <w:pPr>
        <w:pStyle w:val="Lista"/>
      </w:pPr>
      <w:r>
        <w:rPr>
          <w:rStyle w:val="Code"/>
        </w:rPr>
        <w:t>&lt;rs&gt;</w:t>
      </w:r>
      <w:r>
        <w:t xml:space="preserve"> – for general-purpose “referring strings” not covered by the specific elements above</w:t>
      </w:r>
    </w:p>
    <w:p>
      <w:pPr>
        <w:pStyle w:val="Lista"/>
      </w:pPr>
      <w:r>
        <w:rPr>
          <w:rStyle w:val="Code"/>
        </w:rPr>
        <w:t>&lt;anchor/&gt;</w:t>
      </w:r>
      <w:r>
        <w:t xml:space="preserve"> – for marking arbitrary points in the document, which may be used as boundary markers for segments of analytic interest without generating overlapping XML hierarchies</w:t>
      </w:r>
    </w:p>
    <w:p>
      <w:pPr>
        <w:pStyle w:val="Cmsor1"/>
      </w:pPr>
      <w:bookmarkStart w:id="963" w:name="_ulwrsat15v9f" w:colFirst="0" w:colLast="0"/>
      <w:bookmarkStart w:id="964" w:name="_k9hfjcx1f0k3" w:colFirst="0" w:colLast="0"/>
      <w:bookmarkStart w:id="965" w:name="_Ref43978719"/>
      <w:bookmarkEnd w:id="963"/>
      <w:bookmarkEnd w:id="964"/>
      <w:r>
        <w:lastRenderedPageBreak/>
        <w:t>The TEI Header</w:t>
      </w:r>
      <w:bookmarkEnd w:id="965"/>
    </w:p>
    <w:p>
      <w:r>
        <w:t>The TEI header (introduced in §</w:t>
      </w:r>
      <w:r>
        <w:fldChar w:fldCharType="begin"/>
      </w:r>
      <w:r>
        <w:instrText xml:space="preserve"> REF _Ref233892229 \r \h </w:instrText>
      </w:r>
      <w:r>
        <w:fldChar w:fldCharType="separate"/>
      </w:r>
      <w:r>
        <w:t>2.3.2</w:t>
      </w:r>
      <w:r>
        <w:fldChar w:fldCharType="end"/>
      </w:r>
      <w:r>
        <w:t>) presents marked-up metadata about the XML document and about the inscription and artefact</w:t>
      </w:r>
      <w:r>
        <w:rPr>
          <w:noProof/>
        </w:rPr>
        <w:t>(</w:t>
      </w:r>
      <w:r>
        <w:t>s) it concerns. The header may be composed of several high-level elements, the most prominent of which is the File Description. The following subsections outline the header elements and their contents that you will need to engage with. These guidelines are intended to help you understand the functions and structure of the TEI header, but you need not be able to create such a header from scratch. Instead, rely on our encoding template and add data to the header only where comments in the template instruct you to do so.</w:t>
      </w:r>
    </w:p>
    <w:p>
      <w:pPr>
        <w:pStyle w:val="Cmsor2"/>
      </w:pPr>
      <w:bookmarkStart w:id="966" w:name="_23j65vxuxzj5" w:colFirst="0" w:colLast="0"/>
      <w:bookmarkEnd w:id="966"/>
      <w:r>
        <w:t>Describing the XML document</w:t>
      </w:r>
    </w:p>
    <w:p>
      <w:r>
        <w:t xml:space="preserve">The mandatory File Description is enclosed in the element </w:t>
      </w:r>
      <w:r>
        <w:rPr>
          <w:rStyle w:val="Code"/>
        </w:rPr>
        <w:t>&lt;fileDesc&gt;</w:t>
      </w:r>
      <w:r>
        <w:t xml:space="preserve">. The first part of this section describes the current digital edition, with the following mandatory contents in DHARMA editions, illustrated in </w:t>
      </w:r>
      <w:r>
        <w:fldChar w:fldCharType="begin"/>
      </w:r>
      <w:r>
        <w:instrText xml:space="preserve"> REF _Ref239753712 \h </w:instrText>
      </w:r>
      <w:r>
        <w:fldChar w:fldCharType="separate"/>
      </w:r>
      <w:r>
        <w:t xml:space="preserve">Exhibit </w:t>
      </w:r>
      <w:r>
        <w:rPr>
          <w:noProof/>
        </w:rPr>
        <w:t>15.1</w:t>
      </w:r>
      <w:r>
        <w:t>.</w:t>
      </w:r>
      <w:r>
        <w:rPr>
          <w:noProof/>
        </w:rPr>
        <w:t>A</w:t>
      </w:r>
      <w:r>
        <w:fldChar w:fldCharType="end"/>
      </w:r>
    </w:p>
    <w:p>
      <w:pPr>
        <w:pStyle w:val="Lista"/>
      </w:pPr>
      <w:r>
        <w:t xml:space="preserve">a Title Statement, wrapped in the element </w:t>
      </w:r>
      <w:r>
        <w:rPr>
          <w:rStyle w:val="Code"/>
        </w:rPr>
        <w:t>&lt;titleStmt&gt;</w:t>
      </w:r>
      <w:r>
        <w:t>, with the following items</w:t>
      </w:r>
    </w:p>
    <w:p>
      <w:pPr>
        <w:pStyle w:val="Lista2"/>
      </w:pPr>
      <w:r>
        <w:t>information about the title of the digital document (§</w:t>
      </w:r>
      <w:r>
        <w:fldChar w:fldCharType="begin"/>
      </w:r>
      <w:r>
        <w:instrText xml:space="preserve"> REF _Ref233892549 \r \h </w:instrText>
      </w:r>
      <w:r>
        <w:fldChar w:fldCharType="separate"/>
      </w:r>
      <w:r>
        <w:t>15.1.1</w:t>
      </w:r>
      <w:r>
        <w:fldChar w:fldCharType="end"/>
      </w:r>
      <w:r>
        <w:t>)</w:t>
      </w:r>
    </w:p>
    <w:p>
      <w:pPr>
        <w:pStyle w:val="Lista2"/>
      </w:pPr>
      <w:r>
        <w:t>information about the persons responsible for its content (§</w:t>
      </w:r>
      <w:r>
        <w:fldChar w:fldCharType="begin"/>
      </w:r>
      <w:r>
        <w:instrText xml:space="preserve"> REF _Ref43990001 \r \h </w:instrText>
      </w:r>
      <w:r>
        <w:fldChar w:fldCharType="separate"/>
      </w:r>
      <w:r>
        <w:t>15.1.2</w:t>
      </w:r>
      <w:r>
        <w:fldChar w:fldCharType="end"/>
      </w:r>
      <w:r>
        <w:t>)</w:t>
      </w:r>
    </w:p>
    <w:p>
      <w:pPr>
        <w:pStyle w:val="Lista"/>
      </w:pPr>
      <w:r>
        <w:t xml:space="preserve">a Publication Statement, tagged as </w:t>
      </w:r>
      <w:r>
        <w:rPr>
          <w:rStyle w:val="Code"/>
        </w:rPr>
        <w:t>&lt;publicationStmt&gt;</w:t>
      </w:r>
      <w:r>
        <w:t xml:space="preserve"> and serving to group together information concerning the publication of the digital document (§</w:t>
      </w:r>
      <w:r>
        <w:fldChar w:fldCharType="begin"/>
      </w:r>
      <w:r>
        <w:instrText xml:space="preserve"> REF _Ref233892566 \r \h </w:instrText>
      </w:r>
      <w:r>
        <w:fldChar w:fldCharType="separate"/>
      </w:r>
      <w:r>
        <w:t>15.1.3</w:t>
      </w:r>
      <w:r>
        <w:fldChar w:fldCharType="end"/>
      </w:r>
      <w:r>
        <w:t>)</w:t>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967" w:name="_Ref239753712"/>
            <w:bookmarkStart w:id="968" w:name="_Ref239753701"/>
            <w:r>
              <w:t xml:space="preserve">Exhibit </w:t>
            </w:r>
            <w:fldSimple w:instr=" STYLEREF 2 \s ">
              <w:r>
                <w:rPr>
                  <w:noProof/>
                </w:rPr>
                <w:t>15.1</w:t>
              </w:r>
            </w:fldSimple>
            <w:r>
              <w:t>.</w:t>
            </w:r>
            <w:fldSimple w:instr=" SEQ Exhibit \* ALPHABETIC \s 2 ">
              <w:r>
                <w:rPr>
                  <w:noProof/>
                </w:rPr>
                <w:t>A</w:t>
              </w:r>
            </w:fldSimple>
            <w:bookmarkEnd w:id="967"/>
            <w:r>
              <w:t>: the title statement and the publication statement</w:t>
            </w:r>
            <w:bookmarkEnd w:id="968"/>
          </w:p>
        </w:tc>
      </w:tr>
      <w:tr>
        <w:tc>
          <w:tcPr>
            <w:tcW w:w="5000" w:type="pct"/>
          </w:tcPr>
          <w:p>
            <w:pPr>
              <w:pStyle w:val="CodeParagraph"/>
              <w:rPr>
                <w:rStyle w:val="Code"/>
              </w:rPr>
            </w:pPr>
            <w:r>
              <w:rPr>
                <w:rStyle w:val="Code"/>
              </w:rPr>
              <w:t>@add latest template code</w:t>
            </w:r>
          </w:p>
        </w:tc>
      </w:tr>
    </w:tbl>
    <w:p/>
    <w:p>
      <w:pPr>
        <w:pStyle w:val="Cmsor3"/>
      </w:pPr>
      <w:bookmarkStart w:id="969" w:name="_2jfs86ft37ax" w:colFirst="0" w:colLast="0"/>
      <w:bookmarkStart w:id="970" w:name="_Ref233892549"/>
      <w:bookmarkStart w:id="971" w:name="_Toc242976733"/>
      <w:bookmarkEnd w:id="969"/>
      <w:r>
        <w:t>The title</w:t>
      </w:r>
      <w:bookmarkEnd w:id="970"/>
      <w:bookmarkEnd w:id="971"/>
    </w:p>
    <w:p>
      <w:r>
        <w:t xml:space="preserve">The mandatory </w:t>
      </w:r>
      <w:r>
        <w:rPr>
          <w:rStyle w:val="Code"/>
        </w:rPr>
        <w:t>&lt;title&gt;</w:t>
      </w:r>
      <w:r>
        <w:t xml:space="preserve"> element shall contain the primary title assigned to the text in the DHARMA corpus.</w:t>
      </w:r>
    </w:p>
    <w:p>
      <w:pPr>
        <w:pStyle w:val="Lista"/>
      </w:pPr>
      <w:r>
        <w:t>the primary title shall be plain text in English including any applicable diacritical characters but without any additional markup</w:t>
      </w:r>
    </w:p>
    <w:p>
      <w:pPr>
        <w:pStyle w:val="Lista"/>
      </w:pPr>
      <w:r>
        <w:t>use a title that clearly and unambiguously identifies the inscription</w:t>
      </w:r>
    </w:p>
    <w:p>
      <w:pPr>
        <w:pStyle w:val="Lista2"/>
      </w:pPr>
      <w:r>
        <w:fldChar w:fldCharType="begin"/>
      </w:r>
      <w:r>
        <w:instrText xml:space="preserve"> REF _Ref43990834 \r \h  \* MERGEFORMAT </w:instrText>
      </w:r>
      <w:r>
        <w:fldChar w:fldCharType="separate"/>
      </w:r>
      <w:r>
        <w:t>Appendix B</w:t>
      </w:r>
      <w:r>
        <w:fldChar w:fldCharType="end"/>
      </w:r>
      <w:r>
        <w:t xml:space="preserve"> gives additional guidance for assigning titles to epigraphic texts</w:t>
      </w:r>
    </w:p>
    <w:p>
      <w:pPr>
        <w:pStyle w:val="Cmsor4"/>
      </w:pPr>
      <w:bookmarkStart w:id="972" w:name="_Ref233986980"/>
      <w:r>
        <w:t>Alternative titles</w:t>
      </w:r>
      <w:bookmarkEnd w:id="972"/>
    </w:p>
    <w:p>
      <w:r>
        <w:t>If an inscription is known by more than one designation, for example because you have given it a different title than that under which it has been published before, or because it has been published under several different titles, then alternative titles can and by recommendation should be encoded in the TEI header. Doing so allows end users to find your edition when they search for it by an alternative title.</w:t>
      </w:r>
    </w:p>
    <w:p>
      <w:pPr>
        <w:pStyle w:val="Lista"/>
      </w:pPr>
      <w:r>
        <w:t xml:space="preserve">to encode alternative titles, add one or more instances of </w:t>
      </w:r>
      <w:r>
        <w:rPr>
          <w:rStyle w:val="Code"/>
        </w:rPr>
        <w:t xml:space="preserve">&lt;title </w:t>
      </w:r>
      <w:r>
        <w:rPr>
          <w:rStyle w:val="Codeattribute"/>
        </w:rPr>
        <w:t>type=</w:t>
      </w:r>
      <w:r>
        <w:rPr>
          <w:rStyle w:val="Codevalue"/>
        </w:rPr>
        <w:t>"alt"</w:t>
      </w:r>
      <w:r>
        <w:rPr>
          <w:rStyle w:val="Code"/>
        </w:rPr>
        <w:t>&gt;</w:t>
      </w:r>
      <w:r>
        <w:t xml:space="preserve"> after the primary </w:t>
      </w:r>
      <w:r>
        <w:rPr>
          <w:rStyle w:val="Code"/>
        </w:rPr>
        <w:t>&lt;title&gt;</w:t>
      </w:r>
    </w:p>
    <w:p>
      <w:pPr>
        <w:pStyle w:val="Cmsor3"/>
      </w:pPr>
      <w:bookmarkStart w:id="973" w:name="_r3zbaj6a07eq" w:colFirst="0" w:colLast="0"/>
      <w:bookmarkStart w:id="974" w:name="_Ref43990001"/>
      <w:bookmarkStart w:id="975" w:name="_Ref240273632"/>
      <w:bookmarkStart w:id="976" w:name="_Toc242976734"/>
      <w:bookmarkEnd w:id="973"/>
      <w:r>
        <w:t>The responsibility statement</w:t>
      </w:r>
      <w:bookmarkEnd w:id="974"/>
      <w:r>
        <w:t>(s)</w:t>
      </w:r>
      <w:bookmarkEnd w:id="975"/>
      <w:bookmarkEnd w:id="976"/>
    </w:p>
    <w:p>
      <w:r>
        <w:t xml:space="preserve">After the title but still within </w:t>
      </w:r>
      <w:r>
        <w:rPr>
          <w:rStyle w:val="Code"/>
        </w:rPr>
        <w:t>&lt;titleStmt&gt;</w:t>
      </w:r>
      <w:r>
        <w:t xml:space="preserve">, the wrapper </w:t>
      </w:r>
      <w:r>
        <w:rPr>
          <w:rStyle w:val="Code"/>
        </w:rPr>
        <w:t>&lt;respStmt&gt;</w:t>
      </w:r>
      <w:r>
        <w:t xml:space="preserve"> is used for crediting those who have contributed to the current digital edition. This excludes the authors of any previously published editions, even when you are encoding printed editions or ingesting digital editions without substantive revision. The rationale of this approach is that the responsibilities in the TEI header concern primarily the authorship of this particular XML file and not intellectual credit for previous work that allowed this file to come into being. Credit to previously published editions will be given in the epigraphic lemma (§</w:t>
      </w:r>
      <w:r>
        <w:fldChar w:fldCharType="begin"/>
      </w:r>
      <w:r>
        <w:instrText xml:space="preserve"> REF _Ref233623221 \r \h </w:instrText>
      </w:r>
      <w:r>
        <w:fldChar w:fldCharType="separate"/>
      </w:r>
      <w:r>
        <w:t>13.2</w:t>
      </w:r>
      <w:r>
        <w:fldChar w:fldCharType="end"/>
      </w:r>
      <w:r>
        <w:t>) and nowhere else. In complex cases with several authors and/or contributors, the nature and degree of their contributions must also be clarified in the epigraphic lemma.</w:t>
      </w:r>
    </w:p>
    <w:p>
      <w:pPr>
        <w:pStyle w:val="Normlbehzs"/>
      </w:pPr>
      <w:r>
        <w:t xml:space="preserve">As per TEI conventions, a separate responsibility statement must be created for each sphere of responsibility, with the possibility of more than one person or entity being named in each such statement. In order </w:t>
      </w:r>
      <w:r>
        <w:lastRenderedPageBreak/>
        <w:t>to keep things manageable, DHARMA editions only use a mandatory responsibility statement for the creation of the digital edition (§</w:t>
      </w:r>
      <w:r>
        <w:fldChar w:fldCharType="begin"/>
      </w:r>
      <w:r>
        <w:instrText xml:space="preserve"> REF _Ref239687105 \r \h </w:instrText>
      </w:r>
      <w:r>
        <w:fldChar w:fldCharType="separate"/>
      </w:r>
      <w:r>
        <w:t>15.1.2.1</w:t>
      </w:r>
      <w:r>
        <w:fldChar w:fldCharType="end"/>
      </w:r>
      <w:r>
        <w:t>), an optional responsibility statement for contributions (§</w:t>
      </w:r>
      <w:r>
        <w:fldChar w:fldCharType="begin"/>
      </w:r>
      <w:r>
        <w:instrText xml:space="preserve"> REF _Ref239687124 \r \h </w:instrText>
      </w:r>
      <w:r>
        <w:fldChar w:fldCharType="separate"/>
      </w:r>
      <w:r>
        <w:t>15.1.2.2</w:t>
      </w:r>
      <w:r>
        <w:fldChar w:fldCharType="end"/>
      </w:r>
      <w:r>
        <w:t>), and a specialised statement crediting the funder (§</w:t>
      </w:r>
      <w:r>
        <w:fldChar w:fldCharType="begin"/>
      </w:r>
      <w:r>
        <w:instrText xml:space="preserve"> REF _Ref240270689 \r \h </w:instrText>
      </w:r>
      <w:r>
        <w:fldChar w:fldCharType="separate"/>
      </w:r>
      <w:r>
        <w:t>15.1.2.3</w:t>
      </w:r>
      <w:r>
        <w:fldChar w:fldCharType="end"/>
      </w:r>
      <w:r>
        <w:t>).</w:t>
      </w:r>
    </w:p>
    <w:p>
      <w:pPr>
        <w:pStyle w:val="Cmsor4"/>
      </w:pPr>
      <w:bookmarkStart w:id="977" w:name="_Ref239687105"/>
      <w:r>
        <w:t>Creators</w:t>
      </w:r>
      <w:bookmarkEnd w:id="977"/>
    </w:p>
    <w:p>
      <w:pPr>
        <w:rPr>
          <w:lang w:eastAsia="en-US" w:bidi="ar-SA"/>
        </w:rPr>
      </w:pPr>
      <w:r>
        <w:rPr>
          <w:lang w:eastAsia="en-US" w:bidi="ar-SA"/>
        </w:rPr>
        <w:t>For our purposes, the creator or creators of a DHARMA digital edition are the person or people who has created or have collaboratively created the XML document, in particular its edition division, without regard to the magnitude of scholarly effort this has involved.</w:t>
      </w:r>
    </w:p>
    <w:p>
      <w:pPr>
        <w:pStyle w:val="Lista"/>
        <w:rPr>
          <w:lang w:eastAsia="en-US" w:bidi="ar-SA"/>
        </w:rPr>
      </w:pPr>
      <w:r>
        <w:rPr>
          <w:lang w:eastAsia="en-US" w:bidi="ar-SA"/>
        </w:rPr>
        <w:t>all of the following actions qualify as creation:</w:t>
      </w:r>
    </w:p>
    <w:p>
      <w:pPr>
        <w:pStyle w:val="Lista2"/>
        <w:rPr>
          <w:lang w:eastAsia="en-US" w:bidi="ar-SA"/>
        </w:rPr>
      </w:pPr>
      <w:r>
        <w:rPr>
          <w:lang w:eastAsia="en-US" w:bidi="ar-SA"/>
        </w:rPr>
        <w:t>producing a born-digital edition of a previously unpublished inscription</w:t>
      </w:r>
    </w:p>
    <w:p>
      <w:pPr>
        <w:pStyle w:val="Lista2"/>
        <w:rPr>
          <w:lang w:eastAsia="en-US" w:bidi="ar-SA"/>
        </w:rPr>
      </w:pPr>
      <w:r>
        <w:rPr>
          <w:lang w:eastAsia="en-US" w:bidi="ar-SA"/>
        </w:rPr>
        <w:t>producing an unencoded or partially encoded draft edition as a first step toward the creation of a born-digital edition (rather than as a publication on its own)</w:t>
      </w:r>
    </w:p>
    <w:p>
      <w:pPr>
        <w:pStyle w:val="Lista2"/>
        <w:rPr>
          <w:lang w:eastAsia="en-US" w:bidi="ar-SA"/>
        </w:rPr>
      </w:pPr>
      <w:r>
        <w:t>applying or finalising encoding in an unpublished draft edition prepared by another team member</w:t>
      </w:r>
    </w:p>
    <w:p>
      <w:pPr>
        <w:pStyle w:val="Lista2"/>
        <w:rPr>
          <w:lang w:eastAsia="en-US" w:bidi="ar-SA"/>
        </w:rPr>
      </w:pPr>
      <w:r>
        <w:rPr>
          <w:lang w:eastAsia="en-US" w:bidi="ar-SA"/>
        </w:rPr>
        <w:t>creating a digital edition on the basis of one or more previous publications, with or without consulting visual documentation directly</w:t>
      </w:r>
    </w:p>
    <w:p>
      <w:pPr>
        <w:pStyle w:val="Lista2"/>
        <w:rPr>
          <w:lang w:eastAsia="en-US" w:bidi="ar-SA"/>
        </w:rPr>
      </w:pPr>
      <w:r>
        <w:rPr>
          <w:lang w:eastAsia="en-US" w:bidi="ar-SA"/>
        </w:rPr>
        <w:t>revising the encoding of a previous digital edition created outside DHARMA to match the DHARMA encoding conventions</w:t>
      </w:r>
    </w:p>
    <w:p>
      <w:pPr>
        <w:pStyle w:val="Lista"/>
        <w:rPr>
          <w:lang w:eastAsia="en-US" w:bidi="ar-SA"/>
        </w:rPr>
      </w:pPr>
      <w:r>
        <w:rPr>
          <w:lang w:eastAsia="en-US" w:bidi="ar-SA"/>
        </w:rPr>
        <w:t xml:space="preserve">the creator’s role is encoded with the element </w:t>
      </w:r>
      <w:r>
        <w:rPr>
          <w:rStyle w:val="Code"/>
        </w:rPr>
        <w:t xml:space="preserve">&lt;resp </w:t>
      </w:r>
      <w:r>
        <w:rPr>
          <w:rStyle w:val="Codeattribute"/>
        </w:rPr>
        <w:t>key=</w:t>
      </w:r>
      <w:r>
        <w:rPr>
          <w:rStyle w:val="Codevalue"/>
        </w:rPr>
        <w:t>"creator"</w:t>
      </w:r>
      <w:r>
        <w:rPr>
          <w:rStyle w:val="Code"/>
        </w:rPr>
        <w:t>/&gt;</w:t>
      </w:r>
      <w:r>
        <w:t xml:space="preserve">, which must be </w:t>
      </w:r>
      <w:r>
        <w:rPr>
          <w:lang w:eastAsia="en-US" w:bidi="ar-SA"/>
        </w:rPr>
        <w:t xml:space="preserve">the first child of the first </w:t>
      </w:r>
      <w:r>
        <w:rPr>
          <w:rStyle w:val="Code"/>
        </w:rPr>
        <w:t>&lt;respStmt&gt;</w:t>
      </w:r>
      <w:r>
        <w:t xml:space="preserve"> within the </w:t>
      </w:r>
      <w:r>
        <w:rPr>
          <w:rStyle w:val="Code"/>
        </w:rPr>
        <w:t>&lt;titleStmt&gt;</w:t>
      </w:r>
    </w:p>
    <w:p>
      <w:pPr>
        <w:pStyle w:val="Lista"/>
      </w:pPr>
      <w:r>
        <w:t xml:space="preserve">after this, add the name of the creator encoded with the tag </w:t>
      </w:r>
      <w:r>
        <w:rPr>
          <w:rStyle w:val="Code"/>
        </w:rPr>
        <w:t>&lt;persName&gt;</w:t>
      </w:r>
      <w:r>
        <w:t xml:space="preserve"> as per §</w:t>
      </w:r>
      <w:r>
        <w:fldChar w:fldCharType="begin"/>
      </w:r>
      <w:r>
        <w:instrText xml:space="preserve"> REF _Ref233882783 \r \h </w:instrText>
      </w:r>
      <w:r>
        <w:fldChar w:fldCharType="separate"/>
      </w:r>
      <w:r>
        <w:t>14.7.2</w:t>
      </w:r>
      <w:r>
        <w:fldChar w:fldCharType="end"/>
      </w:r>
    </w:p>
    <w:p>
      <w:pPr>
        <w:pStyle w:val="Lista"/>
        <w:rPr>
          <w:lang w:eastAsia="en-US" w:bidi="ar-SA"/>
        </w:rPr>
      </w:pPr>
      <w:r>
        <w:rPr>
          <w:lang w:eastAsia="en-US" w:bidi="ar-SA"/>
        </w:rPr>
        <w:t xml:space="preserve">add further </w:t>
      </w:r>
      <w:r>
        <w:rPr>
          <w:rStyle w:val="Code"/>
        </w:rPr>
        <w:t>&lt;persName&gt;</w:t>
      </w:r>
      <w:r>
        <w:t xml:space="preserve"> elements for any additional creators, preferably in a decreasing order of the magnitude of their effort</w:t>
      </w:r>
    </w:p>
    <w:p>
      <w:pPr>
        <w:pStyle w:val="Lista"/>
        <w:rPr>
          <w:lang w:eastAsia="en-US" w:bidi="ar-SA"/>
        </w:rPr>
      </w:pPr>
      <w:r>
        <w:t>when multiple creators have acted in different ways or degrees, their roles may (and preferably should) be clarified in the epigraphic lemma (§</w:t>
      </w:r>
      <w:r>
        <w:fldChar w:fldCharType="begin"/>
      </w:r>
      <w:r>
        <w:instrText xml:space="preserve"> REF _Ref233623221 \r \h </w:instrText>
      </w:r>
      <w:r>
        <w:fldChar w:fldCharType="separate"/>
      </w:r>
      <w:r>
        <w:t>13.2</w:t>
      </w:r>
      <w:r>
        <w:fldChar w:fldCharType="end"/>
      </w:r>
      <w:r>
        <w:t>)</w:t>
      </w:r>
    </w:p>
    <w:p>
      <w:pPr>
        <w:pStyle w:val="Cmsor4"/>
      </w:pPr>
      <w:bookmarkStart w:id="978" w:name="_Ref239687124"/>
      <w:r>
        <w:t>Contributors</w:t>
      </w:r>
      <w:bookmarkEnd w:id="978"/>
    </w:p>
    <w:p>
      <w:pPr>
        <w:rPr>
          <w:lang w:eastAsia="en-US" w:bidi="ar-SA"/>
        </w:rPr>
      </w:pPr>
      <w:r>
        <w:rPr>
          <w:lang w:eastAsia="en-US" w:bidi="ar-SA"/>
        </w:rPr>
        <w:t>Contributors are those who have contributed to a DHARMA digital edition in a capacity other than that of a creator. Contributors may be optionally encoded in the TEI header at the discretion of the creator(s).</w:t>
      </w:r>
    </w:p>
    <w:p>
      <w:pPr>
        <w:pStyle w:val="Lista"/>
        <w:rPr>
          <w:lang w:eastAsia="en-US" w:bidi="ar-SA"/>
        </w:rPr>
      </w:pPr>
      <w:r>
        <w:rPr>
          <w:lang w:eastAsia="en-US" w:bidi="ar-SA"/>
        </w:rPr>
        <w:t>all of the following actions may qualify as contribution:</w:t>
      </w:r>
    </w:p>
    <w:p>
      <w:pPr>
        <w:pStyle w:val="Lista2"/>
        <w:rPr>
          <w:lang w:eastAsia="en-US" w:bidi="ar-SA"/>
        </w:rPr>
      </w:pPr>
      <w:r>
        <w:rPr>
          <w:lang w:eastAsia="en-US" w:bidi="ar-SA"/>
        </w:rPr>
        <w:t>adding a full or partial commentary to the edition</w:t>
      </w:r>
    </w:p>
    <w:p>
      <w:pPr>
        <w:pStyle w:val="Lista2"/>
        <w:rPr>
          <w:lang w:eastAsia="en-US" w:bidi="ar-SA"/>
        </w:rPr>
      </w:pPr>
      <w:r>
        <w:rPr>
          <w:lang w:eastAsia="en-US" w:bidi="ar-SA"/>
        </w:rPr>
        <w:t>providing consultation or advice to the creator(s), for example on difficult readings, interpretations or context</w:t>
      </w:r>
    </w:p>
    <w:p>
      <w:pPr>
        <w:pStyle w:val="Lista2"/>
        <w:rPr>
          <w:lang w:eastAsia="en-US" w:bidi="ar-SA"/>
        </w:rPr>
      </w:pPr>
      <w:r>
        <w:rPr>
          <w:lang w:eastAsia="en-US" w:bidi="ar-SA"/>
        </w:rPr>
        <w:t>checking, correcting, revising or improving a DHARMA digital edition created by another team member</w:t>
      </w:r>
    </w:p>
    <w:p>
      <w:pPr>
        <w:pStyle w:val="Lista"/>
        <w:rPr>
          <w:lang w:eastAsia="en-US" w:bidi="ar-SA"/>
        </w:rPr>
      </w:pPr>
      <w:r>
        <w:rPr>
          <w:lang w:eastAsia="en-US" w:bidi="ar-SA"/>
        </w:rPr>
        <w:t xml:space="preserve">to add contributors to the TEI header, create a second </w:t>
      </w:r>
      <w:r>
        <w:rPr>
          <w:rStyle w:val="Code"/>
        </w:rPr>
        <w:t>&lt;respStmt&gt;</w:t>
      </w:r>
      <w:r>
        <w:t xml:space="preserve"> (after the first one encoding the creator) within the </w:t>
      </w:r>
      <w:r>
        <w:rPr>
          <w:rStyle w:val="Code"/>
        </w:rPr>
        <w:t>&lt;titleStmt&gt;</w:t>
      </w:r>
    </w:p>
    <w:p>
      <w:pPr>
        <w:pStyle w:val="Lista"/>
        <w:rPr>
          <w:lang w:eastAsia="en-US" w:bidi="ar-SA"/>
        </w:rPr>
      </w:pPr>
      <w:r>
        <w:rPr>
          <w:lang w:eastAsia="en-US" w:bidi="ar-SA"/>
        </w:rPr>
        <w:t xml:space="preserve">the contributor’s role is encoded with the element </w:t>
      </w:r>
      <w:r>
        <w:rPr>
          <w:rStyle w:val="Code"/>
        </w:rPr>
        <w:t xml:space="preserve">&lt;resp </w:t>
      </w:r>
      <w:r>
        <w:rPr>
          <w:rStyle w:val="Codeattribute"/>
        </w:rPr>
        <w:t>key=</w:t>
      </w:r>
      <w:r>
        <w:rPr>
          <w:rStyle w:val="Codevalue"/>
        </w:rPr>
        <w:t>"contributor"</w:t>
      </w:r>
      <w:r>
        <w:rPr>
          <w:rStyle w:val="Code"/>
        </w:rPr>
        <w:t>/&gt;</w:t>
      </w:r>
      <w:r>
        <w:t xml:space="preserve">, which must be </w:t>
      </w:r>
      <w:r>
        <w:rPr>
          <w:lang w:eastAsia="en-US" w:bidi="ar-SA"/>
        </w:rPr>
        <w:t xml:space="preserve">the first child of the second </w:t>
      </w:r>
      <w:r>
        <w:rPr>
          <w:rStyle w:val="Code"/>
        </w:rPr>
        <w:t>&lt;respStmt&gt;</w:t>
      </w:r>
      <w:r>
        <w:t xml:space="preserve"> within the </w:t>
      </w:r>
      <w:r>
        <w:rPr>
          <w:rStyle w:val="Code"/>
        </w:rPr>
        <w:t>&lt;titleStmt&gt;</w:t>
      </w:r>
    </w:p>
    <w:p>
      <w:pPr>
        <w:pStyle w:val="Lista"/>
      </w:pPr>
      <w:r>
        <w:t xml:space="preserve">after this, add the name of the contributor encoded with the tag </w:t>
      </w:r>
      <w:r>
        <w:rPr>
          <w:rStyle w:val="Code"/>
        </w:rPr>
        <w:t>&lt;persName&gt;</w:t>
      </w:r>
      <w:r>
        <w:t xml:space="preserve"> as per §</w:t>
      </w:r>
      <w:r>
        <w:fldChar w:fldCharType="begin"/>
      </w:r>
      <w:r>
        <w:instrText xml:space="preserve"> REF _Ref233882783 \r \h </w:instrText>
      </w:r>
      <w:r>
        <w:fldChar w:fldCharType="separate"/>
      </w:r>
      <w:r>
        <w:t>14.7.2</w:t>
      </w:r>
      <w:r>
        <w:fldChar w:fldCharType="end"/>
      </w:r>
    </w:p>
    <w:p>
      <w:pPr>
        <w:pStyle w:val="Lista"/>
        <w:rPr>
          <w:lang w:eastAsia="en-US" w:bidi="ar-SA"/>
        </w:rPr>
      </w:pPr>
      <w:r>
        <w:rPr>
          <w:lang w:eastAsia="en-US" w:bidi="ar-SA"/>
        </w:rPr>
        <w:t xml:space="preserve">add further </w:t>
      </w:r>
      <w:r>
        <w:rPr>
          <w:rStyle w:val="Code"/>
        </w:rPr>
        <w:t>&lt;persName&gt;</w:t>
      </w:r>
      <w:r>
        <w:t xml:space="preserve"> elements for any additional contributors, preferably in a decreasing order of the importance of their contribution</w:t>
      </w:r>
    </w:p>
    <w:p>
      <w:pPr>
        <w:pStyle w:val="Lista"/>
        <w:rPr>
          <w:lang w:eastAsia="en-US" w:bidi="ar-SA"/>
        </w:rPr>
      </w:pPr>
      <w:r>
        <w:t>when multiple contributors have contributed in different ways or degrees, their roles may (and preferably should) be clarified in the epigraphic lemma (§</w:t>
      </w:r>
      <w:r>
        <w:fldChar w:fldCharType="begin"/>
      </w:r>
      <w:r>
        <w:instrText xml:space="preserve"> REF _Ref233623221 \r \h </w:instrText>
      </w:r>
      <w:r>
        <w:fldChar w:fldCharType="separate"/>
      </w:r>
      <w:r>
        <w:t>13.2</w:t>
      </w:r>
      <w:r>
        <w:fldChar w:fldCharType="end"/>
      </w:r>
      <w:r>
        <w:t>)</w:t>
      </w:r>
    </w:p>
    <w:p>
      <w:pPr>
        <w:pStyle w:val="Cmsor4"/>
      </w:pPr>
      <w:bookmarkStart w:id="979" w:name="_Ref240270689"/>
      <w:r>
        <w:t>Funder</w:t>
      </w:r>
      <w:bookmarkEnd w:id="979"/>
    </w:p>
    <w:p>
      <w:pPr>
        <w:rPr>
          <w:lang w:eastAsia="en-US" w:bidi="ar-SA"/>
        </w:rPr>
      </w:pPr>
      <w:r>
        <w:rPr>
          <w:lang w:eastAsia="en-US" w:bidi="ar-SA"/>
        </w:rPr>
        <w:t xml:space="preserve">In addition to the generic </w:t>
      </w:r>
      <w:r>
        <w:rPr>
          <w:rStyle w:val="Code"/>
        </w:rPr>
        <w:t>&lt;respStmt&gt;</w:t>
      </w:r>
      <w:r>
        <w:t xml:space="preserve"> element, TEI provides a number of specialised elements for common responsibilities, among which our editions contain </w:t>
      </w:r>
      <w:r>
        <w:rPr>
          <w:rStyle w:val="Code"/>
        </w:rPr>
        <w:t>&lt;funder&gt;</w:t>
      </w:r>
      <w:r>
        <w:t xml:space="preserve">. </w:t>
      </w:r>
    </w:p>
    <w:p>
      <w:pPr>
        <w:pStyle w:val="Lista"/>
        <w:rPr>
          <w:lang w:eastAsia="en-US" w:bidi="ar-SA"/>
        </w:rPr>
      </w:pPr>
      <w:r>
        <w:rPr>
          <w:lang w:eastAsia="en-US" w:bidi="ar-SA"/>
        </w:rPr>
        <w:t xml:space="preserve">the item </w:t>
      </w:r>
      <w:r>
        <w:rPr>
          <w:rStyle w:val="Code"/>
          <w:lang w:eastAsia="en-US" w:bidi="ar-SA"/>
        </w:rPr>
        <w:t>&lt;funder&gt;</w:t>
      </w:r>
      <w:r>
        <w:rPr>
          <w:rStyle w:val="Codetext"/>
          <w:lang w:eastAsia="en-US" w:bidi="ar-SA"/>
        </w:rPr>
        <w:t>European Research Council (ERC), grant agreement no 809994</w:t>
      </w:r>
      <w:r>
        <w:rPr>
          <w:rStyle w:val="Code"/>
          <w:lang w:eastAsia="en-US" w:bidi="ar-SA"/>
        </w:rPr>
        <w:t>&lt;/funder&gt;</w:t>
      </w:r>
      <w:r>
        <w:rPr>
          <w:lang w:eastAsia="en-US" w:bidi="ar-SA"/>
        </w:rPr>
        <w:t xml:space="preserve"> is hard-coded into DHARMA edition templates and need not be edited</w:t>
      </w:r>
    </w:p>
    <w:p>
      <w:pPr>
        <w:pStyle w:val="Lista"/>
        <w:rPr>
          <w:lang w:eastAsia="en-US" w:bidi="ar-SA"/>
        </w:rPr>
      </w:pPr>
      <w:r>
        <w:rPr>
          <w:lang w:eastAsia="en-US" w:bidi="ar-SA"/>
        </w:rPr>
        <w:t>for texts encoded according to these conventions outside and after the DHARMA project, this element may be removed or its contents may be replaced as applicable</w:t>
      </w:r>
    </w:p>
    <w:p>
      <w:pPr>
        <w:pStyle w:val="Cmsor3"/>
      </w:pPr>
      <w:bookmarkStart w:id="980" w:name="_vner4ocywhk7" w:colFirst="0" w:colLast="0"/>
      <w:bookmarkStart w:id="981" w:name="_Ref233892566"/>
      <w:bookmarkStart w:id="982" w:name="_Toc242976735"/>
      <w:bookmarkEnd w:id="980"/>
      <w:r>
        <w:lastRenderedPageBreak/>
        <w:t>The publication statement</w:t>
      </w:r>
      <w:bookmarkEnd w:id="981"/>
      <w:bookmarkEnd w:id="982"/>
    </w:p>
    <w:p>
      <w:pPr>
        <w:pStyle w:val="Lista"/>
      </w:pPr>
      <w:r>
        <w:t>the structure and most of the contents of this statement will be provided in our template, but you will have to add the following data as instructed by comments in the template</w:t>
      </w:r>
    </w:p>
    <w:p>
      <w:pPr>
        <w:pStyle w:val="Lista2"/>
      </w:pPr>
      <w:r>
        <w:t xml:space="preserve">in the element </w:t>
      </w:r>
      <w:r>
        <w:rPr>
          <w:rStyle w:val="Code"/>
        </w:rPr>
        <w:t>&lt;pubPlace&gt;</w:t>
      </w:r>
      <w:r>
        <w:t>, enter the place (city) where you (the creator of the edition) work</w:t>
      </w:r>
    </w:p>
    <w:p>
      <w:pPr>
        <w:pStyle w:val="Lista3"/>
      </w:pPr>
      <w:r>
        <w:t>more than one place name may be listed within this element if applicable (for example in the case of multiple creators)</w:t>
      </w:r>
    </w:p>
    <w:p>
      <w:pPr>
        <w:pStyle w:val="Lista2"/>
        <w:rPr>
          <w:rStyle w:val="Code"/>
          <w:rFonts w:ascii="Gentium" w:hAnsi="Gentium" w:cs="Tiro Devanagari Sanskrit"/>
          <w:noProof w:val="0"/>
          <w:color w:val="auto"/>
          <w:shd w:val="clear" w:color="auto" w:fill="auto"/>
        </w:rPr>
      </w:pPr>
      <w:r>
        <w:t xml:space="preserve">in the element </w:t>
      </w:r>
      <w:r>
        <w:rPr>
          <w:rStyle w:val="Code"/>
        </w:rPr>
        <w:t xml:space="preserve">&lt;idno </w:t>
      </w:r>
      <w:r>
        <w:rPr>
          <w:rStyle w:val="Codeattribute"/>
        </w:rPr>
        <w:t>type=</w:t>
      </w:r>
      <w:r>
        <w:rPr>
          <w:rStyle w:val="Codevalue"/>
        </w:rPr>
        <w:t>"filename"</w:t>
      </w:r>
      <w:r>
        <w:rPr>
          <w:rStyle w:val="Code"/>
        </w:rPr>
        <w:t>&gt;</w:t>
      </w:r>
      <w:r>
        <w:t xml:space="preserve">, the exact name (including the extension </w:t>
      </w:r>
      <w:r>
        <w:rPr>
          <w:rStyle w:val="Code"/>
        </w:rPr>
        <w:t>.xml</w:t>
      </w:r>
      <w:r>
        <w:t xml:space="preserve">) of your XML file, e.g. </w:t>
      </w:r>
      <w:r>
        <w:rPr>
          <w:rStyle w:val="Code"/>
        </w:rPr>
        <w:t>DHARMA_INSPallava00001.xml</w:t>
      </w:r>
    </w:p>
    <w:p>
      <w:pPr>
        <w:pStyle w:val="Cmsor2"/>
      </w:pPr>
      <w:bookmarkStart w:id="983" w:name="_hettlvg4peby" w:colFirst="0" w:colLast="0"/>
      <w:bookmarkStart w:id="984" w:name="_Ref43978731"/>
      <w:bookmarkEnd w:id="983"/>
      <w:r>
        <w:t>Describing the original document</w:t>
      </w:r>
      <w:bookmarkEnd w:id="984"/>
    </w:p>
    <w:p>
      <w:r>
        <w:t xml:space="preserve">The second section of the </w:t>
      </w:r>
      <w:r>
        <w:rPr>
          <w:rStyle w:val="Code"/>
        </w:rPr>
        <w:t>&lt;fileDesc&gt;</w:t>
      </w:r>
      <w:r>
        <w:t xml:space="preserve"> is the Source Description, encoded as the element </w:t>
      </w:r>
      <w:r>
        <w:rPr>
          <w:rStyle w:val="Code"/>
        </w:rPr>
        <w:t>&lt;sourceDesc&gt;</w:t>
      </w:r>
      <w:r>
        <w:t xml:space="preserve">. This mandatory element records details (metadata) of the original from which the digital text is derived. TEI permits the use of various elements in a Source Description, but in the case of epigraphic documents its only child element is the Manuscript Description, </w:t>
      </w:r>
      <w:r>
        <w:rPr>
          <w:rStyle w:val="Code"/>
        </w:rPr>
        <w:t>&lt;msDesc&gt;</w:t>
      </w:r>
      <w:r>
        <w:t>, applicable to any text-bearing object besides manuscripts in the strict sense. The DHARMA project recorded object metadata outside the XML files in order to ensure flexibility and to avoid complications applicable to objects bearing multiple inscriptions and inscriptions borne on multiple objects. Unfortunately, a final database for managing object data and linking them to the editions of inscriptions could not be developed in the lifetime of the project and remains a task for the future. Post-DHARMA editions using the conventions of this Guide may choose whether to record metadata separately or to encode them here in a manner endorsed by TEI.</w:t>
      </w:r>
    </w:p>
    <w:p>
      <w:pPr>
        <w:pStyle w:val="Normlbehzs"/>
      </w:pPr>
      <w:r>
        <w:t>For editions created in the DHARMA project, our template contains a minimum framework for source description, of which the hand description (§</w:t>
      </w:r>
      <w:r>
        <w:fldChar w:fldCharType="begin"/>
      </w:r>
      <w:r>
        <w:instrText xml:space="preserve"> REF _Ref43987455 \r \h </w:instrText>
      </w:r>
      <w:r>
        <w:fldChar w:fldCharType="separate"/>
      </w:r>
      <w:r>
        <w:t>15.2.1</w:t>
      </w:r>
      <w:r>
        <w:fldChar w:fldCharType="end"/>
      </w:r>
      <w:r>
        <w:t>) is the only item that needs the attention of encoders.</w:t>
      </w:r>
    </w:p>
    <w:p>
      <w:pPr>
        <w:pStyle w:val="Cmsor3"/>
      </w:pPr>
      <w:bookmarkStart w:id="985" w:name="_Ref43987455"/>
      <w:bookmarkStart w:id="986" w:name="_Toc242976736"/>
      <w:r>
        <w:t>The hand description</w:t>
      </w:r>
      <w:bookmarkEnd w:id="985"/>
      <w:bookmarkEnd w:id="986"/>
    </w:p>
    <w:p>
      <w:r>
        <w:rPr>
          <w:lang w:eastAsia="en-US" w:bidi="ar-SA"/>
        </w:rPr>
        <w:t xml:space="preserve">The element </w:t>
      </w:r>
      <w:r>
        <w:rPr>
          <w:rStyle w:val="Code"/>
        </w:rPr>
        <w:t>&lt;handDesc&gt;</w:t>
      </w:r>
      <w:r>
        <w:t xml:space="preserve"> is a child (in DHARMA editions, the only child) of </w:t>
      </w:r>
      <w:r>
        <w:rPr>
          <w:rStyle w:val="Code"/>
        </w:rPr>
        <w:t>&lt;physDesc&gt;</w:t>
      </w:r>
      <w:r>
        <w:t xml:space="preserve"> (for “physical description”) within the </w:t>
      </w:r>
      <w:r>
        <w:rPr>
          <w:rStyle w:val="Code"/>
        </w:rPr>
        <w:t>&lt;sourceDesc&gt;</w:t>
      </w:r>
      <w:r>
        <w:t xml:space="preserve"> section of the TEI header. In our template, the </w:t>
      </w:r>
      <w:r>
        <w:rPr>
          <w:rStyle w:val="Code"/>
        </w:rPr>
        <w:t>&lt;handDesc&gt;</w:t>
      </w:r>
      <w:r>
        <w:t xml:space="preserve"> contains an empty </w:t>
      </w:r>
      <w:r>
        <w:rPr>
          <w:rStyle w:val="Code"/>
        </w:rPr>
        <w:t>&lt;p&gt;</w:t>
      </w:r>
      <w:r>
        <w:t xml:space="preserve"> element, where you may write the palaeographic description of the source document as per §</w:t>
      </w:r>
      <w:r>
        <w:fldChar w:fldCharType="begin"/>
      </w:r>
      <w:r>
        <w:instrText xml:space="preserve"> REF _Ref233965237 \r \h </w:instrText>
      </w:r>
      <w:r>
        <w:fldChar w:fldCharType="separate"/>
      </w:r>
      <w:r>
        <w:t>15.2.1.1</w:t>
      </w:r>
      <w:r>
        <w:fldChar w:fldCharType="end"/>
      </w:r>
      <w:r>
        <w:t xml:space="preserve"> and, if applicable, describe multiple hands used in the source as per §</w:t>
      </w:r>
      <w:r>
        <w:fldChar w:fldCharType="begin"/>
      </w:r>
      <w:r>
        <w:instrText xml:space="preserve"> REF _Ref231980025 \r \h </w:instrText>
      </w:r>
      <w:r>
        <w:fldChar w:fldCharType="separate"/>
      </w:r>
      <w:r>
        <w:t>15.2.1.2</w:t>
      </w:r>
      <w:r>
        <w:fldChar w:fldCharType="end"/>
      </w:r>
      <w:r>
        <w:t>.</w:t>
      </w:r>
    </w:p>
    <w:p>
      <w:pPr>
        <w:pStyle w:val="Cmsor4"/>
      </w:pPr>
      <w:bookmarkStart w:id="987" w:name="_Ref233965237"/>
      <w:r>
        <w:t>The palaeographic description</w:t>
      </w:r>
      <w:bookmarkEnd w:id="987"/>
    </w:p>
    <w:p>
      <w:pPr>
        <w:pStyle w:val="Lista"/>
      </w:pPr>
      <w:r>
        <w:t>writing a palaeographic description is not mandatory</w:t>
      </w:r>
    </w:p>
    <w:p>
      <w:pPr>
        <w:pStyle w:val="Lista"/>
      </w:pPr>
      <w:r>
        <w:t xml:space="preserve">if you write one, make it as terse or extensive as you wish, creating additional </w:t>
      </w:r>
      <w:r>
        <w:rPr>
          <w:rStyle w:val="Code"/>
        </w:rPr>
        <w:t>&lt;p&gt;</w:t>
      </w:r>
      <w:r>
        <w:t xml:space="preserve"> elements as needed</w:t>
      </w:r>
    </w:p>
    <w:p>
      <w:pPr>
        <w:pStyle w:val="Lista"/>
      </w:pPr>
      <w:r>
        <w:t>items that you may wish to touch upon include</w:t>
      </w:r>
    </w:p>
    <w:p>
      <w:pPr>
        <w:pStyle w:val="Lista2"/>
      </w:pPr>
      <w:r>
        <w:t>a characterisation of the source script beyond the basic classification encoded as per §</w:t>
      </w:r>
      <w:r>
        <w:fldChar w:fldCharType="begin"/>
      </w:r>
      <w:r>
        <w:instrText xml:space="preserve"> REF _Ref231978545 \r \h </w:instrText>
      </w:r>
      <w:r>
        <w:fldChar w:fldCharType="separate"/>
      </w:r>
      <w:r>
        <w:t>8.2.1</w:t>
      </w:r>
      <w:r>
        <w:fldChar w:fldCharType="end"/>
      </w:r>
    </w:p>
    <w:p>
      <w:pPr>
        <w:pStyle w:val="Lista2"/>
      </w:pPr>
      <w:r>
        <w:t xml:space="preserve">the manner in which the source handles vowelless consonants </w:t>
      </w:r>
      <w:r>
        <w:rPr>
          <w:noProof/>
        </w:rPr>
        <w:t>(</w:t>
      </w:r>
      <w:r>
        <w:rPr>
          <w:rStyle w:val="Foreign"/>
        </w:rPr>
        <w:t>virāma/puḷḷi</w:t>
      </w:r>
      <w:r>
        <w:t>, special final consonant forms)</w:t>
      </w:r>
    </w:p>
    <w:p>
      <w:pPr>
        <w:pStyle w:val="Lista2"/>
      </w:pPr>
      <w:r>
        <w:t>the use of ornamental lettering in whole or part of the text</w:t>
      </w:r>
    </w:p>
    <w:p>
      <w:pPr>
        <w:pStyle w:val="Lista2"/>
      </w:pPr>
      <w:r>
        <w:t xml:space="preserve">the appearance of </w:t>
      </w:r>
      <w:r>
        <w:rPr>
          <w:rStyle w:val="Foreign"/>
        </w:rPr>
        <w:t>anusvāra</w:t>
      </w:r>
      <w:r>
        <w:t xml:space="preserve"> and the manner of its use (vis-à-vis class nasals)</w:t>
      </w:r>
    </w:p>
    <w:p>
      <w:pPr>
        <w:pStyle w:val="Lista2"/>
      </w:pPr>
      <w:r>
        <w:t xml:space="preserve">whether </w:t>
      </w:r>
      <w:r>
        <w:rPr>
          <w:rStyle w:val="Foreign"/>
        </w:rPr>
        <w:t>upadhmānīya</w:t>
      </w:r>
      <w:r>
        <w:t xml:space="preserve"> and/or </w:t>
      </w:r>
      <w:r>
        <w:rPr>
          <w:rStyle w:val="Foreign"/>
        </w:rPr>
        <w:t>jihvāmūlīya</w:t>
      </w:r>
      <w:r>
        <w:t xml:space="preserve"> are distinguished from </w:t>
      </w:r>
      <w:r>
        <w:rPr>
          <w:rStyle w:val="Foreign"/>
        </w:rPr>
        <w:t>visarga</w:t>
      </w:r>
    </w:p>
    <w:p>
      <w:pPr>
        <w:pStyle w:val="Lista2"/>
      </w:pPr>
      <w:r>
        <w:t>the occurrence of rare glyphs</w:t>
      </w:r>
    </w:p>
    <w:p>
      <w:pPr>
        <w:pStyle w:val="Lista2"/>
      </w:pPr>
      <w:r>
        <w:t>unusually formed glyphs and their interpretation</w:t>
      </w:r>
    </w:p>
    <w:p>
      <w:pPr>
        <w:pStyle w:val="Lista2"/>
      </w:pPr>
      <w:r>
        <w:t>perceived similarity to hands seen in other inscriptions</w:t>
      </w:r>
    </w:p>
    <w:p>
      <w:pPr>
        <w:pStyle w:val="Lista"/>
      </w:pPr>
      <w:r>
        <w:t>to refer to specific loci in the edited text, simply add a human-readable reference to a line number, which you may complement with a lemma</w:t>
      </w:r>
    </w:p>
    <w:p>
      <w:pPr>
        <w:pStyle w:val="Lista"/>
      </w:pPr>
      <w:r>
        <w:t>to refer to other inscriptions in the DHARMA corpus, encode a reference as per §</w:t>
      </w:r>
      <w:r>
        <w:fldChar w:fldCharType="begin"/>
      </w:r>
      <w:r>
        <w:instrText xml:space="preserve"> REF _Ref148531705 \r \h </w:instrText>
      </w:r>
      <w:r>
        <w:fldChar w:fldCharType="separate"/>
      </w:r>
      <w:r>
        <w:t>14.6.4.1</w:t>
      </w:r>
      <w:r>
        <w:fldChar w:fldCharType="end"/>
      </w:r>
    </w:p>
    <w:p>
      <w:pPr>
        <w:pStyle w:val="Lista"/>
      </w:pPr>
      <w:r>
        <w:t xml:space="preserve">preferably use </w:t>
      </w:r>
      <w:r>
        <w:rPr>
          <w:rStyle w:val="Code"/>
        </w:rPr>
        <w:t>&lt;foreign&gt;</w:t>
      </w:r>
      <w:r>
        <w:t xml:space="preserve"> (§</w:t>
      </w:r>
      <w:r>
        <w:fldChar w:fldCharType="begin"/>
      </w:r>
      <w:r>
        <w:instrText xml:space="preserve"> REF _Ref43986658 \r \h </w:instrText>
      </w:r>
      <w:r>
        <w:fldChar w:fldCharType="separate"/>
      </w:r>
      <w:r>
        <w:t>14.4.2</w:t>
      </w:r>
      <w:r>
        <w:fldChar w:fldCharType="end"/>
      </w:r>
      <w:r>
        <w:t>) on characters and words cited from the source</w:t>
      </w:r>
    </w:p>
    <w:p>
      <w:pPr>
        <w:pStyle w:val="Lista"/>
      </w:pPr>
      <w:r>
        <w:t>other encoding solutions as per §</w:t>
      </w:r>
      <w:r>
        <w:fldChar w:fldCharType="begin"/>
      </w:r>
      <w:r>
        <w:instrText xml:space="preserve"> REF _Ref43990225 \r \h </w:instrText>
      </w:r>
      <w:r>
        <w:fldChar w:fldCharType="separate"/>
      </w:r>
      <w:r>
        <w:t>14</w:t>
      </w:r>
      <w:r>
        <w:fldChar w:fldCharType="end"/>
      </w:r>
      <w:r>
        <w:t xml:space="preserve"> are available but should be used considerately</w:t>
      </w:r>
    </w:p>
    <w:p>
      <w:pPr>
        <w:pStyle w:val="Cmsor4"/>
      </w:pPr>
      <w:bookmarkStart w:id="988" w:name="_Ref231980025"/>
      <w:r>
        <w:lastRenderedPageBreak/>
        <w:t>Documents written in more than one hand</w:t>
      </w:r>
      <w:bookmarkEnd w:id="988"/>
    </w:p>
    <w:p>
      <w:r>
        <w:t xml:space="preserve">In addition to a </w:t>
      </w:r>
      <w:r>
        <w:rPr>
          <w:rStyle w:val="Code"/>
        </w:rPr>
        <w:t>&lt;p&gt;</w:t>
      </w:r>
      <w:r>
        <w:t xml:space="preserve"> element with free text, the </w:t>
      </w:r>
      <w:r>
        <w:rPr>
          <w:rStyle w:val="Code"/>
        </w:rPr>
        <w:t>&lt;handDesc&gt;</w:t>
      </w:r>
      <w:r>
        <w:t xml:space="preserve"> element may include a structured description of scribal hands. In DHARMA practice this method is only resorted to when more than one hand can be clearly identified within a single document. In this case, use the following encoding illustrated in </w:t>
      </w:r>
      <w:r>
        <w:fldChar w:fldCharType="begin"/>
      </w:r>
      <w:r>
        <w:instrText xml:space="preserve"> REF _Ref233966339 \h </w:instrText>
      </w:r>
      <w:r>
        <w:fldChar w:fldCharType="separate"/>
      </w:r>
      <w:r>
        <w:t xml:space="preserve">Exhibit </w:t>
      </w:r>
      <w:r>
        <w:rPr>
          <w:noProof/>
        </w:rPr>
        <w:t>15.2</w:t>
      </w:r>
      <w:r>
        <w:t>.</w:t>
      </w:r>
      <w:r>
        <w:rPr>
          <w:noProof/>
        </w:rPr>
        <w:t>A</w:t>
      </w:r>
      <w:r>
        <w:fldChar w:fldCharType="end"/>
      </w:r>
      <w:r>
        <w:t>.</w:t>
      </w:r>
    </w:p>
    <w:p>
      <w:pPr>
        <w:pStyle w:val="Lista"/>
      </w:pPr>
      <w:r>
        <w:t xml:space="preserve">within </w:t>
      </w:r>
      <w:r>
        <w:rPr>
          <w:rStyle w:val="Code"/>
        </w:rPr>
        <w:t>&lt;handDesc&gt;</w:t>
      </w:r>
      <w:r>
        <w:t xml:space="preserve">, wrap the </w:t>
      </w:r>
      <w:r>
        <w:rPr>
          <w:rStyle w:val="Code"/>
        </w:rPr>
        <w:t>&lt;p&gt;</w:t>
      </w:r>
      <w:r>
        <w:t xml:space="preserve"> element(s) containing the palaeographic description (§</w:t>
      </w:r>
      <w:r>
        <w:fldChar w:fldCharType="begin"/>
      </w:r>
      <w:r>
        <w:instrText xml:space="preserve"> REF _Ref233965237 \r \h </w:instrText>
      </w:r>
      <w:r>
        <w:fldChar w:fldCharType="separate"/>
      </w:r>
      <w:r>
        <w:t>15.2.1.1</w:t>
      </w:r>
      <w:r>
        <w:fldChar w:fldCharType="end"/>
      </w:r>
      <w:r>
        <w:t xml:space="preserve">) in the element </w:t>
      </w:r>
      <w:r>
        <w:rPr>
          <w:rStyle w:val="Code"/>
        </w:rPr>
        <w:t>&lt;summary&gt;</w:t>
      </w:r>
    </w:p>
    <w:p>
      <w:pPr>
        <w:pStyle w:val="Lista2"/>
      </w:pPr>
      <w:r>
        <w:t>the palaeographic description should in this case contain only observations that apply to the entirety of the inscription</w:t>
      </w:r>
    </w:p>
    <w:p>
      <w:pPr>
        <w:pStyle w:val="Lista2"/>
      </w:pPr>
      <w:r>
        <w:t xml:space="preserve">the overall palaeographic description may also be left empty, but the skeleton structure of </w:t>
      </w:r>
      <w:r>
        <w:rPr>
          <w:rStyle w:val="Code"/>
        </w:rPr>
        <w:t>&lt;summary&gt;&lt;p/&gt;&lt;/summary&gt;</w:t>
      </w:r>
      <w:r>
        <w:t xml:space="preserve"> must be preserved</w:t>
      </w:r>
    </w:p>
    <w:p>
      <w:pPr>
        <w:pStyle w:val="Lista"/>
      </w:pPr>
      <w:r>
        <w:t xml:space="preserve">after the </w:t>
      </w:r>
      <w:r>
        <w:rPr>
          <w:rStyle w:val="Code"/>
        </w:rPr>
        <w:t>&lt;summary&gt;</w:t>
      </w:r>
      <w:r>
        <w:t xml:space="preserve"> element, create one </w:t>
      </w:r>
      <w:r>
        <w:rPr>
          <w:rStyle w:val="Code"/>
        </w:rPr>
        <w:t>&lt;handNote&gt;</w:t>
      </w:r>
      <w:r>
        <w:t xml:space="preserve"> element for each hand, with the mandatory attribute </w:t>
      </w:r>
      <w:r>
        <w:rPr>
          <w:rStyle w:val="Codeattribute"/>
        </w:rPr>
        <w:t>@xml:id</w:t>
      </w:r>
      <w:r>
        <w:t xml:space="preserve"> to serve as a unique identifier for each hand</w:t>
      </w:r>
    </w:p>
    <w:p>
      <w:pPr>
        <w:pStyle w:val="Lista2"/>
      </w:pPr>
      <w:r>
        <w:t>as per §</w:t>
      </w:r>
      <w:r>
        <w:fldChar w:fldCharType="begin"/>
      </w:r>
      <w:r>
        <w:instrText xml:space="preserve"> REF _Ref43988993 \w \h  \* MERGEFORMAT </w:instrText>
      </w:r>
      <w:r>
        <w:fldChar w:fldCharType="separate"/>
      </w:r>
      <w:r>
        <w:t>14.6.6</w:t>
      </w:r>
      <w:r>
        <w:fldChar w:fldCharType="end"/>
      </w:r>
      <w:r>
        <w:t xml:space="preserve">, the values of </w:t>
      </w:r>
      <w:r>
        <w:rPr>
          <w:rStyle w:val="Codeattribute"/>
        </w:rPr>
        <w:t>@xml:id</w:t>
      </w:r>
      <w:r>
        <w:t xml:space="preserve"> must consist of simple alphanumeric characters and be unique throughout your XML file</w:t>
      </w:r>
    </w:p>
    <w:p>
      <w:pPr>
        <w:pStyle w:val="Lista2"/>
      </w:pPr>
      <w:r>
        <w:t xml:space="preserve">the recommended values are </w:t>
      </w:r>
      <w:r>
        <w:rPr>
          <w:rStyle w:val="Codevalue"/>
        </w:rPr>
        <w:t>"hand1"</w:t>
      </w:r>
      <w:r>
        <w:t xml:space="preserve">, </w:t>
      </w:r>
      <w:r>
        <w:rPr>
          <w:rStyle w:val="Codevalue"/>
        </w:rPr>
        <w:t>"hand2"</w:t>
      </w:r>
      <w:r>
        <w:t xml:space="preserve"> and so on for the required number of hands</w:t>
      </w:r>
    </w:p>
    <w:p>
      <w:pPr>
        <w:pStyle w:val="Lista"/>
      </w:pPr>
      <w:r>
        <w:t xml:space="preserve">in the contents of each </w:t>
      </w:r>
      <w:r>
        <w:rPr>
          <w:rStyle w:val="Code"/>
        </w:rPr>
        <w:t>&lt;handNote&gt;</w:t>
      </w:r>
      <w:r>
        <w:t xml:space="preserve"> element, write a concise, freeform description of the hand</w:t>
      </w:r>
    </w:p>
    <w:p>
      <w:pPr>
        <w:pStyle w:val="Lista"/>
      </w:pPr>
      <w:r>
        <w:t xml:space="preserve">once the hands have been encoded in the header as above, use </w:t>
      </w:r>
      <w:r>
        <w:rPr>
          <w:rStyle w:val="Code"/>
        </w:rPr>
        <w:t>&lt;handShift/&gt;</w:t>
      </w:r>
      <w:r>
        <w:t xml:space="preserve"> within your edition to indicate hands, as described in §</w:t>
      </w:r>
      <w:r>
        <w:fldChar w:fldCharType="begin"/>
      </w:r>
      <w:r>
        <w:instrText xml:space="preserve"> REF _Ref231978881 \r \h </w:instrText>
      </w:r>
      <w:r>
        <w:fldChar w:fldCharType="separate"/>
      </w:r>
      <w:r>
        <w:t>8.3</w:t>
      </w:r>
      <w:r>
        <w:fldChar w:fldCharType="end"/>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989" w:name="_Ref233966339"/>
            <w:r>
              <w:t xml:space="preserve">Exhibit </w:t>
            </w:r>
            <w:fldSimple w:instr=" STYLEREF 2 \s ">
              <w:r>
                <w:rPr>
                  <w:noProof/>
                </w:rPr>
                <w:t>15.2</w:t>
              </w:r>
            </w:fldSimple>
            <w:r>
              <w:t>.</w:t>
            </w:r>
            <w:fldSimple w:instr=" SEQ Exhibit \* ALPHABETIC \s 2 ">
              <w:r>
                <w:rPr>
                  <w:noProof/>
                </w:rPr>
                <w:t>A</w:t>
              </w:r>
            </w:fldSimple>
            <w:bookmarkEnd w:id="989"/>
            <w:r>
              <w:t>: hand description with multiple hands</w:t>
            </w:r>
          </w:p>
        </w:tc>
      </w:tr>
      <w:tr>
        <w:tc>
          <w:tcPr>
            <w:tcW w:w="5000" w:type="pct"/>
          </w:tcPr>
          <w:p>
            <w:pPr>
              <w:pStyle w:val="CodeParagraph"/>
              <w:rPr>
                <w:rStyle w:val="Code"/>
              </w:rPr>
            </w:pPr>
            <w:r>
              <w:rPr>
                <w:rStyle w:val="Code"/>
              </w:rPr>
              <w:t>&lt;handDesc&gt;</w:t>
            </w:r>
          </w:p>
          <w:p>
            <w:pPr>
              <w:pStyle w:val="CodeParagraph"/>
              <w:rPr>
                <w:rStyle w:val="Code"/>
              </w:rPr>
            </w:pPr>
            <w:r>
              <w:rPr>
                <w:rStyle w:val="Code"/>
              </w:rPr>
              <w:t xml:space="preserve">  &lt;summary&gt;</w:t>
            </w:r>
          </w:p>
          <w:p>
            <w:pPr>
              <w:pStyle w:val="CodeParagraph"/>
              <w:rPr>
                <w:rStyle w:val="Codetext"/>
              </w:rPr>
            </w:pPr>
            <w:r>
              <w:rPr>
                <w:rStyle w:val="Codetext"/>
              </w:rPr>
              <w:t xml:space="preserve">    </w:t>
            </w:r>
            <w:r>
              <w:rPr>
                <w:rStyle w:val="Code"/>
              </w:rPr>
              <w:t>&lt;p&gt;</w:t>
            </w:r>
            <w:r>
              <w:rPr>
                <w:rStyle w:val="Codetext"/>
              </w:rPr>
              <w:t xml:space="preserve">Final </w:t>
            </w:r>
            <w:r>
              <w:rPr>
                <w:rStyle w:val="Code"/>
              </w:rPr>
              <w:t>&lt;foreign&gt;</w:t>
            </w:r>
            <w:r>
              <w:rPr>
                <w:rStyle w:val="Codetext"/>
              </w:rPr>
              <w:t>T</w:t>
            </w:r>
            <w:r>
              <w:rPr>
                <w:rStyle w:val="Code"/>
              </w:rPr>
              <w:t>&lt;/foreign&gt;</w:t>
            </w:r>
            <w:r>
              <w:rPr>
                <w:rStyle w:val="Codetext"/>
              </w:rPr>
              <w:t xml:space="preserve"> looks like a full-sized </w:t>
            </w:r>
            <w:r>
              <w:rPr>
                <w:rStyle w:val="Code"/>
              </w:rPr>
              <w:t>&lt;foreign&gt;</w:t>
            </w:r>
            <w:r>
              <w:rPr>
                <w:rStyle w:val="Codetext"/>
              </w:rPr>
              <w:t>ta</w:t>
            </w:r>
            <w:r>
              <w:rPr>
                <w:rStyle w:val="Code"/>
              </w:rPr>
              <w:t>&lt;/foreign&gt;</w:t>
            </w:r>
            <w:r>
              <w:rPr>
                <w:rStyle w:val="Codetext"/>
              </w:rPr>
              <w:t xml:space="preserve"> without a headmark (. l21, l. 47) ... </w:t>
            </w:r>
            <w:r>
              <w:rPr>
                <w:rStyle w:val="Code"/>
              </w:rPr>
              <w:t>&lt;/p&gt;</w:t>
            </w:r>
          </w:p>
          <w:p>
            <w:pPr>
              <w:pStyle w:val="CodeParagraph"/>
              <w:rPr>
                <w:rStyle w:val="Codetext"/>
              </w:rPr>
            </w:pPr>
            <w:r>
              <w:rPr>
                <w:rStyle w:val="Code"/>
              </w:rPr>
              <w:t xml:space="preserve">    &lt;p&gt;</w:t>
            </w:r>
            <w:r>
              <w:rPr>
                <w:rStyle w:val="Codetext"/>
              </w:rPr>
              <w:t xml:space="preserve">Original punctuation marks are plain straight verticals ... </w:t>
            </w:r>
            <w:r>
              <w:rPr>
                <w:rStyle w:val="Code"/>
              </w:rPr>
              <w:t>&lt;/p&gt;</w:t>
            </w:r>
          </w:p>
          <w:p>
            <w:pPr>
              <w:pStyle w:val="CodeParagraph"/>
              <w:rPr>
                <w:rStyle w:val="Codetext"/>
              </w:rPr>
            </w:pPr>
            <w:r>
              <w:rPr>
                <w:rStyle w:val="Codetext"/>
              </w:rPr>
              <w:t xml:space="preserve">    </w:t>
            </w:r>
            <w:r>
              <w:rPr>
                <w:rStyle w:val="Code"/>
              </w:rPr>
              <w:t>&lt;p&gt;&lt;foreign&gt;</w:t>
            </w:r>
            <w:r>
              <w:rPr>
                <w:rStyle w:val="Codetext"/>
              </w:rPr>
              <w:t>Anusvāra</w:t>
            </w:r>
            <w:r>
              <w:rPr>
                <w:rStyle w:val="Code"/>
              </w:rPr>
              <w:t>&lt;/foreign&gt;</w:t>
            </w:r>
            <w:r>
              <w:rPr>
                <w:rStyle w:val="Codetext"/>
              </w:rPr>
              <w:t xml:space="preserve"> is a dot after the character to which it belongs ... </w:t>
            </w:r>
            <w:r>
              <w:rPr>
                <w:rStyle w:val="Code"/>
              </w:rPr>
              <w:t>&lt;/p&gt;</w:t>
            </w:r>
          </w:p>
          <w:p>
            <w:pPr>
              <w:pStyle w:val="CodeParagraph"/>
              <w:rPr>
                <w:rStyle w:val="Code"/>
              </w:rPr>
            </w:pPr>
            <w:r>
              <w:rPr>
                <w:rStyle w:val="Code"/>
              </w:rPr>
              <w:t xml:space="preserve">  &lt;/summary&gt;</w:t>
            </w:r>
          </w:p>
          <w:p>
            <w:pPr>
              <w:pStyle w:val="CodeParagraph"/>
              <w:rPr>
                <w:rStyle w:val="Codetext"/>
              </w:rPr>
            </w:pPr>
            <w:r>
              <w:rPr>
                <w:rStyle w:val="Code"/>
              </w:rPr>
              <w:t xml:space="preserve">  &lt;handNote </w:t>
            </w:r>
            <w:r>
              <w:rPr>
                <w:rStyle w:val="Codeattribute"/>
              </w:rPr>
              <w:t>xml:id=</w:t>
            </w:r>
            <w:r>
              <w:rPr>
                <w:rStyle w:val="Codevalue"/>
              </w:rPr>
              <w:t>"hand1"</w:t>
            </w:r>
            <w:r>
              <w:rPr>
                <w:rStyle w:val="Code"/>
              </w:rPr>
              <w:t>&gt;</w:t>
            </w:r>
            <w:r>
              <w:rPr>
                <w:rStyle w:val="Codetext"/>
              </w:rPr>
              <w:t xml:space="preserve">The hand responsible for most of the inscription, characterised by relatively small and squarish character bodies and a very large number of scribal mistakes ... </w:t>
            </w:r>
            <w:r>
              <w:rPr>
                <w:rStyle w:val="Code"/>
              </w:rPr>
              <w:t>&lt;/handNote&gt;</w:t>
            </w:r>
          </w:p>
          <w:p>
            <w:pPr>
              <w:pStyle w:val="CodeParagraph"/>
              <w:rPr>
                <w:rStyle w:val="Codetext"/>
              </w:rPr>
            </w:pPr>
            <w:r>
              <w:rPr>
                <w:rStyle w:val="Code"/>
              </w:rPr>
              <w:t xml:space="preserve">  &lt;handNote </w:t>
            </w:r>
            <w:r>
              <w:rPr>
                <w:rStyle w:val="Codeattribute"/>
              </w:rPr>
              <w:t>xml:id=</w:t>
            </w:r>
            <w:r>
              <w:rPr>
                <w:rStyle w:val="Codevalue"/>
              </w:rPr>
              <w:t>"hand2"</w:t>
            </w:r>
            <w:r>
              <w:rPr>
                <w:rStyle w:val="Code"/>
              </w:rPr>
              <w:t>&gt;</w:t>
            </w:r>
            <w:r>
              <w:rPr>
                <w:rStyle w:val="Codetext"/>
              </w:rPr>
              <w:t xml:space="preserve">A hand characterised by characters which are are bolder and more evenly written, have a more cursive ductus and a slant to the right ... </w:t>
            </w:r>
            <w:r>
              <w:rPr>
                <w:rStyle w:val="Code"/>
              </w:rPr>
              <w:t>&lt;/handNote&gt;</w:t>
            </w:r>
          </w:p>
          <w:p>
            <w:pPr>
              <w:pStyle w:val="CodeParagraph"/>
              <w:rPr>
                <w:rStyle w:val="Code"/>
              </w:rPr>
            </w:pPr>
            <w:r>
              <w:rPr>
                <w:rStyle w:val="Code"/>
              </w:rPr>
              <w:t>&lt;/handDesc&gt;</w:t>
            </w:r>
          </w:p>
        </w:tc>
      </w:tr>
    </w:tbl>
    <w:p/>
    <w:p>
      <w:pPr>
        <w:pStyle w:val="Cmsor2"/>
      </w:pPr>
      <w:bookmarkStart w:id="990" w:name="_l88w6yddwwcn" w:colFirst="0" w:colLast="0"/>
      <w:bookmarkStart w:id="991" w:name="_wnsvz48xieus" w:colFirst="0" w:colLast="0"/>
      <w:bookmarkStart w:id="992" w:name="_Ref240276652"/>
      <w:bookmarkEnd w:id="990"/>
      <w:bookmarkEnd w:id="991"/>
      <w:r>
        <w:t>Keeping track of file history</w:t>
      </w:r>
      <w:bookmarkEnd w:id="992"/>
    </w:p>
    <w:p>
      <w:r>
        <w:t xml:space="preserve">From the moment it is created, the life-cycle of any XML file is liable to include any number of changes, such as additions, updates, corrections, or transformations. The history of the file is to be recorded in the Revision Description, encoded in </w:t>
      </w:r>
      <w:r>
        <w:rPr>
          <w:rStyle w:val="Code"/>
        </w:rPr>
        <w:t>&lt;revisionDesc&gt;</w:t>
      </w:r>
      <w:r>
        <w:t xml:space="preserve"> as the final high-level element in the TEI header, illustrated in </w:t>
      </w:r>
      <w:r>
        <w:fldChar w:fldCharType="begin"/>
      </w:r>
      <w:r>
        <w:instrText xml:space="preserve"> REF _Ref233967208 \h </w:instrText>
      </w:r>
      <w:r>
        <w:fldChar w:fldCharType="separate"/>
      </w:r>
      <w:r>
        <w:t xml:space="preserve">Exhibit </w:t>
      </w:r>
      <w:r>
        <w:rPr>
          <w:noProof/>
        </w:rPr>
        <w:t>15.3</w:t>
      </w:r>
      <w:r>
        <w:t>.</w:t>
      </w:r>
      <w:r>
        <w:rPr>
          <w:noProof/>
        </w:rPr>
        <w:t>A</w:t>
      </w:r>
      <w:r>
        <w:fldChar w:fldCharType="end"/>
      </w:r>
      <w:r>
        <w:t>. Once the initial encoding of a file has been completed, or the unfinished file is put aside to pick up later, any substantive alterations (extensive changes, deletions and additions) should be recorded in the revision description. Doing so at a manageable yet still meaningful level of detail can become an asset for the management and control of the files, for instance by helping to resolve issues regarding the encoding choices that can arise when files are being edited by multiple team members, and to gain a quick overview of the latest changes made when you return to work on a file after some time. We therefore recommend that you always check this part of the file before resuming your work to be sure that you have a clear understanding of the state of the encoding and avoid undoing changes made by others.</w:t>
      </w:r>
    </w:p>
    <w:p>
      <w:pPr>
        <w:pStyle w:val="Lista"/>
      </w:pPr>
      <w:r>
        <w:t xml:space="preserve">each substantive change shall be recorded as a </w:t>
      </w:r>
      <w:r>
        <w:rPr>
          <w:rStyle w:val="Code"/>
        </w:rPr>
        <w:t>&lt;change&gt;</w:t>
      </w:r>
      <w:r>
        <w:t xml:space="preserve"> element with the following attributes:</w:t>
      </w:r>
    </w:p>
    <w:p>
      <w:pPr>
        <w:pStyle w:val="Lista2"/>
      </w:pPr>
      <w:r>
        <w:t xml:space="preserve">mandatorily, </w:t>
      </w:r>
      <w:r>
        <w:rPr>
          <w:rStyle w:val="Codeattribute"/>
        </w:rPr>
        <w:t>@who</w:t>
      </w:r>
      <w:r>
        <w:t>, the value of which shall be the personal identifier of the person</w:t>
      </w:r>
      <w:r>
        <w:rPr>
          <w:noProof/>
        </w:rPr>
        <w:t>(</w:t>
      </w:r>
      <w:r>
        <w:t xml:space="preserve">s) making the change, i.e. normally yours, with the prefix </w:t>
      </w:r>
      <w:r>
        <w:rPr>
          <w:rStyle w:val="Codevalue"/>
        </w:rPr>
        <w:t>part:</w:t>
      </w:r>
      <w:r>
        <w:t xml:space="preserve"> </w:t>
      </w:r>
      <w:r>
        <w:rPr>
          <w:noProof/>
        </w:rPr>
        <w:t>(</w:t>
      </w:r>
      <w:r>
        <w:t>as an abbreviated reference to the file listing participants of the project)</w:t>
      </w:r>
    </w:p>
    <w:p>
      <w:pPr>
        <w:pStyle w:val="Lista3"/>
      </w:pPr>
      <w:r>
        <w:t xml:space="preserve">our personal identifiers are available at </w:t>
      </w:r>
      <w:hyperlink r:id="rId81" w:history="1">
        <w:r>
          <w:rPr>
            <w:rStyle w:val="Hiperhivatkozs"/>
          </w:rPr>
          <w:t>https://dharmalekha.info/contributors</w:t>
        </w:r>
      </w:hyperlink>
      <w:r>
        <w:t xml:space="preserve"> </w:t>
      </w:r>
    </w:p>
    <w:p>
      <w:pPr>
        <w:pStyle w:val="Lista3"/>
      </w:pPr>
      <w:r>
        <w:lastRenderedPageBreak/>
        <w:t>to record multiple identifiers for a single change, prefix each as above and separate them by a space</w:t>
      </w:r>
    </w:p>
    <w:p>
      <w:pPr>
        <w:pStyle w:val="Lista2"/>
      </w:pPr>
      <w:r>
        <w:t xml:space="preserve">mandatorily, </w:t>
      </w:r>
      <w:r>
        <w:rPr>
          <w:rStyle w:val="Codeattribute"/>
        </w:rPr>
        <w:t>@when</w:t>
      </w:r>
      <w:r>
        <w:t>, the value of which shall be the date of the change in ISO format, i.e. YYYY-MM-DD</w:t>
      </w:r>
    </w:p>
    <w:p>
      <w:pPr>
        <w:pStyle w:val="Lista2"/>
      </w:pPr>
      <w:r>
        <w:t xml:space="preserve">optionally as applicable, </w:t>
      </w:r>
      <w:r>
        <w:rPr>
          <w:rStyle w:val="Codeattribute"/>
        </w:rPr>
        <w:t>@status</w:t>
      </w:r>
      <w:r>
        <w:t xml:space="preserve"> with one of the following values, to help keep track of significant milestones in the process of editing, especially when the work is done by a less experienced contributor under supervision</w:t>
      </w:r>
    </w:p>
    <w:p>
      <w:pPr>
        <w:pStyle w:val="Lista3"/>
      </w:pPr>
      <w:r>
        <w:rPr>
          <w:rStyle w:val="Codevalue"/>
        </w:rPr>
        <w:t>"draft"</w:t>
      </w:r>
    </w:p>
    <w:p>
      <w:pPr>
        <w:pStyle w:val="Lista3"/>
      </w:pPr>
      <w:r>
        <w:rPr>
          <w:rStyle w:val="Codevalue"/>
        </w:rPr>
        <w:t>"candidate"</w:t>
      </w:r>
    </w:p>
    <w:p>
      <w:pPr>
        <w:pStyle w:val="Lista3"/>
      </w:pPr>
      <w:r>
        <w:rPr>
          <w:rStyle w:val="Codevalue"/>
        </w:rPr>
        <w:t>"approved"</w:t>
      </w:r>
    </w:p>
    <w:p>
      <w:pPr>
        <w:pStyle w:val="Lista3"/>
      </w:pPr>
      <w:r>
        <w:rPr>
          <w:rStyle w:val="Codevalue"/>
        </w:rPr>
        <w:t>"published"</w:t>
      </w:r>
    </w:p>
    <w:p>
      <w:pPr>
        <w:pStyle w:val="Lista3"/>
        <w:rPr>
          <w:rStyle w:val="Codevalue"/>
          <w:rFonts w:ascii="Gentium" w:eastAsiaTheme="minorEastAsia" w:hAnsi="Gentium" w:cs="Tiro Devanagari Sanskrit"/>
          <w:noProof w:val="0"/>
          <w:color w:val="auto"/>
          <w:shd w:val="clear" w:color="auto" w:fill="auto"/>
        </w:rPr>
      </w:pPr>
      <w:r>
        <w:rPr>
          <w:rStyle w:val="Codevalue"/>
        </w:rPr>
        <w:t>"withdrawn"</w:t>
      </w:r>
    </w:p>
    <w:p>
      <w:pPr>
        <w:pStyle w:val="Lista"/>
      </w:pPr>
      <w:r>
        <w:t xml:space="preserve">the contents of </w:t>
      </w:r>
      <w:r>
        <w:rPr>
          <w:rStyle w:val="Code"/>
        </w:rPr>
        <w:t>&lt;change&gt;</w:t>
      </w:r>
      <w:r>
        <w:t xml:space="preserve"> shall be a freeform description of the modification</w:t>
      </w:r>
    </w:p>
    <w:p>
      <w:pPr>
        <w:pStyle w:val="Lista2"/>
      </w:pPr>
      <w:r>
        <w:t>please be concise, but avoid generic formulations and favour precise ones</w:t>
      </w:r>
    </w:p>
    <w:p>
      <w:pPr>
        <w:pStyle w:val="Lista"/>
      </w:pPr>
      <w:r>
        <w:t>when first beginning to work on a file using a blank template or recycling one of your other editions</w:t>
      </w:r>
    </w:p>
    <w:p>
      <w:pPr>
        <w:pStyle w:val="Lista2"/>
      </w:pPr>
      <w:r>
        <w:t xml:space="preserve">delete all but one of the </w:t>
      </w:r>
      <w:r>
        <w:rPr>
          <w:rStyle w:val="Code"/>
        </w:rPr>
        <w:t>&lt;change&gt;</w:t>
      </w:r>
      <w:r>
        <w:t xml:space="preserve"> elements already present</w:t>
      </w:r>
    </w:p>
    <w:p>
      <w:pPr>
        <w:pStyle w:val="Lista2"/>
      </w:pPr>
      <w:r>
        <w:t xml:space="preserve">edit the retained </w:t>
      </w:r>
      <w:r>
        <w:rPr>
          <w:rStyle w:val="Code"/>
        </w:rPr>
        <w:t>&lt;change&gt;</w:t>
      </w:r>
      <w:r>
        <w:t xml:space="preserve"> element’s attributes and content to record the event of initial encoding</w:t>
      </w:r>
    </w:p>
    <w:p>
      <w:pPr>
        <w:pStyle w:val="Lista2"/>
      </w:pPr>
      <w:r>
        <w:t>the date shall be the start of your work on the file</w:t>
      </w:r>
    </w:p>
    <w:p>
      <w:pPr>
        <w:pStyle w:val="Lista3"/>
      </w:pPr>
      <w:r>
        <w:t>if initial encoding is completed within a reasonable period of time, the completion of initial encoding need not be recorded as a separate event</w:t>
      </w:r>
    </w:p>
    <w:p>
      <w:pPr>
        <w:pStyle w:val="Lista"/>
      </w:pPr>
      <w:r>
        <w:t>whenever you return to the file and make a substantive change</w:t>
      </w:r>
    </w:p>
    <w:p>
      <w:pPr>
        <w:pStyle w:val="Lista2"/>
      </w:pPr>
      <w:r>
        <w:t xml:space="preserve">create a new </w:t>
      </w:r>
      <w:r>
        <w:rPr>
          <w:rStyle w:val="Code"/>
        </w:rPr>
        <w:t>&lt;change&gt;</w:t>
      </w:r>
      <w:r>
        <w:t xml:space="preserve"> element (or replicate an existing one)</w:t>
      </w:r>
    </w:p>
    <w:p>
      <w:pPr>
        <w:pStyle w:val="Lista2"/>
      </w:pPr>
      <w:r>
        <w:t xml:space="preserve">the new </w:t>
      </w:r>
      <w:r>
        <w:rPr>
          <w:rStyle w:val="Code"/>
        </w:rPr>
        <w:t>&lt;change&gt;</w:t>
      </w:r>
      <w:r>
        <w:t xml:space="preserve"> element must always be at the top, so that events are listed in a reverse chronological order with the most recent at the top</w:t>
      </w:r>
    </w:p>
    <w:p>
      <w:pPr>
        <w:pStyle w:val="Lista2"/>
      </w:pPr>
      <w:r>
        <w:t xml:space="preserve">fill or edit the contents of the new </w:t>
      </w:r>
      <w:r>
        <w:rPr>
          <w:rStyle w:val="Code"/>
        </w:rPr>
        <w:t>&lt;change&gt;</w:t>
      </w:r>
      <w:r>
        <w:t xml:space="preserve"> element to record the details of the change </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993" w:name="_Ref233967208"/>
            <w:r>
              <w:t xml:space="preserve">Exhibit </w:t>
            </w:r>
            <w:fldSimple w:instr=" STYLEREF 2 \s ">
              <w:r>
                <w:rPr>
                  <w:noProof/>
                </w:rPr>
                <w:t>15.3</w:t>
              </w:r>
            </w:fldSimple>
            <w:r>
              <w:t>.</w:t>
            </w:r>
            <w:fldSimple w:instr=" SEQ Exhibit \* ALPHABETIC \s 2 ">
              <w:r>
                <w:rPr>
                  <w:noProof/>
                </w:rPr>
                <w:t>A</w:t>
              </w:r>
            </w:fldSimple>
            <w:bookmarkEnd w:id="993"/>
            <w:r>
              <w:t>: the revision description</w:t>
            </w:r>
          </w:p>
        </w:tc>
      </w:tr>
      <w:tr>
        <w:tc>
          <w:tcPr>
            <w:tcW w:w="5000" w:type="pct"/>
          </w:tcPr>
          <w:p>
            <w:pPr>
              <w:pStyle w:val="CodeParagraph"/>
              <w:rPr>
                <w:rStyle w:val="Code"/>
              </w:rPr>
            </w:pPr>
            <w:r>
              <w:rPr>
                <w:rStyle w:val="Code"/>
              </w:rPr>
              <w:t>&lt;revisionDesc&gt;</w:t>
            </w:r>
            <w:r>
              <w:rPr>
                <w:rStyle w:val="Codetext"/>
              </w:rPr>
              <w:br/>
              <w:t xml:space="preserve">  </w:t>
            </w:r>
            <w:r>
              <w:rPr>
                <w:rStyle w:val="Code"/>
              </w:rPr>
              <w:t xml:space="preserve">&lt;change </w:t>
            </w:r>
            <w:r>
              <w:rPr>
                <w:rStyle w:val="Codeattribute"/>
              </w:rPr>
              <w:t>who</w:t>
            </w:r>
            <w:r>
              <w:rPr>
                <w:rStyle w:val="Code"/>
              </w:rPr>
              <w:t>=</w:t>
            </w:r>
            <w:r>
              <w:rPr>
                <w:rStyle w:val="Codevalue"/>
              </w:rPr>
              <w:t>"part:daba"</w:t>
            </w:r>
            <w:r>
              <w:rPr>
                <w:rStyle w:val="Code"/>
              </w:rPr>
              <w:t xml:space="preserve"> </w:t>
            </w:r>
            <w:r>
              <w:rPr>
                <w:rStyle w:val="Codeattribute"/>
              </w:rPr>
              <w:t>when</w:t>
            </w:r>
            <w:r>
              <w:rPr>
                <w:rStyle w:val="Code"/>
              </w:rPr>
              <w:t>=</w:t>
            </w:r>
            <w:r>
              <w:rPr>
                <w:rStyle w:val="Codevalue"/>
              </w:rPr>
              <w:t xml:space="preserve">"2024-07-05" </w:t>
            </w:r>
            <w:r>
              <w:rPr>
                <w:rStyle w:val="Codeattribute"/>
              </w:rPr>
              <w:t>status</w:t>
            </w:r>
            <w:r>
              <w:rPr>
                <w:rStyle w:val="Code"/>
              </w:rPr>
              <w:t>=</w:t>
            </w:r>
            <w:r>
              <w:rPr>
                <w:rStyle w:val="Codevalue"/>
              </w:rPr>
              <w:t>"published"</w:t>
            </w:r>
            <w:r>
              <w:rPr>
                <w:rStyle w:val="Code"/>
              </w:rPr>
              <w:t>&gt;</w:t>
            </w:r>
            <w:r>
              <w:rPr>
                <w:rStyle w:val="Codetext"/>
              </w:rPr>
              <w:t>Re-collation with new photos</w:t>
            </w:r>
            <w:r>
              <w:rPr>
                <w:rStyle w:val="Code"/>
              </w:rPr>
              <w:t>&lt;/change&gt;</w:t>
            </w:r>
            <w:r>
              <w:rPr>
                <w:rStyle w:val="Codetext"/>
              </w:rPr>
              <w:br/>
              <w:t xml:space="preserve">  </w:t>
            </w:r>
            <w:r>
              <w:rPr>
                <w:rStyle w:val="Code"/>
              </w:rPr>
              <w:t xml:space="preserve">&lt;change </w:t>
            </w:r>
            <w:r>
              <w:rPr>
                <w:rStyle w:val="Codeattribute"/>
              </w:rPr>
              <w:t>who</w:t>
            </w:r>
            <w:r>
              <w:rPr>
                <w:rStyle w:val="Code"/>
              </w:rPr>
              <w:t>=</w:t>
            </w:r>
            <w:r>
              <w:rPr>
                <w:rStyle w:val="Codevalue"/>
              </w:rPr>
              <w:t>"part:daba"</w:t>
            </w:r>
            <w:r>
              <w:rPr>
                <w:rStyle w:val="Code"/>
              </w:rPr>
              <w:t xml:space="preserve"> </w:t>
            </w:r>
            <w:r>
              <w:rPr>
                <w:rStyle w:val="Codeattribute"/>
              </w:rPr>
              <w:t>when</w:t>
            </w:r>
            <w:r>
              <w:rPr>
                <w:rStyle w:val="Code"/>
              </w:rPr>
              <w:t>=</w:t>
            </w:r>
            <w:r>
              <w:rPr>
                <w:rStyle w:val="Codevalue"/>
              </w:rPr>
              <w:t xml:space="preserve">"2020-03-10" </w:t>
            </w:r>
            <w:r>
              <w:rPr>
                <w:rStyle w:val="Codeattribute"/>
              </w:rPr>
              <w:t>status</w:t>
            </w:r>
            <w:r>
              <w:rPr>
                <w:rStyle w:val="Code"/>
              </w:rPr>
              <w:t>=</w:t>
            </w:r>
            <w:r>
              <w:rPr>
                <w:rStyle w:val="Codevalue"/>
              </w:rPr>
              <w:t>"published"</w:t>
            </w:r>
            <w:r>
              <w:rPr>
                <w:rStyle w:val="Code"/>
              </w:rPr>
              <w:t>&gt;</w:t>
            </w:r>
            <w:r>
              <w:rPr>
                <w:rStyle w:val="Codetext"/>
              </w:rPr>
              <w:t>Adding translation</w:t>
            </w:r>
            <w:r>
              <w:rPr>
                <w:rStyle w:val="Code"/>
              </w:rPr>
              <w:t>&lt;/change&gt;</w:t>
            </w:r>
            <w:r>
              <w:rPr>
                <w:rStyle w:val="Codetext"/>
              </w:rPr>
              <w:br/>
              <w:t xml:space="preserve">  </w:t>
            </w:r>
            <w:r>
              <w:rPr>
                <w:rStyle w:val="Code"/>
              </w:rPr>
              <w:t xml:space="preserve">&lt;change </w:t>
            </w:r>
            <w:r>
              <w:rPr>
                <w:rStyle w:val="Codeattribute"/>
              </w:rPr>
              <w:t>who</w:t>
            </w:r>
            <w:r>
              <w:rPr>
                <w:rStyle w:val="Code"/>
              </w:rPr>
              <w:t>=</w:t>
            </w:r>
            <w:r>
              <w:rPr>
                <w:rStyle w:val="Codevalue"/>
              </w:rPr>
              <w:t>"part:daba"</w:t>
            </w:r>
            <w:r>
              <w:rPr>
                <w:rStyle w:val="Code"/>
              </w:rPr>
              <w:t xml:space="preserve"> </w:t>
            </w:r>
            <w:r>
              <w:rPr>
                <w:rStyle w:val="Codeattribute"/>
              </w:rPr>
              <w:t>when</w:t>
            </w:r>
            <w:r>
              <w:rPr>
                <w:rStyle w:val="Code"/>
              </w:rPr>
              <w:t>=</w:t>
            </w:r>
            <w:r>
              <w:rPr>
                <w:rStyle w:val="Codevalue"/>
              </w:rPr>
              <w:t xml:space="preserve">"2019-12-01" </w:t>
            </w:r>
            <w:r>
              <w:rPr>
                <w:rStyle w:val="Codeattribute"/>
              </w:rPr>
              <w:t>status</w:t>
            </w:r>
            <w:r>
              <w:rPr>
                <w:rStyle w:val="Code"/>
              </w:rPr>
              <w:t>=</w:t>
            </w:r>
            <w:r>
              <w:rPr>
                <w:rStyle w:val="Codevalue"/>
              </w:rPr>
              <w:t>"draft"</w:t>
            </w:r>
            <w:r>
              <w:rPr>
                <w:rStyle w:val="Code"/>
              </w:rPr>
              <w:t>&gt;</w:t>
            </w:r>
            <w:r>
              <w:rPr>
                <w:rStyle w:val="Codetext"/>
              </w:rPr>
              <w:t>Initial encoding</w:t>
            </w:r>
            <w:r>
              <w:rPr>
                <w:rStyle w:val="Code"/>
              </w:rPr>
              <w:t>&lt;/change&gt;</w:t>
            </w:r>
            <w:r>
              <w:rPr>
                <w:rStyle w:val="Codetext"/>
              </w:rPr>
              <w:br/>
            </w:r>
            <w:r>
              <w:rPr>
                <w:rStyle w:val="Code"/>
              </w:rPr>
              <w:t>&lt;/revisionDesc&gt;</w:t>
            </w:r>
          </w:p>
        </w:tc>
      </w:tr>
    </w:tbl>
    <w:p>
      <w:pPr>
        <w:pStyle w:val="Cmsor1"/>
      </w:pPr>
      <w:bookmarkStart w:id="994" w:name="_m394n9pgjwwz" w:colFirst="0" w:colLast="0"/>
      <w:bookmarkEnd w:id="994"/>
      <w:r>
        <w:lastRenderedPageBreak/>
        <w:t>Good encoding practice</w:t>
      </w:r>
    </w:p>
    <w:p>
      <w:pPr>
        <w:pStyle w:val="Cmsor2"/>
      </w:pPr>
      <w:bookmarkStart w:id="995" w:name="_udlxmxv788yo" w:colFirst="0" w:colLast="0"/>
      <w:bookmarkStart w:id="996" w:name="_i3nexhtm21xy" w:colFirst="0" w:colLast="0"/>
      <w:bookmarkStart w:id="997" w:name="_Ref43989206"/>
      <w:bookmarkEnd w:id="995"/>
      <w:bookmarkEnd w:id="996"/>
      <w:r>
        <w:t>White space</w:t>
      </w:r>
      <w:bookmarkEnd w:id="997"/>
    </w:p>
    <w:p>
      <w:r>
        <w:t xml:space="preserve">In coding terminology, white space (or whitespace) means a blank space in a document, i.e. any combination of spaces, tabs and new line </w:t>
      </w:r>
      <w:r>
        <w:rPr>
          <w:noProof/>
        </w:rPr>
        <w:t>(</w:t>
      </w:r>
      <w:r>
        <w:t>carriage return) characters.</w:t>
      </w:r>
      <w:r>
        <w:rPr>
          <w:rStyle w:val="Lbjegyzet-hivatkozs"/>
        </w:rPr>
        <w:footnoteReference w:id="43"/>
      </w:r>
      <w:r>
        <w:t xml:space="preserve"> White space that affects the processing and transformation of an XML document is called significant, while white space that does not is called insignificant. While editing an XML file, take care to use significant white space correctly, adding no more and no less than necessary, to ensure that processing and displaying take place correctly.</w:t>
      </w:r>
    </w:p>
    <w:tbl>
      <w:tblPr>
        <w:tblStyle w:val="CodeSampleTable"/>
        <w:tblpPr w:leftFromText="180" w:rightFromText="180" w:vertAnchor="text" w:tblpXSpec="right" w:tblpY="1"/>
        <w:tblOverlap w:val="never"/>
        <w:tblW w:w="3690" w:type="dxa"/>
        <w:jc w:val="right"/>
        <w:tblLook w:val="04A0" w:firstRow="1" w:lastRow="0" w:firstColumn="1" w:lastColumn="0" w:noHBand="0" w:noVBand="1"/>
      </w:tblPr>
      <w:tblGrid>
        <w:gridCol w:w="288"/>
        <w:gridCol w:w="3402"/>
      </w:tblGrid>
      <w:tr>
        <w:trPr>
          <w:cnfStyle w:val="100000000000" w:firstRow="1" w:lastRow="0" w:firstColumn="0" w:lastColumn="0" w:oddVBand="0" w:evenVBand="0" w:oddHBand="0" w:evenHBand="0" w:firstRowFirstColumn="0" w:firstRowLastColumn="0" w:lastRowFirstColumn="0" w:lastRowLastColumn="0"/>
          <w:jc w:val="right"/>
        </w:trPr>
        <w:tc>
          <w:tcPr>
            <w:tcW w:w="3690" w:type="dxa"/>
            <w:gridSpan w:val="2"/>
          </w:tcPr>
          <w:p>
            <w:pPr>
              <w:pStyle w:val="Kpalrs"/>
            </w:pPr>
            <w:bookmarkStart w:id="998" w:name="_Ref242975027"/>
            <w:bookmarkStart w:id="999" w:name="_Ref242975031"/>
            <w:r>
              <w:t xml:space="preserve">Exhibit </w:t>
            </w:r>
            <w:r>
              <w:fldChar w:fldCharType="begin"/>
            </w:r>
            <w:r>
              <w:instrText xml:space="preserve"> STYLEREF 2 \s </w:instrText>
            </w:r>
            <w:r>
              <w:fldChar w:fldCharType="separate"/>
            </w:r>
            <w:r>
              <w:rPr>
                <w:noProof/>
              </w:rPr>
              <w:t>16.1</w:t>
            </w:r>
            <w:r>
              <w:rPr>
                <w:noProof/>
              </w:rPr>
              <w:fldChar w:fldCharType="end"/>
            </w:r>
            <w:r>
              <w:t>.</w:t>
            </w:r>
            <w:r>
              <w:fldChar w:fldCharType="begin"/>
            </w:r>
            <w:r>
              <w:instrText xml:space="preserve"> SEQ Exhibit \* ALPHABETIC \s 2 </w:instrText>
            </w:r>
            <w:r>
              <w:fldChar w:fldCharType="separate"/>
            </w:r>
            <w:r>
              <w:rPr>
                <w:noProof/>
              </w:rPr>
              <w:t>A</w:t>
            </w:r>
            <w:r>
              <w:rPr>
                <w:noProof/>
              </w:rPr>
              <w:fldChar w:fldCharType="end"/>
            </w:r>
            <w:bookmarkEnd w:id="999"/>
            <w:r>
              <w:t>: white space</w:t>
            </w:r>
            <w:bookmarkEnd w:id="998"/>
            <w:r>
              <w:t xml:space="preserve"> in tags</w:t>
            </w:r>
          </w:p>
        </w:tc>
      </w:tr>
      <w:tr>
        <w:trPr>
          <w:jc w:val="right"/>
        </w:trPr>
        <w:tc>
          <w:tcPr>
            <w:tcW w:w="288" w:type="dxa"/>
            <w:shd w:val="clear" w:color="auto" w:fill="92D050"/>
          </w:tcPr>
          <w:p>
            <w:pPr>
              <w:pStyle w:val="Tabletext"/>
              <w:jc w:val="center"/>
            </w:pPr>
            <w:r>
              <w:t>1</w:t>
            </w:r>
          </w:p>
        </w:tc>
        <w:tc>
          <w:tcPr>
            <w:tcW w:w="3402" w:type="dxa"/>
          </w:tcPr>
          <w:p>
            <w:pPr>
              <w:pStyle w:val="CodeParagraph"/>
              <w:keepNext/>
            </w:pPr>
            <w:r>
              <w:rPr>
                <w:rStyle w:val="Code"/>
              </w:rPr>
              <w:t xml:space="preserve">&lt;lb </w:t>
            </w:r>
            <w:r>
              <w:rPr>
                <w:rStyle w:val="Codeattribute"/>
              </w:rPr>
              <w:t>n</w:t>
            </w:r>
            <w:r>
              <w:rPr>
                <w:rStyle w:val="Code"/>
              </w:rPr>
              <w:t>=</w:t>
            </w:r>
            <w:r>
              <w:rPr>
                <w:rStyle w:val="Codevalue"/>
              </w:rPr>
              <w:t>"1"</w:t>
            </w:r>
            <w:r>
              <w:rPr>
                <w:rStyle w:val="Code"/>
              </w:rPr>
              <w:t xml:space="preserve"> </w:t>
            </w:r>
            <w:r>
              <w:rPr>
                <w:rStyle w:val="Codeattribute"/>
              </w:rPr>
              <w:t>break</w:t>
            </w:r>
            <w:r>
              <w:rPr>
                <w:rStyle w:val="Code"/>
              </w:rPr>
              <w:t>=</w:t>
            </w:r>
            <w:r>
              <w:rPr>
                <w:rStyle w:val="Codevalue"/>
              </w:rPr>
              <w:t>"no"</w:t>
            </w:r>
            <w:r>
              <w:rPr>
                <w:rStyle w:val="Code"/>
              </w:rPr>
              <w:t>/&gt;</w:t>
            </w:r>
          </w:p>
        </w:tc>
      </w:tr>
      <w:tr>
        <w:trPr>
          <w:jc w:val="right"/>
        </w:trPr>
        <w:tc>
          <w:tcPr>
            <w:tcW w:w="288" w:type="dxa"/>
            <w:shd w:val="clear" w:color="auto" w:fill="92D050"/>
          </w:tcPr>
          <w:p>
            <w:pPr>
              <w:pStyle w:val="Tabletext"/>
              <w:jc w:val="center"/>
            </w:pPr>
            <w:r>
              <w:t>2</w:t>
            </w:r>
          </w:p>
        </w:tc>
        <w:tc>
          <w:tcPr>
            <w:tcW w:w="3402" w:type="dxa"/>
          </w:tcPr>
          <w:p>
            <w:pPr>
              <w:pStyle w:val="CodeParagraph"/>
              <w:keepNext/>
              <w:rPr>
                <w:rStyle w:val="Code"/>
              </w:rPr>
            </w:pPr>
            <w:r>
              <w:rPr>
                <w:rStyle w:val="Code"/>
              </w:rPr>
              <w:t xml:space="preserve">&lt;lb      </w:t>
            </w:r>
            <w:r>
              <w:rPr>
                <w:rStyle w:val="Codeattribute"/>
              </w:rPr>
              <w:t>n</w:t>
            </w:r>
            <w:r>
              <w:rPr>
                <w:rStyle w:val="Code"/>
              </w:rPr>
              <w:t>=</w:t>
            </w:r>
            <w:r>
              <w:rPr>
                <w:rStyle w:val="Codevalue"/>
              </w:rPr>
              <w:t>"1"</w:t>
            </w:r>
            <w:r>
              <w:rPr>
                <w:rStyle w:val="Code"/>
              </w:rPr>
              <w:t xml:space="preserve"> </w:t>
            </w:r>
            <w:r>
              <w:rPr>
                <w:rStyle w:val="Codeattribute"/>
              </w:rPr>
              <w:t xml:space="preserve">break </w:t>
            </w:r>
            <w:r>
              <w:rPr>
                <w:rStyle w:val="Code"/>
              </w:rPr>
              <w:t xml:space="preserve">= </w:t>
            </w:r>
            <w:r>
              <w:rPr>
                <w:rStyle w:val="Codevalue"/>
              </w:rPr>
              <w:t xml:space="preserve">"no" </w:t>
            </w:r>
            <w:r>
              <w:rPr>
                <w:rStyle w:val="Code"/>
              </w:rPr>
              <w:t>/ &gt;</w:t>
            </w:r>
          </w:p>
        </w:tc>
      </w:tr>
      <w:tr>
        <w:trPr>
          <w:jc w:val="right"/>
        </w:trPr>
        <w:tc>
          <w:tcPr>
            <w:tcW w:w="288" w:type="dxa"/>
            <w:shd w:val="clear" w:color="auto" w:fill="92D050"/>
          </w:tcPr>
          <w:p>
            <w:pPr>
              <w:pStyle w:val="Tabletext"/>
              <w:jc w:val="center"/>
            </w:pPr>
            <w:r>
              <w:t>3</w:t>
            </w:r>
          </w:p>
        </w:tc>
        <w:tc>
          <w:tcPr>
            <w:tcW w:w="3402" w:type="dxa"/>
          </w:tcPr>
          <w:p>
            <w:pPr>
              <w:pStyle w:val="CodeParagraph"/>
              <w:keepNext/>
              <w:rPr>
                <w:rStyle w:val="Code"/>
              </w:rPr>
            </w:pPr>
            <w:r>
              <w:rPr>
                <w:rStyle w:val="Code"/>
              </w:rPr>
              <w:t>&lt;lb</w:t>
            </w:r>
            <w:r>
              <w:rPr>
                <w:rStyle w:val="Code"/>
              </w:rPr>
              <w:br/>
            </w:r>
            <w:r>
              <w:rPr>
                <w:rStyle w:val="Codeattribute"/>
              </w:rPr>
              <w:t>n</w:t>
            </w:r>
            <w:r>
              <w:rPr>
                <w:rStyle w:val="Code"/>
              </w:rPr>
              <w:t>=</w:t>
            </w:r>
            <w:r>
              <w:rPr>
                <w:rStyle w:val="Codevalue"/>
              </w:rPr>
              <w:t>"1"</w:t>
            </w:r>
            <w:r>
              <w:rPr>
                <w:rStyle w:val="Code"/>
              </w:rPr>
              <w:br/>
            </w:r>
            <w:r>
              <w:rPr>
                <w:rStyle w:val="Codeattribute"/>
              </w:rPr>
              <w:t>break</w:t>
            </w:r>
            <w:r>
              <w:rPr>
                <w:rStyle w:val="Code"/>
              </w:rPr>
              <w:t>=</w:t>
            </w:r>
            <w:r>
              <w:rPr>
                <w:rStyle w:val="Codevalue"/>
              </w:rPr>
              <w:t>"no"</w:t>
            </w:r>
            <w:r>
              <w:rPr>
                <w:rStyle w:val="Code"/>
              </w:rPr>
              <w:t>/&gt;</w:t>
            </w:r>
          </w:p>
        </w:tc>
      </w:tr>
      <w:tr>
        <w:trPr>
          <w:jc w:val="right"/>
        </w:trPr>
        <w:tc>
          <w:tcPr>
            <w:tcW w:w="288" w:type="dxa"/>
            <w:shd w:val="clear" w:color="auto" w:fill="C00000"/>
          </w:tcPr>
          <w:p>
            <w:pPr>
              <w:pStyle w:val="Tabletext"/>
              <w:jc w:val="center"/>
            </w:pPr>
            <w:r>
              <w:t>4</w:t>
            </w:r>
          </w:p>
        </w:tc>
        <w:tc>
          <w:tcPr>
            <w:tcW w:w="3402" w:type="dxa"/>
          </w:tcPr>
          <w:p>
            <w:pPr>
              <w:pStyle w:val="CodeParagraph"/>
              <w:keepNext/>
              <w:rPr>
                <w:rStyle w:val="Code"/>
              </w:rPr>
            </w:pPr>
            <w:r>
              <w:rPr>
                <w:rStyle w:val="Code"/>
              </w:rPr>
              <w:t xml:space="preserve">&lt;lb </w:t>
            </w:r>
            <w:r>
              <w:rPr>
                <w:rStyle w:val="Codeattribute"/>
              </w:rPr>
              <w:t>n</w:t>
            </w:r>
            <w:r>
              <w:rPr>
                <w:rStyle w:val="Code"/>
              </w:rPr>
              <w:t>=</w:t>
            </w:r>
            <w:r>
              <w:rPr>
                <w:rStyle w:val="Codevalue"/>
              </w:rPr>
              <w:t>"1"</w:t>
            </w:r>
            <w:r>
              <w:rPr>
                <w:rStyle w:val="Codeattribute"/>
              </w:rPr>
              <w:t>break</w:t>
            </w:r>
            <w:r>
              <w:rPr>
                <w:rStyle w:val="Code"/>
              </w:rPr>
              <w:t>=</w:t>
            </w:r>
            <w:r>
              <w:rPr>
                <w:rStyle w:val="Codevalue"/>
              </w:rPr>
              <w:t>"no"</w:t>
            </w:r>
            <w:r>
              <w:rPr>
                <w:rStyle w:val="Code"/>
              </w:rPr>
              <w:t>/&gt;</w:t>
            </w:r>
          </w:p>
        </w:tc>
      </w:tr>
      <w:tr>
        <w:trPr>
          <w:jc w:val="right"/>
        </w:trPr>
        <w:tc>
          <w:tcPr>
            <w:tcW w:w="288" w:type="dxa"/>
            <w:shd w:val="clear" w:color="auto" w:fill="C00000"/>
          </w:tcPr>
          <w:p>
            <w:pPr>
              <w:pStyle w:val="Tabletext"/>
              <w:jc w:val="center"/>
            </w:pPr>
            <w:r>
              <w:t>5</w:t>
            </w:r>
          </w:p>
        </w:tc>
        <w:tc>
          <w:tcPr>
            <w:tcW w:w="3402" w:type="dxa"/>
          </w:tcPr>
          <w:p>
            <w:pPr>
              <w:pStyle w:val="CodeParagraph"/>
              <w:keepNext/>
              <w:rPr>
                <w:rStyle w:val="Code"/>
              </w:rPr>
            </w:pPr>
            <w:r>
              <w:rPr>
                <w:rStyle w:val="Code"/>
              </w:rPr>
              <w:t xml:space="preserve">&lt;lb </w:t>
            </w:r>
            <w:r>
              <w:rPr>
                <w:rStyle w:val="Codeattribute"/>
              </w:rPr>
              <w:t>n</w:t>
            </w:r>
            <w:r>
              <w:rPr>
                <w:rStyle w:val="Code"/>
              </w:rPr>
              <w:t>=</w:t>
            </w:r>
            <w:r>
              <w:rPr>
                <w:rStyle w:val="Codevalue"/>
              </w:rPr>
              <w:t>" 1"</w:t>
            </w:r>
            <w:r>
              <w:rPr>
                <w:rStyle w:val="Code"/>
              </w:rPr>
              <w:t xml:space="preserve"> </w:t>
            </w:r>
            <w:r>
              <w:rPr>
                <w:rStyle w:val="Codeattribute"/>
              </w:rPr>
              <w:t>break</w:t>
            </w:r>
            <w:r>
              <w:rPr>
                <w:rStyle w:val="Code"/>
              </w:rPr>
              <w:t>=</w:t>
            </w:r>
            <w:r>
              <w:rPr>
                <w:rStyle w:val="Codevalue"/>
              </w:rPr>
              <w:t>"no"</w:t>
            </w:r>
            <w:r>
              <w:rPr>
                <w:rStyle w:val="Code"/>
              </w:rPr>
              <w:t>/&gt;</w:t>
            </w:r>
          </w:p>
        </w:tc>
      </w:tr>
      <w:tr>
        <w:trPr>
          <w:jc w:val="right"/>
        </w:trPr>
        <w:tc>
          <w:tcPr>
            <w:tcW w:w="288" w:type="dxa"/>
            <w:shd w:val="clear" w:color="auto" w:fill="C00000"/>
          </w:tcPr>
          <w:p>
            <w:pPr>
              <w:pStyle w:val="Tabletext"/>
              <w:jc w:val="center"/>
            </w:pPr>
            <w:r>
              <w:t>6</w:t>
            </w:r>
          </w:p>
        </w:tc>
        <w:tc>
          <w:tcPr>
            <w:tcW w:w="3402" w:type="dxa"/>
          </w:tcPr>
          <w:p>
            <w:pPr>
              <w:pStyle w:val="CodeParagraph"/>
              <w:keepNext/>
              <w:rPr>
                <w:rStyle w:val="Code"/>
              </w:rPr>
            </w:pPr>
            <w:r>
              <w:rPr>
                <w:rStyle w:val="Code"/>
              </w:rPr>
              <w:t xml:space="preserve">&lt;lb </w:t>
            </w:r>
            <w:r>
              <w:rPr>
                <w:rStyle w:val="Codeattribute"/>
              </w:rPr>
              <w:t>n</w:t>
            </w:r>
            <w:r>
              <w:rPr>
                <w:rStyle w:val="Code"/>
              </w:rPr>
              <w:t>=</w:t>
            </w:r>
            <w:r>
              <w:rPr>
                <w:rStyle w:val="Codevalue"/>
              </w:rPr>
              <w:t>"1"</w:t>
            </w:r>
            <w:r>
              <w:rPr>
                <w:rStyle w:val="Code"/>
              </w:rPr>
              <w:t xml:space="preserve"> </w:t>
            </w:r>
            <w:r>
              <w:rPr>
                <w:rStyle w:val="Codeattribute"/>
              </w:rPr>
              <w:t>break</w:t>
            </w:r>
            <w:r>
              <w:rPr>
                <w:rStyle w:val="Code"/>
              </w:rPr>
              <w:t>=</w:t>
            </w:r>
            <w:r>
              <w:rPr>
                <w:rStyle w:val="Codevalue"/>
              </w:rPr>
              <w:t>"no "</w:t>
            </w:r>
            <w:r>
              <w:rPr>
                <w:rStyle w:val="Code"/>
              </w:rPr>
              <w:t>/&gt;</w:t>
            </w:r>
          </w:p>
        </w:tc>
      </w:tr>
    </w:tbl>
    <w:p>
      <w:pPr>
        <w:pStyle w:val="Lista"/>
      </w:pPr>
      <w:r>
        <w:t>white space inside XML tags is as generally insignificant</w:t>
      </w:r>
    </w:p>
    <w:p>
      <w:pPr>
        <w:pStyle w:val="Lista2"/>
      </w:pPr>
      <w:r>
        <w:t xml:space="preserve">thus, rows 1 through 3 in </w:t>
      </w:r>
      <w:r>
        <w:fldChar w:fldCharType="begin"/>
      </w:r>
      <w:r>
        <w:instrText xml:space="preserve"> REF _Ref242975031 \h </w:instrText>
      </w:r>
      <w:r>
        <w:fldChar w:fldCharType="separate"/>
      </w:r>
      <w:r>
        <w:t xml:space="preserve">Exhibit </w:t>
      </w:r>
      <w:r>
        <w:rPr>
          <w:noProof/>
        </w:rPr>
        <w:t>16.1</w:t>
      </w:r>
      <w:r>
        <w:t>.</w:t>
      </w:r>
      <w:r>
        <w:rPr>
          <w:noProof/>
        </w:rPr>
        <w:t>A</w:t>
      </w:r>
      <w:r>
        <w:fldChar w:fldCharType="end"/>
      </w:r>
      <w:r>
        <w:t xml:space="preserve"> are equivalent</w:t>
      </w:r>
    </w:p>
    <w:p>
      <w:pPr>
        <w:pStyle w:val="Lista2"/>
      </w:pPr>
      <w:r>
        <w:t xml:space="preserve">some form of white space must, however, be present before all attribute names, so the code in row 4 of </w:t>
      </w:r>
      <w:r>
        <w:fldChar w:fldCharType="begin"/>
      </w:r>
      <w:r>
        <w:instrText xml:space="preserve"> REF _Ref242975031 \h </w:instrText>
      </w:r>
      <w:r>
        <w:fldChar w:fldCharType="separate"/>
      </w:r>
      <w:r>
        <w:t xml:space="preserve">Exhibit </w:t>
      </w:r>
      <w:r>
        <w:rPr>
          <w:noProof/>
        </w:rPr>
        <w:t>16.1</w:t>
      </w:r>
      <w:r>
        <w:t>.</w:t>
      </w:r>
      <w:r>
        <w:rPr>
          <w:noProof/>
        </w:rPr>
        <w:t>A</w:t>
      </w:r>
      <w:r>
        <w:fldChar w:fldCharType="end"/>
      </w:r>
      <w:r>
        <w:t xml:space="preserve"> is not equivalent to those above: it is incorrect XML because it has no space before the second attribute</w:t>
      </w:r>
    </w:p>
    <w:p>
      <w:pPr>
        <w:pStyle w:val="Lista2"/>
      </w:pPr>
      <w:r>
        <w:t xml:space="preserve">white space within attribute values is significant, so the code in rows 5 and 6 of </w:t>
      </w:r>
      <w:r>
        <w:fldChar w:fldCharType="begin"/>
      </w:r>
      <w:r>
        <w:instrText xml:space="preserve"> REF _Ref242975031 \h </w:instrText>
      </w:r>
      <w:r>
        <w:fldChar w:fldCharType="separate"/>
      </w:r>
      <w:r>
        <w:t xml:space="preserve">Exhibit </w:t>
      </w:r>
      <w:r>
        <w:rPr>
          <w:noProof/>
        </w:rPr>
        <w:t>16.1</w:t>
      </w:r>
      <w:r>
        <w:t>.</w:t>
      </w:r>
      <w:r>
        <w:rPr>
          <w:noProof/>
        </w:rPr>
        <w:t>A</w:t>
      </w:r>
      <w:r>
        <w:fldChar w:fldCharType="end"/>
      </w:r>
      <w:r>
        <w:t xml:space="preserve"> are also not equivalent to those above</w:t>
      </w:r>
    </w:p>
    <w:p>
      <w:pPr>
        <w:pStyle w:val="Lista3"/>
      </w:pPr>
      <w:r>
        <w:t xml:space="preserve">the value </w:t>
      </w:r>
      <w:r>
        <w:rPr>
          <w:rStyle w:val="Codevalue"/>
        </w:rPr>
        <w:t>" 1"</w:t>
      </w:r>
      <w:r>
        <w:t xml:space="preserve"> in row 5 begins with a space, which is valid, but different from </w:t>
      </w:r>
      <w:r>
        <w:rPr>
          <w:rStyle w:val="Codevalue"/>
        </w:rPr>
        <w:t>"1"</w:t>
      </w:r>
    </w:p>
    <w:p>
      <w:pPr>
        <w:pStyle w:val="Lista3"/>
      </w:pPr>
      <w:r>
        <w:t xml:space="preserve">the value </w:t>
      </w:r>
      <w:r>
        <w:rPr>
          <w:rStyle w:val="Codevalue"/>
        </w:rPr>
        <w:t>"no "</w:t>
      </w:r>
      <w:r>
        <w:t xml:space="preserve"> in row 6 has a space at the end, which is not meaningful in TEI</w:t>
      </w:r>
    </w:p>
    <w:tbl>
      <w:tblPr>
        <w:tblStyle w:val="CodeSampleTable"/>
        <w:tblpPr w:leftFromText="180" w:rightFromText="180" w:vertAnchor="text" w:tblpXSpec="right" w:tblpY="1"/>
        <w:tblOverlap w:val="never"/>
        <w:tblW w:w="4536" w:type="dxa"/>
        <w:jc w:val="right"/>
        <w:tblLook w:val="04A0" w:firstRow="1" w:lastRow="0" w:firstColumn="1" w:lastColumn="0" w:noHBand="0" w:noVBand="1"/>
      </w:tblPr>
      <w:tblGrid>
        <w:gridCol w:w="284"/>
        <w:gridCol w:w="4252"/>
      </w:tblGrid>
      <w:tr>
        <w:trPr>
          <w:cnfStyle w:val="100000000000" w:firstRow="1" w:lastRow="0" w:firstColumn="0" w:lastColumn="0" w:oddVBand="0" w:evenVBand="0" w:oddHBand="0" w:evenHBand="0" w:firstRowFirstColumn="0" w:firstRowLastColumn="0" w:lastRowFirstColumn="0" w:lastRowLastColumn="0"/>
          <w:jc w:val="right"/>
        </w:trPr>
        <w:tc>
          <w:tcPr>
            <w:tcW w:w="4536" w:type="dxa"/>
            <w:gridSpan w:val="2"/>
          </w:tcPr>
          <w:p>
            <w:pPr>
              <w:pStyle w:val="Kpalrs"/>
            </w:pPr>
            <w:bookmarkStart w:id="1000" w:name="_Ref242975596"/>
            <w:r>
              <w:t xml:space="preserve">Exhibit </w:t>
            </w:r>
            <w:r>
              <w:fldChar w:fldCharType="begin"/>
            </w:r>
            <w:r>
              <w:instrText xml:space="preserve"> STYLEREF 2 \s </w:instrText>
            </w:r>
            <w:r>
              <w:fldChar w:fldCharType="separate"/>
            </w:r>
            <w:r>
              <w:rPr>
                <w:noProof/>
              </w:rPr>
              <w:t>16.1</w:t>
            </w:r>
            <w:r>
              <w:rPr>
                <w:noProof/>
              </w:rPr>
              <w:fldChar w:fldCharType="end"/>
            </w:r>
            <w:r>
              <w:t>.</w:t>
            </w:r>
            <w:r>
              <w:fldChar w:fldCharType="begin"/>
            </w:r>
            <w:r>
              <w:instrText xml:space="preserve"> SEQ Exhibit \* ALPHABETIC \s 2 </w:instrText>
            </w:r>
            <w:r>
              <w:fldChar w:fldCharType="separate"/>
            </w:r>
            <w:r>
              <w:rPr>
                <w:noProof/>
              </w:rPr>
              <w:t>B</w:t>
            </w:r>
            <w:r>
              <w:rPr>
                <w:noProof/>
              </w:rPr>
              <w:fldChar w:fldCharType="end"/>
            </w:r>
            <w:bookmarkEnd w:id="1000"/>
            <w:r>
              <w:t>: white space</w:t>
            </w:r>
            <w:r>
              <w:t xml:space="preserve"> in elements without text</w:t>
            </w:r>
          </w:p>
        </w:tc>
      </w:tr>
      <w:tr>
        <w:trPr>
          <w:jc w:val="right"/>
        </w:trPr>
        <w:tc>
          <w:tcPr>
            <w:tcW w:w="284" w:type="dxa"/>
            <w:shd w:val="clear" w:color="auto" w:fill="92D050"/>
          </w:tcPr>
          <w:p>
            <w:pPr>
              <w:pStyle w:val="Tabletext"/>
              <w:jc w:val="center"/>
            </w:pPr>
            <w:r>
              <w:t>1</w:t>
            </w:r>
          </w:p>
        </w:tc>
        <w:tc>
          <w:tcPr>
            <w:tcW w:w="4182" w:type="dxa"/>
          </w:tcPr>
          <w:p>
            <w:pPr>
              <w:pStyle w:val="CodeParagraph"/>
              <w:keepNext/>
            </w:pPr>
            <w:r>
              <w:rPr>
                <w:rStyle w:val="Code"/>
              </w:rPr>
              <w:t xml:space="preserve">&lt;p&gt;&lt;lb </w:t>
            </w:r>
            <w:r>
              <w:rPr>
                <w:rStyle w:val="Codeattribute"/>
              </w:rPr>
              <w:t>n</w:t>
            </w:r>
            <w:r>
              <w:rPr>
                <w:rStyle w:val="Code"/>
              </w:rPr>
              <w:t>=</w:t>
            </w:r>
            <w:r>
              <w:rPr>
                <w:rStyle w:val="Codevalue"/>
              </w:rPr>
              <w:t>"1"</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/&gt;&lt;/p&gt;</w:t>
            </w:r>
          </w:p>
        </w:tc>
      </w:tr>
      <w:tr>
        <w:trPr>
          <w:jc w:val="right"/>
        </w:trPr>
        <w:tc>
          <w:tcPr>
            <w:tcW w:w="284" w:type="dxa"/>
            <w:shd w:val="clear" w:color="auto" w:fill="92D050"/>
          </w:tcPr>
          <w:p>
            <w:pPr>
              <w:pStyle w:val="Tabletext"/>
              <w:jc w:val="center"/>
            </w:pPr>
            <w:r>
              <w:t>2</w:t>
            </w:r>
          </w:p>
        </w:tc>
        <w:tc>
          <w:tcPr>
            <w:tcW w:w="4182" w:type="dxa"/>
          </w:tcPr>
          <w:p>
            <w:pPr>
              <w:pStyle w:val="CodeParagraph"/>
              <w:keepNext/>
              <w:rPr>
                <w:rStyle w:val="Code"/>
              </w:rPr>
            </w:pPr>
            <w:r>
              <w:rPr>
                <w:rStyle w:val="Code"/>
              </w:rPr>
              <w:t xml:space="preserve">&lt;p&gt; &lt;lb </w:t>
            </w:r>
            <w:r>
              <w:rPr>
                <w:rStyle w:val="Codeattribute"/>
              </w:rPr>
              <w:t>n</w:t>
            </w:r>
            <w:r>
              <w:rPr>
                <w:rStyle w:val="Code"/>
              </w:rPr>
              <w:t>=</w:t>
            </w:r>
            <w:r>
              <w:rPr>
                <w:rStyle w:val="Codevalue"/>
              </w:rPr>
              <w:t>"1"</w:t>
            </w:r>
            <w:r>
              <w:rPr>
                <w:rStyle w:val="Code"/>
              </w:rPr>
              <w:t xml:space="preserve">/&gt;      &lt;gap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/&gt;   &lt;/p&gt;</w:t>
            </w:r>
          </w:p>
        </w:tc>
      </w:tr>
      <w:tr>
        <w:trPr>
          <w:jc w:val="right"/>
        </w:trPr>
        <w:tc>
          <w:tcPr>
            <w:tcW w:w="284" w:type="dxa"/>
            <w:shd w:val="clear" w:color="auto" w:fill="92D050"/>
          </w:tcPr>
          <w:p>
            <w:pPr>
              <w:pStyle w:val="Tabletext"/>
              <w:jc w:val="center"/>
            </w:pPr>
            <w:r>
              <w:t>3</w:t>
            </w:r>
          </w:p>
        </w:tc>
        <w:tc>
          <w:tcPr>
            <w:tcW w:w="4182" w:type="dxa"/>
          </w:tcPr>
          <w:p>
            <w:pPr>
              <w:pStyle w:val="CodeParagraph"/>
              <w:keepNext/>
              <w:rPr>
                <w:rStyle w:val="Code"/>
              </w:rPr>
            </w:pPr>
            <w:r>
              <w:rPr>
                <w:rStyle w:val="Code"/>
              </w:rPr>
              <w:t>&lt;p&gt;</w:t>
            </w:r>
            <w:r>
              <w:rPr>
                <w:rStyle w:val="Code"/>
              </w:rPr>
              <w:br/>
              <w:t xml:space="preserve">&lt;lb </w:t>
            </w:r>
            <w:r>
              <w:rPr>
                <w:rStyle w:val="Codeattribute"/>
              </w:rPr>
              <w:t>n</w:t>
            </w:r>
            <w:r>
              <w:rPr>
                <w:rStyle w:val="Code"/>
              </w:rPr>
              <w:t>=</w:t>
            </w:r>
            <w:r>
              <w:rPr>
                <w:rStyle w:val="Codevalue"/>
              </w:rPr>
              <w:t>"1"</w:t>
            </w:r>
            <w:r>
              <w:rPr>
                <w:rStyle w:val="Code"/>
              </w:rPr>
              <w:t>/&gt;</w:t>
            </w:r>
            <w:r>
              <w:rPr>
                <w:rStyle w:val="Code"/>
              </w:rPr>
              <w:b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/&gt;</w:t>
            </w:r>
            <w:r>
              <w:rPr>
                <w:rStyle w:val="Code"/>
              </w:rPr>
              <w:br/>
              <w:t>&lt;/p&gt;</w:t>
            </w:r>
          </w:p>
        </w:tc>
      </w:tr>
    </w:tbl>
    <w:p>
      <w:pPr>
        <w:pStyle w:val="Lista"/>
      </w:pPr>
      <w:r>
        <w:t>when an element contains only other elements and white space, this space is as a rule insignificant</w:t>
      </w:r>
    </w:p>
    <w:p>
      <w:pPr>
        <w:pStyle w:val="Lista2"/>
      </w:pPr>
      <w:r>
        <w:t xml:space="preserve">thus, each of the rows in </w:t>
      </w:r>
      <w:r>
        <w:fldChar w:fldCharType="begin"/>
      </w:r>
      <w:r>
        <w:instrText xml:space="preserve"> REF _Ref242975596 \h </w:instrText>
      </w:r>
      <w:r>
        <w:fldChar w:fldCharType="separate"/>
      </w:r>
      <w:r>
        <w:t xml:space="preserve">Exhibit </w:t>
      </w:r>
      <w:r>
        <w:rPr>
          <w:noProof/>
        </w:rPr>
        <w:t>16.1</w:t>
      </w:r>
      <w:r>
        <w:t>.</w:t>
      </w:r>
      <w:r>
        <w:rPr>
          <w:noProof/>
        </w:rPr>
        <w:t>B</w:t>
      </w:r>
      <w:r>
        <w:fldChar w:fldCharType="end"/>
      </w:r>
      <w:r>
        <w:t xml:space="preserve"> perfectly equivalent</w:t>
      </w:r>
    </w:p>
    <w:p>
      <w:pPr>
        <w:pStyle w:val="Lista"/>
      </w:pPr>
      <w:r>
        <w:t>the handling of white space within text-containing elements is a complex matter controlled by the software processing and transforming the XML document; for our purposes</w:t>
      </w:r>
    </w:p>
    <w:p>
      <w:pPr>
        <w:pStyle w:val="Lista2"/>
      </w:pPr>
      <w:r>
        <w:t xml:space="preserve">in general, white space in content is significant, but it is </w:t>
      </w:r>
      <w:r>
        <w:rPr>
          <w:rStyle w:val="Foreign"/>
        </w:rPr>
        <w:t>collapsed</w:t>
      </w:r>
      <w:r>
        <w:t xml:space="preserve"> and </w:t>
      </w:r>
      <w:r>
        <w:rPr>
          <w:rStyle w:val="Foreign"/>
        </w:rPr>
        <w:t>trimmed</w:t>
      </w:r>
      <w:r>
        <w:t xml:space="preserve"> in the course of processing</w:t>
      </w:r>
    </w:p>
    <w:tbl>
      <w:tblPr>
        <w:tblStyle w:val="CodeSampleTable"/>
        <w:tblpPr w:leftFromText="180" w:rightFromText="180" w:vertAnchor="text" w:tblpXSpec="right" w:tblpY="1"/>
        <w:tblOverlap w:val="never"/>
        <w:tblW w:w="4536" w:type="dxa"/>
        <w:jc w:val="right"/>
        <w:tblLook w:val="04A0" w:firstRow="1" w:lastRow="0" w:firstColumn="1" w:lastColumn="0" w:noHBand="0" w:noVBand="1"/>
      </w:tblPr>
      <w:tblGrid>
        <w:gridCol w:w="284"/>
        <w:gridCol w:w="4252"/>
      </w:tblGrid>
      <w:tr>
        <w:trPr>
          <w:cnfStyle w:val="100000000000" w:firstRow="1" w:lastRow="0" w:firstColumn="0" w:lastColumn="0" w:oddVBand="0" w:evenVBand="0" w:oddHBand="0" w:evenHBand="0" w:firstRowFirstColumn="0" w:firstRowLastColumn="0" w:lastRowFirstColumn="0" w:lastRowLastColumn="0"/>
          <w:jc w:val="right"/>
        </w:trPr>
        <w:tc>
          <w:tcPr>
            <w:tcW w:w="4536" w:type="dxa"/>
            <w:gridSpan w:val="2"/>
          </w:tcPr>
          <w:p>
            <w:pPr>
              <w:pStyle w:val="Kpalrs"/>
            </w:pPr>
            <w:bookmarkStart w:id="1001" w:name="_Ref242975692"/>
            <w:r>
              <w:t xml:space="preserve">Exhibit </w:t>
            </w:r>
            <w:r>
              <w:fldChar w:fldCharType="begin"/>
            </w:r>
            <w:r>
              <w:instrText xml:space="preserve"> STYLEREF 2 \s </w:instrText>
            </w:r>
            <w:r>
              <w:fldChar w:fldCharType="separate"/>
            </w:r>
            <w:r>
              <w:rPr>
                <w:noProof/>
              </w:rPr>
              <w:t>16.1</w:t>
            </w:r>
            <w:r>
              <w:rPr>
                <w:noProof/>
              </w:rPr>
              <w:fldChar w:fldCharType="end"/>
            </w:r>
            <w:r>
              <w:t>.</w:t>
            </w:r>
            <w:r>
              <w:fldChar w:fldCharType="begin"/>
            </w:r>
            <w:r>
              <w:instrText xml:space="preserve"> SEQ Exhibit \* ALPHABETIC \s 2 </w:instrText>
            </w:r>
            <w:r>
              <w:fldChar w:fldCharType="separate"/>
            </w:r>
            <w:r>
              <w:rPr>
                <w:noProof/>
              </w:rPr>
              <w:t>C</w:t>
            </w:r>
            <w:r>
              <w:rPr>
                <w:noProof/>
              </w:rPr>
              <w:fldChar w:fldCharType="end"/>
            </w:r>
            <w:bookmarkEnd w:id="1001"/>
            <w:r>
              <w:t>: white space in elements with text</w:t>
            </w:r>
          </w:p>
        </w:tc>
      </w:tr>
      <w:tr>
        <w:trPr>
          <w:jc w:val="right"/>
        </w:trPr>
        <w:tc>
          <w:tcPr>
            <w:tcW w:w="284" w:type="dxa"/>
            <w:shd w:val="clear" w:color="auto" w:fill="92D050"/>
          </w:tcPr>
          <w:p>
            <w:pPr>
              <w:pStyle w:val="Tabletext"/>
              <w:jc w:val="center"/>
            </w:pPr>
            <w:r>
              <w:t>1</w:t>
            </w:r>
          </w:p>
        </w:tc>
        <w:tc>
          <w:tcPr>
            <w:tcW w:w="4182" w:type="dxa"/>
          </w:tcPr>
          <w:p>
            <w:pPr>
              <w:pStyle w:val="CodeParagraph"/>
              <w:keepNext/>
            </w:pPr>
            <w:r>
              <w:rPr>
                <w:rStyle w:val="Code"/>
              </w:rPr>
              <w:t>&lt;p&gt;</w:t>
            </w:r>
            <w:r>
              <w:rPr>
                <w:rStyle w:val="Codetext"/>
              </w:rPr>
              <w:t>In a hole in the ground there lived a hobbit.</w:t>
            </w:r>
            <w:r>
              <w:rPr>
                <w:rStyle w:val="Code"/>
              </w:rPr>
              <w:t>&lt;/p&gt;</w:t>
            </w:r>
          </w:p>
        </w:tc>
      </w:tr>
      <w:tr>
        <w:trPr>
          <w:jc w:val="right"/>
        </w:trPr>
        <w:tc>
          <w:tcPr>
            <w:tcW w:w="284" w:type="dxa"/>
            <w:shd w:val="clear" w:color="auto" w:fill="92D050"/>
          </w:tcPr>
          <w:p>
            <w:pPr>
              <w:pStyle w:val="Tabletext"/>
              <w:jc w:val="center"/>
            </w:pPr>
            <w:r>
              <w:t>2</w:t>
            </w:r>
          </w:p>
        </w:tc>
        <w:tc>
          <w:tcPr>
            <w:tcW w:w="4182" w:type="dxa"/>
          </w:tcPr>
          <w:p>
            <w:pPr>
              <w:pStyle w:val="CodeParagraph"/>
              <w:keepNext/>
              <w:rPr>
                <w:rStyle w:val="Code"/>
              </w:rPr>
            </w:pPr>
            <w:r>
              <w:rPr>
                <w:rStyle w:val="Code"/>
              </w:rPr>
              <w:t xml:space="preserve">&lt;p&gt; </w:t>
            </w:r>
            <w:r>
              <w:rPr>
                <w:rStyle w:val="Codetext"/>
              </w:rPr>
              <w:t xml:space="preserve">In   a hole in the ground there lived a hobbit.  </w:t>
            </w:r>
            <w:r>
              <w:rPr>
                <w:rStyle w:val="Code"/>
              </w:rPr>
              <w:t>&lt;/p&gt;</w:t>
            </w:r>
          </w:p>
        </w:tc>
      </w:tr>
      <w:tr>
        <w:trPr>
          <w:jc w:val="right"/>
        </w:trPr>
        <w:tc>
          <w:tcPr>
            <w:tcW w:w="284" w:type="dxa"/>
            <w:shd w:val="clear" w:color="auto" w:fill="92D050"/>
          </w:tcPr>
          <w:p>
            <w:pPr>
              <w:pStyle w:val="Tabletext"/>
              <w:jc w:val="center"/>
            </w:pPr>
            <w:r>
              <w:t>3</w:t>
            </w:r>
          </w:p>
        </w:tc>
        <w:tc>
          <w:tcPr>
            <w:tcW w:w="4182" w:type="dxa"/>
          </w:tcPr>
          <w:p>
            <w:pPr>
              <w:pStyle w:val="CodeParagraph"/>
              <w:keepNext/>
              <w:rPr>
                <w:rStyle w:val="Code"/>
              </w:rPr>
            </w:pPr>
            <w:r>
              <w:rPr>
                <w:rStyle w:val="Code"/>
              </w:rPr>
              <w:t>&lt;p&gt;</w:t>
            </w:r>
            <w:r>
              <w:rPr>
                <w:rStyle w:val="Code"/>
              </w:rPr>
              <w:br/>
            </w:r>
            <w:r>
              <w:rPr>
                <w:rStyle w:val="Codetext"/>
              </w:rPr>
              <w:t xml:space="preserve">In a hole in the ground </w:t>
            </w:r>
            <w:r>
              <w:rPr>
                <w:rStyle w:val="Codetext"/>
              </w:rPr>
              <w:br/>
              <w:t>there lived a hobbit.</w:t>
            </w:r>
            <w:r>
              <w:rPr>
                <w:rStyle w:val="Codetext"/>
              </w:rPr>
              <w:br/>
            </w:r>
            <w:r>
              <w:rPr>
                <w:rStyle w:val="Code"/>
              </w:rPr>
              <w:t>&lt;/p&gt;</w:t>
            </w:r>
          </w:p>
        </w:tc>
      </w:tr>
    </w:tbl>
    <w:p>
      <w:pPr>
        <w:pStyle w:val="Lista3"/>
      </w:pPr>
      <w:r>
        <w:t>collapsing means that any type and quantity of white space is reduced to a single space character</w:t>
      </w:r>
    </w:p>
    <w:p>
      <w:pPr>
        <w:pStyle w:val="Lista3"/>
      </w:pPr>
      <w:r>
        <w:t>trimming means that space is stripped from the beginning and end of the text content of an element</w:t>
      </w:r>
    </w:p>
    <w:p>
      <w:pPr>
        <w:pStyle w:val="Lista2"/>
      </w:pPr>
      <w:r>
        <w:t xml:space="preserve">thus, each of the rows of </w:t>
      </w:r>
      <w:r>
        <w:fldChar w:fldCharType="begin"/>
      </w:r>
      <w:r>
        <w:instrText xml:space="preserve"> REF _Ref242975692 \h </w:instrText>
      </w:r>
      <w:r>
        <w:fldChar w:fldCharType="separate"/>
      </w:r>
      <w:r>
        <w:t xml:space="preserve">Exhibit </w:t>
      </w:r>
      <w:r>
        <w:rPr>
          <w:noProof/>
        </w:rPr>
        <w:t>16.1</w:t>
      </w:r>
      <w:r>
        <w:t>.</w:t>
      </w:r>
      <w:r>
        <w:rPr>
          <w:noProof/>
        </w:rPr>
        <w:t>C</w:t>
      </w:r>
      <w:r>
        <w:fldChar w:fldCharType="end"/>
      </w:r>
      <w:r>
        <w:t xml:space="preserve"> will normally produce the same transformed text</w:t>
      </w:r>
    </w:p>
    <w:p>
      <w:pPr>
        <w:pStyle w:val="Lista2"/>
      </w:pPr>
      <w:r>
        <w:t xml:space="preserve">moreover, the transformed text generated from </w:t>
      </w:r>
      <w:r>
        <w:rPr>
          <w:rStyle w:val="Code"/>
        </w:rPr>
        <w:t xml:space="preserve">&lt;p&gt;&lt;lb </w:t>
      </w:r>
      <w:r>
        <w:rPr>
          <w:rStyle w:val="Codeattribute"/>
        </w:rPr>
        <w:t>n</w:t>
      </w:r>
      <w:r>
        <w:rPr>
          <w:rStyle w:val="Code"/>
        </w:rPr>
        <w:t>=</w:t>
      </w:r>
      <w:r>
        <w:rPr>
          <w:rStyle w:val="Codevalue"/>
        </w:rPr>
        <w:t>"1"</w:t>
      </w:r>
      <w:r>
        <w:rPr>
          <w:rStyle w:val="Code"/>
        </w:rPr>
        <w:t>/&gt;</w:t>
      </w:r>
      <w:r>
        <w:rPr>
          <w:rStyle w:val="Codetext"/>
        </w:rPr>
        <w:t xml:space="preserve">In a </w:t>
      </w:r>
      <w:r>
        <w:rPr>
          <w:rStyle w:val="Code"/>
        </w:rPr>
        <w:t>&lt;unclear&gt;</w:t>
      </w:r>
      <w:r>
        <w:rPr>
          <w:rStyle w:val="Codetext"/>
        </w:rPr>
        <w:t>hole</w:t>
      </w:r>
      <w:r>
        <w:rPr>
          <w:rStyle w:val="Code"/>
        </w:rPr>
        <w:t>&lt;/unclear&gt;</w:t>
      </w:r>
      <w:r>
        <w:rPr>
          <w:rStyle w:val="Codetext"/>
        </w:rPr>
        <w:t xml:space="preserve"> </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i</w:t>
      </w:r>
      <w:r>
        <w:rPr>
          <w:rStyle w:val="Code"/>
        </w:rPr>
        <w:t>&lt;/supplied&gt;</w:t>
      </w:r>
      <w:r>
        <w:rPr>
          <w:rStyle w:val="Codetext"/>
        </w:rPr>
        <w:t>n the ground there lived a hobbit</w:t>
      </w:r>
      <w:r>
        <w:rPr>
          <w:rStyle w:val="Code"/>
        </w:rPr>
        <w:t xml:space="preserve">&lt;g </w:t>
      </w:r>
      <w:r>
        <w:rPr>
          <w:rStyle w:val="Codeattribute"/>
        </w:rPr>
        <w:t>ref</w:t>
      </w:r>
      <w:r>
        <w:rPr>
          <w:rStyle w:val="Code"/>
        </w:rPr>
        <w:t>=</w:t>
      </w:r>
      <w:r>
        <w:rPr>
          <w:rStyle w:val="Codevalue"/>
        </w:rPr>
        <w:t>"sym:floret"</w:t>
      </w:r>
      <w:r>
        <w:rPr>
          <w:rStyle w:val="Code"/>
        </w:rPr>
        <w:t>/&gt;</w:t>
      </w:r>
      <w:r>
        <w:rPr>
          <w:rStyle w:val="Codetext"/>
        </w:rPr>
        <w:t>*</w:t>
      </w:r>
      <w:r>
        <w:rPr>
          <w:rStyle w:val="Code"/>
        </w:rPr>
        <w:t>&lt;/g&gt;&lt;/p&gt;</w:t>
      </w:r>
      <w:r>
        <w:t xml:space="preserve"> will normally not be affected by any of the following alterations:</w:t>
      </w:r>
    </w:p>
    <w:p>
      <w:pPr>
        <w:pStyle w:val="Lista3"/>
      </w:pPr>
      <w:r>
        <w:rPr>
          <w:rStyle w:val="Code"/>
        </w:rPr>
        <w:t xml:space="preserve">... &lt;unclear&gt;  </w:t>
      </w:r>
      <w:r>
        <w:rPr>
          <w:rStyle w:val="Codetext"/>
        </w:rPr>
        <w:t xml:space="preserve">hole </w:t>
      </w:r>
      <w:r>
        <w:rPr>
          <w:rStyle w:val="Code"/>
        </w:rPr>
        <w:t>&lt;/unclear&gt;</w:t>
      </w:r>
      <w:r>
        <w:rPr>
          <w:rStyle w:val="Codetext"/>
        </w:rPr>
        <w:t xml:space="preserve"> ...</w:t>
      </w:r>
    </w:p>
    <w:p>
      <w:pPr>
        <w:pStyle w:val="Lista4"/>
      </w:pPr>
      <w:r>
        <w:t xml:space="preserve">the space at the beginning and end of the text content of the </w:t>
      </w:r>
      <w:r>
        <w:rPr>
          <w:rStyle w:val="Code"/>
        </w:rPr>
        <w:t>&lt;unclear&gt;</w:t>
      </w:r>
      <w:r>
        <w:t xml:space="preserve"> element is trimmed</w:t>
      </w:r>
    </w:p>
    <w:p>
      <w:pPr>
        <w:pStyle w:val="Lista3"/>
      </w:pPr>
      <w:r>
        <w:rPr>
          <w:rStyle w:val="Code"/>
        </w:rPr>
        <w:t xml:space="preserve">...&lt;supplied </w:t>
      </w:r>
      <w:r>
        <w:rPr>
          <w:rStyle w:val="Codeattribute"/>
        </w:rPr>
        <w:t>reason</w:t>
      </w:r>
      <w:r>
        <w:rPr>
          <w:rStyle w:val="Code"/>
        </w:rPr>
        <w:t>=</w:t>
      </w:r>
      <w:r>
        <w:rPr>
          <w:rStyle w:val="Codevalue"/>
        </w:rPr>
        <w:t>"omitted"</w:t>
      </w:r>
      <w:r>
        <w:rPr>
          <w:rStyle w:val="Code"/>
        </w:rPr>
        <w:t xml:space="preserve">&gt; </w:t>
      </w:r>
      <w:r>
        <w:rPr>
          <w:rStyle w:val="Codetext"/>
        </w:rPr>
        <w:t xml:space="preserve">i </w:t>
      </w:r>
      <w:r>
        <w:rPr>
          <w:rStyle w:val="Code"/>
        </w:rPr>
        <w:t>&lt;/supplied&gt;</w:t>
      </w:r>
      <w:r>
        <w:rPr>
          <w:rStyle w:val="Codetext"/>
        </w:rPr>
        <w:t>n the...</w:t>
      </w:r>
    </w:p>
    <w:p>
      <w:pPr>
        <w:pStyle w:val="Lista4"/>
      </w:pPr>
      <w:r>
        <w:t xml:space="preserve">the space at the beginning and end of the text content of the </w:t>
      </w:r>
      <w:r>
        <w:rPr>
          <w:rStyle w:val="Code"/>
        </w:rPr>
        <w:t>&lt;supplied&gt;</w:t>
      </w:r>
      <w:r>
        <w:t xml:space="preserve"> element is trimmed</w:t>
      </w:r>
    </w:p>
    <w:p>
      <w:pPr>
        <w:pStyle w:val="Lista2"/>
      </w:pPr>
      <w:r>
        <w:t xml:space="preserve">however, each of the following alterations </w:t>
      </w:r>
      <w:r>
        <w:rPr>
          <w:b/>
          <w:bCs/>
        </w:rPr>
        <w:t>will</w:t>
      </w:r>
      <w:r>
        <w:t xml:space="preserve"> affect the output:</w:t>
      </w:r>
    </w:p>
    <w:p>
      <w:pPr>
        <w:pStyle w:val="Lista3"/>
      </w:pPr>
      <w:r>
        <w:rPr>
          <w:rStyle w:val="Code"/>
        </w:rPr>
        <w:t xml:space="preserve">&lt;p&gt;&lt;lb </w:t>
      </w:r>
      <w:r>
        <w:rPr>
          <w:rStyle w:val="Codeattribute"/>
        </w:rPr>
        <w:t>n</w:t>
      </w:r>
      <w:r>
        <w:rPr>
          <w:rStyle w:val="Code"/>
        </w:rPr>
        <w:t>=</w:t>
      </w:r>
      <w:r>
        <w:rPr>
          <w:rStyle w:val="Codevalue"/>
        </w:rPr>
        <w:t>"1"</w:t>
      </w:r>
      <w:r>
        <w:rPr>
          <w:rStyle w:val="Code"/>
        </w:rPr>
        <w:t xml:space="preserve">/&gt; </w:t>
      </w:r>
      <w:r>
        <w:rPr>
          <w:rStyle w:val="Codetext"/>
        </w:rPr>
        <w:t>In a …</w:t>
      </w:r>
    </w:p>
    <w:p>
      <w:pPr>
        <w:pStyle w:val="Lista4"/>
      </w:pPr>
      <w:r>
        <w:lastRenderedPageBreak/>
        <w:t xml:space="preserve">the space before “In” will not be trimmed as is not at the beginning of an element’s content (because </w:t>
      </w:r>
      <w:r>
        <w:rPr>
          <w:rStyle w:val="Code"/>
        </w:rPr>
        <w:t>&lt;lb/&gt;</w:t>
      </w:r>
      <w:r>
        <w:t xml:space="preserve"> is not a container, while the container </w:t>
      </w:r>
      <w:r>
        <w:rPr>
          <w:rStyle w:val="Code"/>
        </w:rPr>
        <w:t>&lt;p&gt;</w:t>
      </w:r>
      <w:r>
        <w:t xml:space="preserve">’s content begins with </w:t>
      </w:r>
      <w:r>
        <w:rPr>
          <w:rStyle w:val="Code"/>
        </w:rPr>
        <w:t>&lt;lb/&gt;</w:t>
      </w:r>
      <w:r>
        <w:t>, not with the space)</w:t>
      </w:r>
    </w:p>
    <w:p>
      <w:pPr>
        <w:pStyle w:val="Lista3"/>
      </w:pPr>
      <w:r>
        <w:rPr>
          <w:rStyle w:val="Code"/>
        </w:rPr>
        <w:t xml:space="preserve">&lt;p&gt;&lt;lb </w:t>
      </w:r>
      <w:r>
        <w:rPr>
          <w:rStyle w:val="Codeattribute"/>
        </w:rPr>
        <w:t>n</w:t>
      </w:r>
      <w:r>
        <w:rPr>
          <w:rStyle w:val="Code"/>
        </w:rPr>
        <w:t>=</w:t>
      </w:r>
      <w:r>
        <w:rPr>
          <w:rStyle w:val="Codevalue"/>
        </w:rPr>
        <w:t>"1"</w:t>
      </w:r>
      <w:r>
        <w:rPr>
          <w:rStyle w:val="Code"/>
        </w:rPr>
        <w:t>/&gt;</w:t>
      </w:r>
      <w:r>
        <w:rPr>
          <w:rStyle w:val="Codetext"/>
        </w:rPr>
        <w:t>In a</w:t>
      </w:r>
      <w:r>
        <w:rPr>
          <w:rStyle w:val="Code"/>
        </w:rPr>
        <w:t xml:space="preserve">&lt;unclear&gt; </w:t>
      </w:r>
      <w:r>
        <w:rPr>
          <w:rStyle w:val="Codetext"/>
        </w:rPr>
        <w:t>hole</w:t>
      </w:r>
      <w:r>
        <w:rPr>
          <w:rStyle w:val="Code"/>
        </w:rPr>
        <w:t>&lt;/unclear&gt;</w:t>
      </w:r>
    </w:p>
    <w:p>
      <w:pPr>
        <w:pStyle w:val="Lista4"/>
      </w:pPr>
      <w:r>
        <w:t xml:space="preserve">the space moved from a position after “a” to one before “hole” within </w:t>
      </w:r>
      <w:r>
        <w:rPr>
          <w:rStyle w:val="Code"/>
        </w:rPr>
        <w:t>&lt;unclear&gt;</w:t>
      </w:r>
      <w:r>
        <w:t xml:space="preserve"> will be trimmed, since it is now the first in that element</w:t>
      </w:r>
    </w:p>
    <w:p>
      <w:pPr>
        <w:pStyle w:val="Lista3"/>
      </w:pPr>
      <w:r>
        <w:rPr>
          <w:rStyle w:val="Code"/>
        </w:rPr>
        <w:t>...&lt;unclear&gt;</w:t>
      </w:r>
      <w:r>
        <w:rPr>
          <w:rStyle w:val="Codetext"/>
        </w:rPr>
        <w:t>hole</w:t>
      </w:r>
      <w:r>
        <w:rPr>
          <w:rStyle w:val="Code"/>
        </w:rPr>
        <w:t xml:space="preserve">&lt;/unclear&gt;&lt;supplied </w:t>
      </w:r>
      <w:r>
        <w:rPr>
          <w:rStyle w:val="Codeattribute"/>
        </w:rPr>
        <w:t>reason</w:t>
      </w:r>
      <w:r>
        <w:rPr>
          <w:rStyle w:val="Code"/>
        </w:rPr>
        <w:t>=</w:t>
      </w:r>
      <w:r>
        <w:rPr>
          <w:rStyle w:val="Codevalue"/>
        </w:rPr>
        <w:t>"omitted"</w:t>
      </w:r>
      <w:r>
        <w:rPr>
          <w:rStyle w:val="Code"/>
        </w:rPr>
        <w:t>&gt;</w:t>
      </w:r>
      <w:r>
        <w:rPr>
          <w:rStyle w:val="Codetext"/>
        </w:rPr>
        <w:t>i</w:t>
      </w:r>
      <w:r>
        <w:rPr>
          <w:rStyle w:val="Code"/>
        </w:rPr>
        <w:t>&lt;/supplied&gt;</w:t>
      </w:r>
      <w:r>
        <w:rPr>
          <w:rStyle w:val="Codetext"/>
        </w:rPr>
        <w:t>n the...</w:t>
      </w:r>
    </w:p>
    <w:p>
      <w:pPr>
        <w:pStyle w:val="Lista4"/>
      </w:pPr>
      <w:r>
        <w:t xml:space="preserve">the deleted space between </w:t>
      </w:r>
      <w:r>
        <w:rPr>
          <w:rStyle w:val="Code"/>
        </w:rPr>
        <w:t>&lt;/unclear&gt;</w:t>
      </w:r>
      <w:r>
        <w:t xml:space="preserve"> and </w:t>
      </w:r>
      <w:r>
        <w:rPr>
          <w:rStyle w:val="Code"/>
        </w:rPr>
        <w:t>&lt;supplied&gt;</w:t>
      </w:r>
      <w:r>
        <w:t xml:space="preserve"> will not be automatically added in processing</w:t>
      </w:r>
    </w:p>
    <w:p>
      <w:pPr>
        <w:pStyle w:val="Lista3"/>
      </w:pPr>
      <w:r>
        <w:rPr>
          <w:rStyle w:val="Codetext"/>
        </w:rPr>
        <w:t xml:space="preserve">... there lived a hobbit </w:t>
      </w:r>
      <w:r>
        <w:rPr>
          <w:rStyle w:val="Code"/>
        </w:rPr>
        <w:t xml:space="preserve">&lt;g </w:t>
      </w:r>
      <w:r>
        <w:rPr>
          <w:rStyle w:val="Codeattribute"/>
        </w:rPr>
        <w:t>ref</w:t>
      </w:r>
      <w:r>
        <w:rPr>
          <w:rStyle w:val="Code"/>
        </w:rPr>
        <w:t>=</w:t>
      </w:r>
      <w:r>
        <w:rPr>
          <w:rStyle w:val="Codevalue"/>
        </w:rPr>
        <w:t>"sym:floret"</w:t>
      </w:r>
      <w:r>
        <w:rPr>
          <w:rStyle w:val="Code"/>
        </w:rPr>
        <w:t>/&gt;</w:t>
      </w:r>
      <w:r>
        <w:rPr>
          <w:rStyle w:val="Codetext"/>
        </w:rPr>
        <w:t>*</w:t>
      </w:r>
      <w:r>
        <w:rPr>
          <w:rStyle w:val="Code"/>
        </w:rPr>
        <w:t>&lt;/g&gt;&lt;/p&gt;</w:t>
      </w:r>
    </w:p>
    <w:p>
      <w:pPr>
        <w:pStyle w:val="Lista4"/>
      </w:pPr>
      <w:r>
        <w:t>the added space after “hobbit” is not the last in the content of any element, so it will not be trimmed</w:t>
      </w:r>
    </w:p>
    <w:p>
      <w:pPr>
        <w:pStyle w:val="Cmsor2"/>
      </w:pPr>
      <w:bookmarkStart w:id="1002" w:name="_8hshbbqbehg5" w:colFirst="0" w:colLast="0"/>
      <w:bookmarkStart w:id="1003" w:name="_7ept2hrl5gak" w:colFirst="0" w:colLast="0"/>
      <w:bookmarkStart w:id="1004" w:name="_Ref43978660"/>
      <w:bookmarkEnd w:id="1002"/>
      <w:bookmarkEnd w:id="1003"/>
      <w:r>
        <w:t>Top to bottom hierarchy</w:t>
      </w:r>
      <w:bookmarkEnd w:id="1004"/>
    </w:p>
    <w:p>
      <w:pPr>
        <w:pStyle w:val="Lista"/>
      </w:pPr>
      <w:r>
        <w:t>while applying markup to encode various features, it is useful to keep in mind the rough hierarchy outlined below</w:t>
      </w:r>
    </w:p>
    <w:p>
      <w:pPr>
        <w:pStyle w:val="Lista2"/>
      </w:pPr>
      <w:r>
        <w:t>the tiers presented below comprise an arbitrary hierarchy practical for our purposes, which does not wholly coincide with the XML hierarchy of TEI documents in general</w:t>
      </w:r>
    </w:p>
    <w:p>
      <w:pPr>
        <w:pStyle w:val="Lista2"/>
      </w:pPr>
      <w:r>
        <w:t>any element of a particular tier may contain elements of a lower tier and in many cases also elements of the same tier, but may not contain elements of a higher tier</w:t>
      </w:r>
    </w:p>
    <w:p>
      <w:pPr>
        <w:pStyle w:val="Lista2"/>
      </w:pPr>
      <w:r>
        <w:t xml:space="preserve">in case of overlap, elements lower in the hierarchy must give way to higher-tier elements, i.e. the lower-tier element must be split into two parts across the boundary of the higher-tier element </w:t>
      </w:r>
      <w:r>
        <w:rPr>
          <w:noProof/>
        </w:rPr>
        <w:t>(</w:t>
      </w:r>
      <w:r>
        <w:t>examples below)</w:t>
      </w:r>
    </w:p>
    <w:p>
      <w:pPr>
        <w:pStyle w:val="Cmsor3"/>
      </w:pPr>
      <w:bookmarkStart w:id="1005" w:name="_oo0c5sndse6h" w:colFirst="0" w:colLast="0"/>
      <w:bookmarkStart w:id="1006" w:name="_Ref43979443"/>
      <w:bookmarkStart w:id="1007" w:name="_Toc242976737"/>
      <w:bookmarkEnd w:id="1005"/>
      <w:r>
        <w:t>Tier 1, block-level elements representing XML structure and extrinsic structure</w:t>
      </w:r>
      <w:bookmarkEnd w:id="1006"/>
      <w:bookmarkEnd w:id="1007"/>
    </w:p>
    <w:p>
      <w:pPr>
        <w:pStyle w:val="Lista"/>
      </w:pPr>
      <w:r>
        <w:t xml:space="preserve">text divisions: the edition </w:t>
      </w:r>
      <w:r>
        <w:rPr>
          <w:rStyle w:val="Code"/>
        </w:rPr>
        <w:t>&lt;div&gt;</w:t>
      </w:r>
      <w:r>
        <w:t xml:space="preserve"> wraps everything within your edition</w:t>
      </w:r>
    </w:p>
    <w:p>
      <w:pPr>
        <w:pStyle w:val="Lista"/>
      </w:pPr>
      <w:r>
        <w:t xml:space="preserve">if textpart divisions </w:t>
      </w:r>
      <w:r>
        <w:rPr>
          <w:noProof/>
        </w:rPr>
        <w:t>(</w:t>
      </w:r>
      <w:r>
        <w:t>§</w:t>
      </w:r>
      <w:r>
        <w:fldChar w:fldCharType="begin"/>
      </w:r>
      <w:r>
        <w:instrText xml:space="preserve"> REF _Ref225778181 \r \h </w:instrText>
      </w:r>
      <w:r>
        <w:fldChar w:fldCharType="separate"/>
      </w:r>
      <w:r>
        <w:t>4.2</w:t>
      </w:r>
      <w:r>
        <w:fldChar w:fldCharType="end"/>
      </w:r>
      <w:r>
        <w:t xml:space="preserve">) are present, then these are the direct children of the edition </w:t>
      </w:r>
      <w:r>
        <w:rPr>
          <w:rStyle w:val="Code"/>
        </w:rPr>
        <w:t>&lt;div&gt;</w:t>
      </w:r>
      <w:r>
        <w:t xml:space="preserve"> and wrap everything else</w:t>
      </w:r>
    </w:p>
    <w:p>
      <w:pPr>
        <w:pStyle w:val="Cmsor3"/>
      </w:pPr>
      <w:bookmarkStart w:id="1008" w:name="_avslxtgod3of" w:colFirst="0" w:colLast="0"/>
      <w:bookmarkStart w:id="1009" w:name="_Toc242976738"/>
      <w:bookmarkEnd w:id="1008"/>
      <w:r>
        <w:t>Tier 2, block-level elements representing intrinsic structure</w:t>
      </w:r>
      <w:bookmarkEnd w:id="1009"/>
    </w:p>
    <w:p>
      <w:pPr>
        <w:pStyle w:val="Lista"/>
      </w:pPr>
      <w:r>
        <w:t xml:space="preserve">all text in your edition must be contained in one of the block-level elements representing intrinsic structure: </w:t>
      </w:r>
      <w:r>
        <w:rPr>
          <w:rStyle w:val="Code"/>
        </w:rPr>
        <w:t>&lt;p&gt;</w:t>
      </w:r>
      <w:r>
        <w:t xml:space="preserve">, </w:t>
      </w:r>
      <w:r>
        <w:rPr>
          <w:rStyle w:val="Code"/>
        </w:rPr>
        <w:t>&lt;ab&gt;</w:t>
      </w:r>
      <w:r>
        <w:t xml:space="preserve">, or </w:t>
      </w:r>
      <w:r>
        <w:rPr>
          <w:rStyle w:val="Code"/>
        </w:rPr>
        <w:t>&lt;lg&gt;</w:t>
      </w:r>
      <w:r>
        <w:t xml:space="preserve"> and </w:t>
      </w:r>
      <w:r>
        <w:rPr>
          <w:rStyle w:val="Code"/>
        </w:rPr>
        <w:t>&lt;l&gt;</w:t>
      </w:r>
    </w:p>
    <w:p>
      <w:pPr>
        <w:pStyle w:val="Lista"/>
      </w:pPr>
      <w:r>
        <w:t>these elements must appear directly within the divisions, never outside them</w:t>
      </w:r>
    </w:p>
    <w:p>
      <w:pPr>
        <w:pStyle w:val="Lista"/>
      </w:pPr>
      <w:r>
        <w:t xml:space="preserve">these elements must never be nested inside another element of this tier, except that </w:t>
      </w:r>
      <w:r>
        <w:rPr>
          <w:rStyle w:val="Code"/>
        </w:rPr>
        <w:t>&lt;l&gt;</w:t>
      </w:r>
      <w:r>
        <w:t xml:space="preserve"> elements must always be nested in </w:t>
      </w:r>
      <w:r>
        <w:rPr>
          <w:rStyle w:val="Code"/>
        </w:rPr>
        <w:t>&lt;lg&gt;</w:t>
      </w:r>
      <w:r>
        <w:t xml:space="preserve"> elements</w:t>
      </w:r>
    </w:p>
    <w:p>
      <w:pPr>
        <w:pStyle w:val="Lista"/>
      </w:pPr>
      <w:r>
        <w:t xml:space="preserve">as a special block-level container, </w:t>
      </w:r>
      <w:r>
        <w:rPr>
          <w:rStyle w:val="Code"/>
        </w:rPr>
        <w:t>&lt;fw&gt;</w:t>
      </w:r>
      <w:r>
        <w:t xml:space="preserve"> will normally be nested within one of the above regular block-level containers, but may in some unlikely cases be outside them </w:t>
      </w:r>
      <w:r>
        <w:rPr>
          <w:noProof/>
        </w:rPr>
        <w:t>(</w:t>
      </w:r>
      <w:r>
        <w:t>§</w:t>
      </w:r>
      <w:r>
        <w:fldChar w:fldCharType="begin"/>
      </w:r>
      <w:r>
        <w:instrText xml:space="preserve"> REF _Ref43984607 \w \h  \* MERGEFORMAT </w:instrText>
      </w:r>
      <w:r>
        <w:fldChar w:fldCharType="separate"/>
      </w:r>
      <w:r>
        <w:t>4.7.2</w:t>
      </w:r>
      <w:r>
        <w:fldChar w:fldCharType="end"/>
      </w:r>
      <w:r>
        <w:t>)</w:t>
      </w:r>
    </w:p>
    <w:p>
      <w:pPr>
        <w:pStyle w:val="Lista"/>
        <w:rPr>
          <w:rStyle w:val="Code"/>
          <w:rFonts w:ascii="Gentium" w:hAnsi="Gentium" w:cs="Tiro Devanagari Sanskrit"/>
          <w:noProof w:val="0"/>
          <w:color w:val="auto"/>
          <w:shd w:val="clear" w:color="auto" w:fill="auto"/>
        </w:rPr>
      </w:pPr>
      <w:r>
        <w:t xml:space="preserve">as a special block-level container, </w:t>
      </w:r>
      <w:r>
        <w:rPr>
          <w:rStyle w:val="Code"/>
        </w:rPr>
        <w:t>&lt;list&gt;</w:t>
      </w:r>
      <w:r>
        <w:t xml:space="preserve"> will always be nested within </w:t>
      </w:r>
      <w:r>
        <w:rPr>
          <w:rStyle w:val="Code"/>
        </w:rPr>
        <w:t>&lt;p&gt;</w:t>
      </w:r>
    </w:p>
    <w:p>
      <w:pPr>
        <w:pStyle w:val="Cmsor3"/>
      </w:pPr>
      <w:bookmarkStart w:id="1010" w:name="_Toc242976739"/>
      <w:r>
        <w:t>Tier 2A, phrase-level elements representing semantic information</w:t>
      </w:r>
      <w:bookmarkEnd w:id="1010"/>
    </w:p>
    <w:p>
      <w:pPr>
        <w:pStyle w:val="Lista"/>
      </w:pPr>
      <w:r>
        <w:t>elements belonging to this tier include those used in encoding</w:t>
      </w:r>
    </w:p>
    <w:p>
      <w:pPr>
        <w:pStyle w:val="Lista2"/>
      </w:pPr>
      <w:r>
        <w:t>language (§</w:t>
      </w:r>
      <w:r>
        <w:fldChar w:fldCharType="begin"/>
      </w:r>
      <w:r>
        <w:instrText xml:space="preserve"> REF _Ref232070683 \r \h </w:instrText>
      </w:r>
      <w:r>
        <w:fldChar w:fldCharType="separate"/>
      </w:r>
      <w:r>
        <w:t>8.1</w:t>
      </w:r>
      <w:r>
        <w:fldChar w:fldCharType="end"/>
      </w:r>
      <w:r>
        <w:t xml:space="preserve">) and script </w:t>
      </w:r>
      <w:r>
        <w:rPr>
          <w:noProof/>
        </w:rPr>
        <w:t>(</w:t>
      </w:r>
      <w:r>
        <w:t>§</w:t>
      </w:r>
      <w:r>
        <w:fldChar w:fldCharType="begin"/>
      </w:r>
      <w:r>
        <w:instrText xml:space="preserve"> REF _Ref231979678 \r \h </w:instrText>
      </w:r>
      <w:r>
        <w:fldChar w:fldCharType="separate"/>
      </w:r>
      <w:r>
        <w:t>8.2</w:t>
      </w:r>
      <w:r>
        <w:fldChar w:fldCharType="end"/>
      </w:r>
      <w:r>
        <w:t>)</w:t>
      </w:r>
    </w:p>
    <w:p>
      <w:pPr>
        <w:pStyle w:val="Lista2"/>
      </w:pPr>
      <w:r>
        <w:t xml:space="preserve">interpretive markup, e.g. for numbers </w:t>
      </w:r>
      <w:r>
        <w:rPr>
          <w:noProof/>
        </w:rPr>
        <w:t>(</w:t>
      </w:r>
      <w:r>
        <w:t>§</w:t>
      </w:r>
      <w:r>
        <w:fldChar w:fldCharType="begin"/>
      </w:r>
      <w:r>
        <w:instrText xml:space="preserve"> REF _Ref43980607 \r \h  \* MERGEFORMAT </w:instrText>
      </w:r>
      <w:r>
        <w:fldChar w:fldCharType="separate"/>
      </w:r>
      <w:r>
        <w:t>9.1</w:t>
      </w:r>
      <w:r>
        <w:fldChar w:fldCharType="end"/>
      </w:r>
      <w:r>
        <w:t xml:space="preserve">) and abbreviations </w:t>
      </w:r>
      <w:r>
        <w:rPr>
          <w:noProof/>
        </w:rPr>
        <w:t>(</w:t>
      </w:r>
      <w:r>
        <w:t>§</w:t>
      </w:r>
      <w:r>
        <w:fldChar w:fldCharType="begin"/>
      </w:r>
      <w:r>
        <w:instrText xml:space="preserve"> REF _Ref232002201 \r \h </w:instrText>
      </w:r>
      <w:r>
        <w:fldChar w:fldCharType="separate"/>
      </w:r>
      <w:r>
        <w:t>9.2</w:t>
      </w:r>
      <w:r>
        <w:fldChar w:fldCharType="end"/>
      </w:r>
      <w:r>
        <w:t>)</w:t>
      </w:r>
    </w:p>
    <w:p>
      <w:pPr>
        <w:pStyle w:val="Lista"/>
      </w:pPr>
      <w:r>
        <w:t>such phrase-level markup encoding semantic or descriptive information about specific characters must</w:t>
      </w:r>
    </w:p>
    <w:p>
      <w:pPr>
        <w:pStyle w:val="Lista2"/>
      </w:pPr>
      <w:r>
        <w:t>always be contained within tier-2 elements</w:t>
      </w:r>
    </w:p>
    <w:p>
      <w:pPr>
        <w:pStyle w:val="Lista2"/>
      </w:pPr>
      <w:r>
        <w:t>split into parts when they overlap a boundary between tier-2 elements</w:t>
      </w:r>
    </w:p>
    <w:p>
      <w:pPr>
        <w:pStyle w:val="Lista"/>
      </w:pPr>
      <w:r>
        <w:t>there is no technical reason preventing such elements from containing any lower-tier element, but since the semantic properties encoded by these elements do not in fact pertain to tier-3 elements, it is good practice to split these elements into parts around tier-3 elements when feasible</w:t>
      </w:r>
    </w:p>
    <w:p>
      <w:pPr>
        <w:pStyle w:val="Cmsor3"/>
      </w:pPr>
      <w:bookmarkStart w:id="1011" w:name="_b4084bcsknv2" w:colFirst="0" w:colLast="0"/>
      <w:bookmarkStart w:id="1012" w:name="_Ref43979552"/>
      <w:bookmarkStart w:id="1013" w:name="_Toc242976740"/>
      <w:bookmarkEnd w:id="1011"/>
      <w:r>
        <w:lastRenderedPageBreak/>
        <w:t>Tier 3, empty elements representing extrinsic structure</w:t>
      </w:r>
      <w:bookmarkEnd w:id="1012"/>
      <w:bookmarkEnd w:id="1013"/>
    </w:p>
    <w:p>
      <w:pPr>
        <w:pStyle w:val="Lista"/>
      </w:pPr>
      <w:r>
        <w:t xml:space="preserve">elements marking transition points, namely line beginnings </w:t>
      </w:r>
      <w:r>
        <w:rPr>
          <w:noProof/>
        </w:rPr>
        <w:t>(</w:t>
      </w:r>
      <w:r>
        <w:t>§</w:t>
      </w:r>
      <w:r>
        <w:fldChar w:fldCharType="begin"/>
      </w:r>
      <w:r>
        <w:instrText xml:space="preserve"> REF _Ref43980100 \r \h  \* MERGEFORMAT </w:instrText>
      </w:r>
      <w:r>
        <w:fldChar w:fldCharType="separate"/>
      </w:r>
      <w:r>
        <w:t>4.5.1</w:t>
      </w:r>
      <w:r>
        <w:fldChar w:fldCharType="end"/>
      </w:r>
      <w:r>
        <w:t xml:space="preserve">), page beginnings </w:t>
      </w:r>
      <w:r>
        <w:rPr>
          <w:noProof/>
        </w:rPr>
        <w:t>(</w:t>
      </w:r>
      <w:r>
        <w:t>§</w:t>
      </w:r>
      <w:r>
        <w:fldChar w:fldCharType="begin"/>
      </w:r>
      <w:r>
        <w:instrText xml:space="preserve"> REF _Ref183083980 \r \h </w:instrText>
      </w:r>
      <w:r>
        <w:fldChar w:fldCharType="separate"/>
      </w:r>
      <w:r>
        <w:t>4.4.2</w:t>
      </w:r>
      <w:r>
        <w:fldChar w:fldCharType="end"/>
      </w:r>
      <w:r>
        <w:t xml:space="preserve">) and pagelike milestones </w:t>
      </w:r>
      <w:r>
        <w:rPr>
          <w:noProof/>
        </w:rPr>
        <w:t>(</w:t>
      </w:r>
      <w:r>
        <w:t>§</w:t>
      </w:r>
      <w:r>
        <w:fldChar w:fldCharType="begin"/>
      </w:r>
      <w:r>
        <w:instrText xml:space="preserve"> REF _Ref43986679 \w \h  \* MERGEFORMAT </w:instrText>
      </w:r>
      <w:r>
        <w:fldChar w:fldCharType="separate"/>
      </w:r>
      <w:r>
        <w:t>4.4.2.1</w:t>
      </w:r>
      <w:r>
        <w:fldChar w:fldCharType="end"/>
      </w:r>
      <w:r>
        <w:t>), must normally be placed within tier-2 elements</w:t>
      </w:r>
      <w:r>
        <w:rPr>
          <w:rStyle w:val="Lbjegyzet-hivatkozs"/>
        </w:rPr>
        <w:footnoteReference w:id="44"/>
      </w:r>
    </w:p>
    <w:p>
      <w:pPr>
        <w:pStyle w:val="Lista2"/>
      </w:pPr>
      <w:r>
        <w:rPr>
          <w:rStyle w:val="Foreign"/>
        </w:rPr>
        <w:t>except</w:t>
      </w:r>
      <w:r>
        <w:t xml:space="preserve"> special cases where such transition points cannot be integrated into the text following them, namely</w:t>
      </w:r>
    </w:p>
    <w:p>
      <w:pPr>
        <w:pStyle w:val="Lista3"/>
      </w:pPr>
      <w:r>
        <w:t xml:space="preserve">page beginnings for the first and last blank pages of a set of copper plates </w:t>
      </w:r>
      <w:r>
        <w:rPr>
          <w:noProof/>
        </w:rPr>
        <w:t>(</w:t>
      </w:r>
      <w:r>
        <w:t>§</w:t>
      </w:r>
      <w:r>
        <w:fldChar w:fldCharType="begin"/>
      </w:r>
      <w:r>
        <w:instrText xml:space="preserve"> REF _Ref182318940 \r \h </w:instrText>
      </w:r>
      <w:r>
        <w:fldChar w:fldCharType="separate"/>
      </w:r>
      <w:r>
        <w:t>4.4.2.2</w:t>
      </w:r>
      <w:r>
        <w:fldChar w:fldCharType="end"/>
      </w:r>
      <w:r>
        <w:t>), which have no associated text</w:t>
      </w:r>
    </w:p>
    <w:p>
      <w:pPr>
        <w:pStyle w:val="Lista3"/>
      </w:pPr>
      <w:r>
        <w:t xml:space="preserve">reconstructed transition points </w:t>
      </w:r>
      <w:r>
        <w:rPr>
          <w:noProof/>
        </w:rPr>
        <w:t>(</w:t>
      </w:r>
      <w:r>
        <w:t xml:space="preserve">of any kind) in massive initial or medial lacunae </w:t>
      </w:r>
      <w:r>
        <w:rPr>
          <w:noProof/>
        </w:rPr>
        <w:t>(</w:t>
      </w:r>
      <w:r>
        <w:t>§</w:t>
      </w:r>
      <w:r>
        <w:fldChar w:fldCharType="begin"/>
      </w:r>
      <w:r>
        <w:instrText xml:space="preserve"> REF _Ref43981711 \w \h  \* MERGEFORMAT </w:instrText>
      </w:r>
      <w:r>
        <w:fldChar w:fldCharType="separate"/>
      </w:r>
      <w:r>
        <w:t>6.5.4</w:t>
      </w:r>
      <w:r>
        <w:fldChar w:fldCharType="end"/>
      </w:r>
      <w:r>
        <w:t>)</w:t>
      </w:r>
    </w:p>
    <w:p>
      <w:pPr>
        <w:pStyle w:val="Cmsor3"/>
      </w:pPr>
      <w:bookmarkStart w:id="1014" w:name="_6kukm0ycu92" w:colFirst="0" w:colLast="0"/>
      <w:bookmarkStart w:id="1015" w:name="_Ref43979566"/>
      <w:bookmarkStart w:id="1016" w:name="_Toc242976741"/>
      <w:bookmarkEnd w:id="1014"/>
      <w:r>
        <w:t>Tier 4, empty elements representing local features</w:t>
      </w:r>
      <w:bookmarkEnd w:id="1015"/>
      <w:bookmarkEnd w:id="1016"/>
    </w:p>
    <w:p>
      <w:pPr>
        <w:pStyle w:val="Lista"/>
      </w:pPr>
      <w:r>
        <w:t xml:space="preserve">elements belonging to this tier are spaces </w:t>
      </w:r>
      <w:r>
        <w:rPr>
          <w:noProof/>
        </w:rPr>
        <w:t>(</w:t>
      </w:r>
      <w:r>
        <w:t>§</w:t>
      </w:r>
      <w:r>
        <w:fldChar w:fldCharType="begin"/>
      </w:r>
      <w:r>
        <w:instrText xml:space="preserve"> REF _Ref43989284 \w \h  \* MERGEFORMAT </w:instrText>
      </w:r>
      <w:r>
        <w:fldChar w:fldCharType="separate"/>
      </w:r>
      <w:r>
        <w:t>5.3.5</w:t>
      </w:r>
      <w:r>
        <w:fldChar w:fldCharType="end"/>
      </w:r>
      <w:r>
        <w:t xml:space="preserve">) and unrestored lacunae </w:t>
      </w:r>
      <w:r>
        <w:rPr>
          <w:noProof/>
        </w:rPr>
        <w:t>(</w:t>
      </w:r>
      <w:r>
        <w:t>§</w:t>
      </w:r>
      <w:r>
        <w:fldChar w:fldCharType="begin"/>
      </w:r>
      <w:r>
        <w:instrText xml:space="preserve"> REF _Ref228460110 \r \h </w:instrText>
      </w:r>
      <w:r>
        <w:fldChar w:fldCharType="separate"/>
      </w:r>
      <w:r>
        <w:t>6.5</w:t>
      </w:r>
      <w:r>
        <w:fldChar w:fldCharType="end"/>
      </w:r>
      <w:r>
        <w:t xml:space="preserve">) including lacunae with known metre </w:t>
      </w:r>
      <w:r>
        <w:rPr>
          <w:noProof/>
        </w:rPr>
        <w:t>(</w:t>
      </w:r>
      <w:r>
        <w:t>§</w:t>
      </w:r>
      <w:r>
        <w:fldChar w:fldCharType="begin"/>
      </w:r>
      <w:r>
        <w:instrText xml:space="preserve"> REF _Ref228275301 \r \h </w:instrText>
      </w:r>
      <w:r>
        <w:fldChar w:fldCharType="separate"/>
      </w:r>
      <w:r>
        <w:t>6.5.2.3</w:t>
      </w:r>
      <w:r>
        <w:fldChar w:fldCharType="end"/>
      </w:r>
      <w:r>
        <w:t>)</w:t>
      </w:r>
    </w:p>
    <w:p>
      <w:pPr>
        <w:pStyle w:val="Lista"/>
      </w:pPr>
      <w:r>
        <w:t>these empty elements with a spatial extent must by default be contained within tier-2 elements and must not be placed before the first tier-3 element of a document</w:t>
      </w:r>
    </w:p>
    <w:p>
      <w:pPr>
        <w:pStyle w:val="Lista2"/>
      </w:pPr>
      <w:r>
        <w:rPr>
          <w:rStyle w:val="Foreign"/>
        </w:rPr>
        <w:t>except</w:t>
      </w:r>
      <w:r>
        <w:t xml:space="preserve"> that when necessary, lacuna markup may appear outside an element of intrinsic structure and before the first tier-3 element  </w:t>
      </w:r>
      <w:r>
        <w:rPr>
          <w:noProof/>
        </w:rPr>
        <w:t>(</w:t>
      </w:r>
      <w:r>
        <w:t>§</w:t>
      </w:r>
      <w:r>
        <w:fldChar w:fldCharType="begin"/>
      </w:r>
      <w:r>
        <w:instrText xml:space="preserve"> REF _Ref43981711 \w \h  \* MERGEFORMAT </w:instrText>
      </w:r>
      <w:r>
        <w:fldChar w:fldCharType="separate"/>
      </w:r>
      <w:r>
        <w:t>6.5.4</w:t>
      </w:r>
      <w:r>
        <w:fldChar w:fldCharType="end"/>
      </w:r>
      <w:r>
        <w:t>)</w:t>
      </w:r>
    </w:p>
    <w:p>
      <w:pPr>
        <w:pStyle w:val="Lista"/>
      </w:pPr>
      <w:r>
        <w:t>these empty elements with a spatial extent must give way to elements of tier 3 and above in case of conflict</w:t>
      </w:r>
    </w:p>
    <w:p>
      <w:pPr>
        <w:pStyle w:val="Lista2"/>
      </w:pPr>
      <w:r>
        <w:t xml:space="preserve">thus, a space or lacuna interrupted by the start-tag or end-tag of any element of intrinsic structure </w:t>
      </w:r>
      <w:r>
        <w:rPr>
          <w:noProof/>
        </w:rPr>
        <w:t>(</w:t>
      </w:r>
      <w:r>
        <w:t xml:space="preserve">e.g. a verse line) or by an element of extrinsic structure </w:t>
      </w:r>
      <w:r>
        <w:rPr>
          <w:noProof/>
        </w:rPr>
        <w:t>(</w:t>
      </w:r>
      <w:r>
        <w:t xml:space="preserve">e.g. a line break) must be encoded as two separate instances, as in </w:t>
      </w:r>
      <w:r>
        <w:fldChar w:fldCharType="begin"/>
      </w:r>
      <w:r>
        <w:instrText xml:space="preserve"> REF _Ref232070261 \h </w:instrText>
      </w:r>
      <w:r>
        <w:fldChar w:fldCharType="separate"/>
      </w:r>
      <w:r>
        <w:t xml:space="preserve">Exhibit </w:t>
      </w:r>
      <w:r>
        <w:rPr>
          <w:noProof/>
        </w:rPr>
        <w:t>16.2</w:t>
      </w:r>
      <w:r>
        <w:t>.</w:t>
      </w:r>
      <w:r>
        <w:rPr>
          <w:noProof/>
        </w:rPr>
        <w:t>A</w:t>
      </w:r>
      <w:r>
        <w:fldChar w:fldCharType="end"/>
      </w:r>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017" w:name="_Ref232070261"/>
            <w:r>
              <w:t xml:space="preserve">Exhibit </w:t>
            </w:r>
            <w:fldSimple w:instr=" STYLEREF 2 \s ">
              <w:r>
                <w:rPr>
                  <w:noProof/>
                </w:rPr>
                <w:t>16.2</w:t>
              </w:r>
            </w:fldSimple>
            <w:r>
              <w:t>.</w:t>
            </w:r>
            <w:fldSimple w:instr=" SEQ Exhibit \* ALPHABETIC \s 2 ">
              <w:r>
                <w:rPr>
                  <w:noProof/>
                </w:rPr>
                <w:t>A</w:t>
              </w:r>
            </w:fldSimple>
            <w:bookmarkEnd w:id="1017"/>
            <w:r>
              <w:t>: lacuna split across line break</w:t>
            </w:r>
          </w:p>
        </w:tc>
      </w:tr>
      <w:tr>
        <w:tc>
          <w:tcPr>
            <w:tcW w:w="5000" w:type="pct"/>
          </w:tcPr>
          <w:p>
            <w:pPr>
              <w:pStyle w:val="CodeParagraph"/>
              <w:keepNext/>
            </w:pPr>
            <w:r>
              <w:rPr>
                <w:rStyle w:val="Code"/>
              </w:rPr>
              <w:t xml:space="preserve">&lt;lb </w:t>
            </w:r>
            <w:r>
              <w:rPr>
                <w:rStyle w:val="Codeattribute"/>
              </w:rPr>
              <w:t>n</w:t>
            </w:r>
            <w:r>
              <w:rPr>
                <w:rStyle w:val="Code"/>
              </w:rPr>
              <w:t>=</w:t>
            </w:r>
            <w:r>
              <w:rPr>
                <w:rStyle w:val="Codevalue"/>
              </w:rPr>
              <w:t>"1"</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/&gt;</w:t>
            </w:r>
            <w:r>
              <w:rPr>
                <w:rStyle w:val="Codetext"/>
              </w:rPr>
              <w:t>devyām utpanna</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/&gt;&lt;lb </w:t>
            </w:r>
            <w:r>
              <w:rPr>
                <w:rStyle w:val="Codeattribute"/>
              </w:rPr>
              <w:t>n</w:t>
            </w:r>
            <w:r>
              <w:rPr>
                <w:rStyle w:val="Code"/>
              </w:rPr>
              <w:t>=</w:t>
            </w:r>
            <w:r>
              <w:rPr>
                <w:rStyle w:val="Codevalue"/>
              </w:rPr>
              <w:t>"2"</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/&gt;</w:t>
            </w:r>
            <w:r>
              <w:rPr>
                <w:rStyle w:val="Codetext"/>
              </w:rPr>
              <w:t>ṭṭārikā-devyām utpannaḥ śrī-mahārājeśvaravarmmā...</w:t>
            </w:r>
          </w:p>
        </w:tc>
      </w:tr>
      <w:tr>
        <w:tc>
          <w:tcPr>
            <w:tcW w:w="5000" w:type="pct"/>
          </w:tcPr>
          <w:p>
            <w:pPr>
              <w:pStyle w:val="TableNote"/>
              <w:rPr>
                <w:rStyle w:val="Code"/>
              </w:rPr>
            </w:pPr>
            <w:r>
              <w:t xml:space="preserve">here, the lacuna between </w:t>
            </w:r>
            <w:r>
              <w:rPr>
                <w:rStyle w:val="Foreign"/>
              </w:rPr>
              <w:t>utpanna</w:t>
            </w:r>
            <w:r>
              <w:t xml:space="preserve"> and </w:t>
            </w:r>
            <w:r>
              <w:rPr>
                <w:rStyle w:val="Foreign"/>
              </w:rPr>
              <w:t>ṭṭārikā</w:t>
            </w:r>
            <w:r>
              <w:t xml:space="preserve"> is encoded as two separate lacunae, one at the end of line 1, and another at the beginning of line 2; the line beginning element stands between these two</w:t>
            </w:r>
          </w:p>
        </w:tc>
      </w:tr>
    </w:tbl>
    <w:p>
      <w:pPr>
        <w:pStyle w:val="Cmsor3"/>
      </w:pPr>
      <w:bookmarkStart w:id="1018" w:name="_jr9td4xsvig6" w:colFirst="0" w:colLast="0"/>
      <w:bookmarkStart w:id="1019" w:name="_Ref43987901"/>
      <w:bookmarkStart w:id="1020" w:name="_Toc242976742"/>
      <w:bookmarkEnd w:id="1018"/>
      <w:r>
        <w:t>Tier 5, phrase-level elements</w:t>
      </w:r>
      <w:bookmarkEnd w:id="1019"/>
      <w:r>
        <w:t xml:space="preserve"> representing changes to the text</w:t>
      </w:r>
      <w:bookmarkEnd w:id="1020"/>
    </w:p>
    <w:p>
      <w:pPr>
        <w:pStyle w:val="Lista"/>
      </w:pPr>
      <w:r>
        <w:t>elements belonging to this tier include those used in encoding</w:t>
      </w:r>
    </w:p>
    <w:p>
      <w:pPr>
        <w:pStyle w:val="Lista2"/>
      </w:pPr>
      <w:r>
        <w:t>scribal intervention (§</w:t>
      </w:r>
      <w:r>
        <w:fldChar w:fldCharType="begin"/>
      </w:r>
      <w:r>
        <w:instrText xml:space="preserve"> REF _Ref228799393 \r \h </w:instrText>
      </w:r>
      <w:r>
        <w:fldChar w:fldCharType="separate"/>
      </w:r>
      <w:r>
        <w:t>5.5</w:t>
      </w:r>
      <w:r>
        <w:fldChar w:fldCharType="end"/>
      </w:r>
      <w:r>
        <w:t>)</w:t>
      </w:r>
    </w:p>
    <w:p>
      <w:pPr>
        <w:pStyle w:val="Lista2"/>
      </w:pPr>
      <w:r>
        <w:t>editorial intervention (§</w:t>
      </w:r>
      <w:r>
        <w:fldChar w:fldCharType="begin"/>
      </w:r>
      <w:r>
        <w:instrText xml:space="preserve"> REF _Ref229054270 \r \h </w:instrText>
      </w:r>
      <w:r>
        <w:fldChar w:fldCharType="separate"/>
      </w:r>
      <w:r>
        <w:t>7.2</w:t>
      </w:r>
      <w:r>
        <w:fldChar w:fldCharType="end"/>
      </w:r>
      <w:r>
        <w:t xml:space="preserve">) and restoration </w:t>
      </w:r>
      <w:r>
        <w:rPr>
          <w:noProof/>
        </w:rPr>
        <w:t>(</w:t>
      </w:r>
      <w:r>
        <w:t>§</w:t>
      </w:r>
      <w:r>
        <w:fldChar w:fldCharType="begin"/>
      </w:r>
      <w:r>
        <w:instrText xml:space="preserve"> REF _Ref228459751 \r \h </w:instrText>
      </w:r>
      <w:r>
        <w:fldChar w:fldCharType="separate"/>
      </w:r>
      <w:r>
        <w:t>6.4</w:t>
      </w:r>
      <w:r>
        <w:fldChar w:fldCharType="end"/>
      </w:r>
      <w:r>
        <w:t xml:space="preserve">) </w:t>
      </w:r>
    </w:p>
    <w:p>
      <w:pPr>
        <w:pStyle w:val="Lista"/>
      </w:pPr>
      <w:r>
        <w:t>such phrase-level markup must</w:t>
      </w:r>
    </w:p>
    <w:p>
      <w:pPr>
        <w:pStyle w:val="Lista2"/>
      </w:pPr>
      <w:r>
        <w:t>always be contained within tier-2 elements</w:t>
      </w:r>
    </w:p>
    <w:p>
      <w:pPr>
        <w:pStyle w:val="Lista2"/>
      </w:pPr>
      <w:r>
        <w:t>in case of conflict give way to elements of tier 4 and above</w:t>
      </w:r>
    </w:p>
    <w:p>
      <w:pPr>
        <w:pStyle w:val="Lista"/>
      </w:pPr>
      <w:r>
        <w:t xml:space="preserve">thus, such a phrase-level element interrupted by the start-tag or end-tag of any element of intrinsic structure or by an element of extrinsic structure must be encoded as two separate instances as in </w:t>
      </w:r>
      <w:r>
        <w:fldChar w:fldCharType="begin"/>
      </w:r>
      <w:r>
        <w:instrText xml:space="preserve"> REF _Ref232071972 \h </w:instrText>
      </w:r>
      <w:r>
        <w:fldChar w:fldCharType="separate"/>
      </w:r>
      <w:r>
        <w:t xml:space="preserve">Exhibit </w:t>
      </w:r>
      <w:r>
        <w:rPr>
          <w:noProof/>
        </w:rPr>
        <w:t>16.2</w:t>
      </w:r>
      <w:r>
        <w:t>.</w:t>
      </w:r>
      <w:r>
        <w:rPr>
          <w:noProof/>
        </w:rPr>
        <w:t>B</w:t>
      </w:r>
      <w:r>
        <w:fldChar w:fldCharType="end"/>
      </w:r>
    </w:p>
    <w:p>
      <w:pPr>
        <w:pStyle w:val="Lista"/>
      </w:pPr>
      <w:r>
        <w:t>these phrase-level elements may be nested inside other tier-5 elements when doing so is essential, so long as overlaps are avoided</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021" w:name="_Ref232071972"/>
            <w:r>
              <w:lastRenderedPageBreak/>
              <w:t xml:space="preserve">Exhibit </w:t>
            </w:r>
            <w:fldSimple w:instr=" STYLEREF 2 \s ">
              <w:r>
                <w:rPr>
                  <w:noProof/>
                </w:rPr>
                <w:t>16.2</w:t>
              </w:r>
            </w:fldSimple>
            <w:r>
              <w:t>.</w:t>
            </w:r>
            <w:fldSimple w:instr=" SEQ Exhibit \* ALPHABETIC \s 2 ">
              <w:r>
                <w:rPr>
                  <w:noProof/>
                </w:rPr>
                <w:t>B</w:t>
              </w:r>
            </w:fldSimple>
            <w:bookmarkEnd w:id="1021"/>
            <w:r>
              <w:t>: editorial restoration split across verse lines</w:t>
            </w:r>
          </w:p>
        </w:tc>
      </w:tr>
      <w:tr>
        <w:tc>
          <w:tcPr>
            <w:tcW w:w="5000" w:type="pct"/>
          </w:tcPr>
          <w:p>
            <w:pPr>
              <w:pStyle w:val="CodeParagraph"/>
              <w:keepNext/>
            </w:pP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"anuṣṭubh"</w:t>
            </w:r>
            <w:r>
              <w:rPr>
                <w:rStyle w:val="Code"/>
              </w:rPr>
              <w:t>&gt;</w:t>
            </w:r>
            <w:r>
              <w:rPr>
                <w:rStyle w:val="Codetext"/>
              </w:rPr>
              <w:br/>
            </w:r>
            <w:r>
              <w:rPr>
                <w:rStyle w:val="Code"/>
              </w:rPr>
              <w:t xml:space="preserve">  &lt;l </w:t>
            </w:r>
            <w:r>
              <w:rPr>
                <w:rStyle w:val="Codeattribute"/>
              </w:rPr>
              <w:t>n</w:t>
            </w:r>
            <w:r>
              <w:rPr>
                <w:rStyle w:val="Code"/>
              </w:rPr>
              <w:t>=</w:t>
            </w:r>
            <w:r>
              <w:rPr>
                <w:rStyle w:val="Codevalue"/>
              </w:rPr>
              <w:t>"a"</w:t>
            </w:r>
            <w:r>
              <w:rPr>
                <w:rStyle w:val="Code"/>
              </w:rPr>
              <w:t>&gt;</w:t>
            </w:r>
            <w:r>
              <w:rPr>
                <w:rStyle w:val="Codetext"/>
              </w:rPr>
              <w:t>svadattām para-dattām vā</w:t>
            </w:r>
            <w:r>
              <w:rPr>
                <w:rStyle w:val="Code"/>
              </w:rPr>
              <w:t>&lt;/l&gt;</w:t>
            </w:r>
            <w:r>
              <w:rPr>
                <w:rStyle w:val="Codetext"/>
              </w:rPr>
              <w:br/>
            </w:r>
            <w:r>
              <w:rPr>
                <w:rStyle w:val="Code"/>
              </w:rPr>
              <w:t xml:space="preserve">  &lt;l </w:t>
            </w:r>
            <w:r>
              <w:rPr>
                <w:rStyle w:val="Codeattribute"/>
              </w:rPr>
              <w:t>n</w:t>
            </w:r>
            <w:r>
              <w:rPr>
                <w:rStyle w:val="Code"/>
              </w:rPr>
              <w:t>=</w:t>
            </w:r>
            <w:r>
              <w:rPr>
                <w:rStyle w:val="Codevalue"/>
              </w:rPr>
              <w:t>"b"</w:t>
            </w:r>
            <w:r>
              <w:rPr>
                <w:rStyle w:val="Code"/>
              </w:rPr>
              <w:t>&gt;</w:t>
            </w:r>
            <w:r>
              <w:rPr>
                <w:rStyle w:val="Codetext"/>
              </w:rPr>
              <w:t>yo hareta va</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sundharām</w:t>
            </w:r>
            <w:r>
              <w:rPr>
                <w:rStyle w:val="Code"/>
              </w:rPr>
              <w:t>&lt;/supplied&gt;&lt;/l&gt;</w:t>
            </w:r>
            <w:r>
              <w:rPr>
                <w:rStyle w:val="Codetext"/>
              </w:rPr>
              <w:br/>
            </w:r>
            <w:r>
              <w:rPr>
                <w:rStyle w:val="Code"/>
              </w:rPr>
              <w:t xml:space="preserve">  &lt;l </w:t>
            </w:r>
            <w:r>
              <w:rPr>
                <w:rStyle w:val="Codeattribute"/>
              </w:rPr>
              <w:t>n</w:t>
            </w:r>
            <w:r>
              <w:rPr>
                <w:rStyle w:val="Code"/>
              </w:rPr>
              <w:t>=</w:t>
            </w:r>
            <w:r>
              <w:rPr>
                <w:rStyle w:val="Codevalue"/>
              </w:rPr>
              <w:t>"c"</w:t>
            </w:r>
            <w:r>
              <w:rPr>
                <w:rStyle w:val="Code"/>
              </w:rPr>
              <w:t xml:space="preserve">&gt;&lt;supplied </w:t>
            </w:r>
            <w:r>
              <w:rPr>
                <w:rStyle w:val="Codeattribute"/>
              </w:rPr>
              <w:t>reason</w:t>
            </w:r>
            <w:r>
              <w:rPr>
                <w:rStyle w:val="Code"/>
              </w:rPr>
              <w:t>=</w:t>
            </w:r>
            <w:r>
              <w:rPr>
                <w:rStyle w:val="Codevalue"/>
              </w:rPr>
              <w:t>"lost"</w:t>
            </w:r>
            <w:r>
              <w:rPr>
                <w:rStyle w:val="Code"/>
              </w:rPr>
              <w:t>&gt;</w:t>
            </w:r>
            <w:r>
              <w:rPr>
                <w:rStyle w:val="Codetext"/>
              </w:rPr>
              <w:t>sa viṣṭhāyāṁ kr̥mir bhūtvā</w:t>
            </w:r>
            <w:r>
              <w:rPr>
                <w:rStyle w:val="Code"/>
              </w:rPr>
              <w:t>&lt;/supplied&gt;&lt;/l&gt;</w:t>
            </w:r>
            <w:r>
              <w:rPr>
                <w:rStyle w:val="Codetext"/>
              </w:rPr>
              <w:br/>
            </w:r>
            <w:r>
              <w:rPr>
                <w:rStyle w:val="Code"/>
              </w:rPr>
              <w:t xml:space="preserve">  &lt;l </w:t>
            </w:r>
            <w:r>
              <w:rPr>
                <w:rStyle w:val="Codeattribute"/>
              </w:rPr>
              <w:t>n</w:t>
            </w:r>
            <w:r>
              <w:rPr>
                <w:rStyle w:val="Code"/>
              </w:rPr>
              <w:t>=</w:t>
            </w:r>
            <w:r>
              <w:rPr>
                <w:rStyle w:val="Codevalue"/>
              </w:rPr>
              <w:t>"d"</w:t>
            </w:r>
            <w:r>
              <w:rPr>
                <w:rStyle w:val="Code"/>
              </w:rPr>
              <w:t xml:space="preserve">&gt;&lt;supplied </w:t>
            </w:r>
            <w:r>
              <w:rPr>
                <w:rStyle w:val="Codeattribute"/>
              </w:rPr>
              <w:t>reason</w:t>
            </w:r>
            <w:r>
              <w:rPr>
                <w:rStyle w:val="Code"/>
              </w:rPr>
              <w:t>=</w:t>
            </w:r>
            <w:r>
              <w:rPr>
                <w:rStyle w:val="Codevalue"/>
              </w:rPr>
              <w:t>"lost"</w:t>
            </w:r>
            <w:r>
              <w:rPr>
                <w:rStyle w:val="Code"/>
              </w:rPr>
              <w:t>&gt;</w:t>
            </w:r>
            <w:r>
              <w:rPr>
                <w:rStyle w:val="Codetext"/>
              </w:rPr>
              <w:t>pitr̥</w:t>
            </w:r>
            <w:r>
              <w:rPr>
                <w:rStyle w:val="Code"/>
              </w:rPr>
              <w:t>&lt;/supplied&gt;</w:t>
            </w:r>
            <w:r>
              <w:rPr>
                <w:rStyle w:val="Codetext"/>
              </w:rPr>
              <w:t>bhiḥ saha pacyate</w:t>
            </w:r>
            <w:r>
              <w:rPr>
                <w:rStyle w:val="Code"/>
              </w:rPr>
              <w:t>&lt;/l&gt;</w:t>
            </w:r>
            <w:r>
              <w:rPr>
                <w:rStyle w:val="Codetext"/>
              </w:rPr>
              <w:br/>
            </w:r>
            <w:r>
              <w:rPr>
                <w:rStyle w:val="Code"/>
              </w:rPr>
              <w:t>&lt;/lg&gt;</w:t>
            </w:r>
          </w:p>
        </w:tc>
      </w:tr>
      <w:tr>
        <w:tc>
          <w:tcPr>
            <w:tcW w:w="5000" w:type="pct"/>
          </w:tcPr>
          <w:p>
            <w:pPr>
              <w:pStyle w:val="TableNote"/>
              <w:rPr>
                <w:rStyle w:val="Code"/>
              </w:rPr>
            </w:pPr>
            <w:r>
              <w:t xml:space="preserve">the lost and supplied text in the middle of the stanza is encoded as three separate instances of supplied text: the end of </w:t>
            </w:r>
            <w:proofErr w:type="spellStart"/>
            <w:r>
              <w:rPr>
                <w:rStyle w:val="Foreign"/>
              </w:rPr>
              <w:t>pāda</w:t>
            </w:r>
            <w:r>
              <w:t>s</w:t>
            </w:r>
            <w:proofErr w:type="spellEnd"/>
            <w:r>
              <w:t xml:space="preserve"> </w:t>
            </w:r>
            <w:r>
              <w:rPr>
                <w:rStyle w:val="Foreign"/>
              </w:rPr>
              <w:t>b</w:t>
            </w:r>
            <w:r>
              <w:t xml:space="preserve">, all of </w:t>
            </w:r>
            <w:r>
              <w:rPr>
                <w:rStyle w:val="Foreign"/>
              </w:rPr>
              <w:t>pāda</w:t>
            </w:r>
            <w:r>
              <w:t xml:space="preserve"> </w:t>
            </w:r>
            <w:r>
              <w:rPr>
                <w:rStyle w:val="Foreign"/>
              </w:rPr>
              <w:t>c</w:t>
            </w:r>
            <w:r>
              <w:t xml:space="preserve">, and the beginning of </w:t>
            </w:r>
            <w:r>
              <w:rPr>
                <w:rStyle w:val="Foreign"/>
              </w:rPr>
              <w:t>pāda</w:t>
            </w:r>
            <w:r>
              <w:t xml:space="preserve"> d</w:t>
            </w:r>
          </w:p>
        </w:tc>
      </w:tr>
    </w:tbl>
    <w:p>
      <w:pPr>
        <w:pStyle w:val="Cmsor3"/>
      </w:pPr>
      <w:bookmarkStart w:id="1022" w:name="_Ref232072486"/>
      <w:bookmarkStart w:id="1023" w:name="_Toc242976743"/>
      <w:r>
        <w:t>Tier 6, unclear</w:t>
      </w:r>
      <w:bookmarkEnd w:id="1022"/>
      <w:bookmarkEnd w:id="1023"/>
    </w:p>
    <w:p>
      <w:pPr>
        <w:pStyle w:val="Lista"/>
      </w:pPr>
      <w:r>
        <w:t xml:space="preserve">the element </w:t>
      </w:r>
      <w:r>
        <w:rPr>
          <w:rStyle w:val="Code"/>
        </w:rPr>
        <w:t>&lt;unclear&gt;</w:t>
      </w:r>
      <w:r>
        <w:t xml:space="preserve"> must, by EpiDoc rules, contain only text and may never contain any markup elements except </w:t>
      </w:r>
      <w:r>
        <w:rPr>
          <w:rStyle w:val="Code"/>
        </w:rPr>
        <w:t>&lt;g&gt;</w:t>
      </w:r>
      <w:r>
        <w:t>; thus,</w:t>
      </w:r>
    </w:p>
    <w:p>
      <w:pPr>
        <w:pStyle w:val="Lista2"/>
      </w:pPr>
      <w:r>
        <w:t xml:space="preserve">when unclarity overlaps with another encoded feature, it is always </w:t>
      </w:r>
      <w:r>
        <w:rPr>
          <w:rStyle w:val="Code"/>
        </w:rPr>
        <w:t>&lt;unclear&gt;</w:t>
      </w:r>
      <w:r>
        <w:t xml:space="preserve"> that must be split into separate parts inside and outside the other element, as in </w:t>
      </w:r>
      <w:r>
        <w:fldChar w:fldCharType="begin"/>
      </w:r>
      <w:r>
        <w:instrText xml:space="preserve"> REF _Ref44072089 \h  \* MERGEFORMAT </w:instrText>
      </w:r>
      <w:r>
        <w:fldChar w:fldCharType="separate"/>
      </w:r>
      <w:r>
        <w:t xml:space="preserve">Exhibit </w:t>
      </w:r>
      <w:r>
        <w:rPr>
          <w:noProof/>
        </w:rPr>
        <w:t>16.2.C</w:t>
      </w:r>
      <w:r>
        <w:fldChar w:fldCharType="end"/>
      </w:r>
    </w:p>
    <w:p>
      <w:pPr>
        <w:pStyle w:val="Lista2"/>
      </w:pPr>
      <w:r>
        <w:t xml:space="preserve">when an unclear stretch contains another encoded feature </w:t>
      </w:r>
      <w:r>
        <w:rPr>
          <w:noProof/>
        </w:rPr>
        <w:t>(</w:t>
      </w:r>
      <w:r>
        <w:t xml:space="preserve">other than </w:t>
      </w:r>
      <w:r>
        <w:rPr>
          <w:rStyle w:val="Code"/>
        </w:rPr>
        <w:t>&lt;g&gt;</w:t>
      </w:r>
      <w:r>
        <w:t xml:space="preserve">), then </w:t>
      </w:r>
      <w:r>
        <w:rPr>
          <w:rStyle w:val="Code"/>
        </w:rPr>
        <w:t>&lt;unclear&gt;</w:t>
      </w:r>
      <w:r>
        <w:t xml:space="preserve"> must be split into separate parts as in </w:t>
      </w:r>
      <w:r>
        <w:fldChar w:fldCharType="begin"/>
      </w:r>
      <w:r>
        <w:instrText xml:space="preserve"> REF _Ref44072159 \h  \* MERGEFORMAT </w:instrText>
      </w:r>
      <w:r>
        <w:fldChar w:fldCharType="separate"/>
      </w:r>
      <w:r>
        <w:t xml:space="preserve">Exhibit </w:t>
      </w:r>
      <w:r>
        <w:rPr>
          <w:noProof/>
        </w:rPr>
        <w:t>16.2.D</w:t>
      </w:r>
      <w:r>
        <w:fldChar w:fldCharType="end"/>
      </w:r>
      <w:r>
        <w:t xml:space="preserve">, to allow the nesting of </w:t>
      </w:r>
      <w:r>
        <w:rPr>
          <w:rStyle w:val="Code"/>
        </w:rPr>
        <w:t>&lt;unclear&gt;</w:t>
      </w:r>
      <w:r>
        <w:t xml:space="preserve"> within the other element instead of the other way round</w:t>
      </w:r>
    </w:p>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024" w:name="_Ref44072089"/>
            <w:r>
              <w:t xml:space="preserve">Exhibit </w:t>
            </w:r>
            <w:fldSimple w:instr=" STYLEREF 2 \s ">
              <w:r>
                <w:rPr>
                  <w:noProof/>
                </w:rPr>
                <w:t>16.2</w:t>
              </w:r>
            </w:fldSimple>
            <w:r>
              <w:t>.</w:t>
            </w:r>
            <w:fldSimple w:instr=" SEQ Exhibit \* ALPHABETIC \s 2 ">
              <w:r>
                <w:rPr>
                  <w:noProof/>
                </w:rPr>
                <w:t>C</w:t>
              </w:r>
            </w:fldSimple>
            <w:bookmarkEnd w:id="1024"/>
            <w:r>
              <w:t>: unclear with an overlapping element</w:t>
            </w:r>
          </w:p>
        </w:tc>
      </w:tr>
      <w:tr>
        <w:tc>
          <w:tcPr>
            <w:tcW w:w="5000" w:type="pct"/>
          </w:tcPr>
          <w:p>
            <w:pPr>
              <w:keepNext/>
              <w:jc w:val="center"/>
              <w:rPr>
                <w:rStyle w:val="Codetext"/>
              </w:rPr>
            </w:pPr>
            <w:r>
              <w:rPr>
                <w:rStyle w:val="Foreign"/>
              </w:rPr>
              <w:t>uktañ ca bhagavatā ve</w:t>
            </w:r>
            <w:r>
              <w:rPr>
                <w:rStyle w:val="Foreign"/>
                <w:dstrike/>
              </w:rPr>
              <w:t>da-vyāsena vyāsena vyā</w:t>
            </w:r>
            <w:r>
              <w:rPr>
                <w:rStyle w:val="Foreign"/>
              </w:rPr>
              <w:t>sena</w:t>
            </w:r>
          </w:p>
        </w:tc>
      </w:tr>
      <w:tr>
        <w:tc>
          <w:tcPr>
            <w:tcW w:w="5000" w:type="pct"/>
          </w:tcPr>
          <w:p>
            <w:pPr>
              <w:pStyle w:val="TableNote"/>
              <w:keepNext/>
              <w:ind w:left="0" w:firstLine="0"/>
              <w:contextualSpacing w:val="0"/>
            </w:pPr>
            <w:r>
              <w:t>the stretch struck out in the text above represents unclear text in the original</w:t>
            </w:r>
          </w:p>
          <w:p>
            <w:pPr>
              <w:pStyle w:val="TableNote"/>
              <w:keepNext/>
              <w:ind w:left="0" w:firstLine="0"/>
              <w:contextualSpacing w:val="0"/>
            </w:pPr>
            <w:r>
              <w:t xml:space="preserve">the last iteration of </w:t>
            </w:r>
            <w:r>
              <w:rPr>
                <w:rStyle w:val="Foreign"/>
              </w:rPr>
              <w:t>vyāsena</w:t>
            </w:r>
            <w:r>
              <w:t xml:space="preserve"> is scribal dittography, which you as editor suppress</w:t>
            </w:r>
          </w:p>
        </w:tc>
      </w:tr>
      <w:tr>
        <w:tc>
          <w:tcPr>
            <w:tcW w:w="5000" w:type="pct"/>
          </w:tcPr>
          <w:p>
            <w:pPr>
              <w:pStyle w:val="CodeParagraph"/>
              <w:keepNext/>
            </w:pPr>
            <w:r>
              <w:rPr>
                <w:rStyle w:val="Codetext"/>
              </w:rPr>
              <w:t>uktañ ca bhagavatā ve</w:t>
            </w:r>
            <w:r>
              <w:rPr>
                <w:rStyle w:val="Code"/>
              </w:rPr>
              <w:t>&lt;unclear&gt;</w:t>
            </w:r>
            <w:r>
              <w:rPr>
                <w:rStyle w:val="Codetext"/>
              </w:rPr>
              <w:t>da-vyāsena vyāsena</w:t>
            </w:r>
            <w:r>
              <w:rPr>
                <w:rStyle w:val="Code"/>
              </w:rPr>
              <w:t>&lt;/unclear&gt;</w:t>
            </w:r>
            <w:r>
              <w:rPr>
                <w:rStyle w:val="Codetext"/>
              </w:rPr>
              <w:t xml:space="preserve"> </w:t>
            </w:r>
            <w:r>
              <w:rPr>
                <w:rStyle w:val="Code"/>
              </w:rPr>
              <w:t>&lt;surplus&gt;&lt;unclear&gt;</w:t>
            </w:r>
            <w:r>
              <w:rPr>
                <w:rStyle w:val="Codetext"/>
              </w:rPr>
              <w:t>vyā</w:t>
            </w:r>
            <w:r>
              <w:rPr>
                <w:rStyle w:val="Code"/>
              </w:rPr>
              <w:t>&lt;/unclear&gt;</w:t>
            </w:r>
            <w:r>
              <w:rPr>
                <w:rStyle w:val="Codetext"/>
              </w:rPr>
              <w:t>sena</w:t>
            </w:r>
            <w:r>
              <w:rPr>
                <w:rStyle w:val="Code"/>
              </w:rPr>
              <w:t>&lt;/surplus&gt;</w:t>
            </w:r>
          </w:p>
        </w:tc>
      </w:tr>
      <w:tr>
        <w:tc>
          <w:tcPr>
            <w:tcW w:w="5000" w:type="pct"/>
          </w:tcPr>
          <w:p>
            <w:pPr>
              <w:pStyle w:val="TableNote"/>
              <w:rPr>
                <w:rStyle w:val="Code"/>
              </w:rPr>
            </w:pPr>
            <w:r>
              <w:t xml:space="preserve">the </w:t>
            </w:r>
            <w:r>
              <w:rPr>
                <w:rStyle w:val="Code"/>
              </w:rPr>
              <w:t>&lt;unclear&gt;</w:t>
            </w:r>
            <w:r>
              <w:t xml:space="preserve"> element is split into two parts, one in the retained text and one in the suppressed segment</w:t>
            </w:r>
          </w:p>
        </w:tc>
      </w:tr>
    </w:tbl>
    <w:p/>
    <w:tbl>
      <w:tblPr>
        <w:tblStyle w:val="CodeSampleTable"/>
        <w:tblW w:w="5000" w:type="pct"/>
        <w:tblLook w:val="04A0" w:firstRow="1" w:lastRow="0" w:firstColumn="1" w:lastColumn="0" w:noHBand="0" w:noVBand="1"/>
      </w:tblPr>
      <w:tblGrid>
        <w:gridCol w:w="9628"/>
      </w:tblGrid>
      <w:tr>
        <w:trPr>
          <w:cnfStyle w:val="100000000000" w:firstRow="1" w:lastRow="0" w:firstColumn="0" w:lastColumn="0" w:oddVBand="0" w:evenVBand="0" w:oddHBand="0" w:evenHBand="0" w:firstRowFirstColumn="0" w:firstRowLastColumn="0" w:lastRowFirstColumn="0" w:lastRowLastColumn="0"/>
        </w:trPr>
        <w:tc>
          <w:tcPr>
            <w:tcW w:w="5000" w:type="pct"/>
          </w:tcPr>
          <w:p>
            <w:pPr>
              <w:pStyle w:val="Kpalrs"/>
            </w:pPr>
            <w:bookmarkStart w:id="1025" w:name="_Ref44072159"/>
            <w:r>
              <w:t xml:space="preserve">Exhibit </w:t>
            </w:r>
            <w:fldSimple w:instr=" STYLEREF 2 \s ">
              <w:r>
                <w:rPr>
                  <w:noProof/>
                </w:rPr>
                <w:t>16.2</w:t>
              </w:r>
            </w:fldSimple>
            <w:r>
              <w:t>.</w:t>
            </w:r>
            <w:fldSimple w:instr=" SEQ Exhibit \* ALPHABETIC \s 2 ">
              <w:r>
                <w:rPr>
                  <w:noProof/>
                </w:rPr>
                <w:t>D</w:t>
              </w:r>
            </w:fldSimple>
            <w:bookmarkEnd w:id="1025"/>
            <w:r>
              <w:t>: unclear with a nested element</w:t>
            </w:r>
          </w:p>
        </w:tc>
      </w:tr>
      <w:tr>
        <w:tc>
          <w:tcPr>
            <w:tcW w:w="5000" w:type="pct"/>
          </w:tcPr>
          <w:p>
            <w:pPr>
              <w:keepNext/>
              <w:jc w:val="center"/>
              <w:rPr>
                <w:rStyle w:val="Codetext"/>
              </w:rPr>
            </w:pPr>
            <w:r>
              <w:rPr>
                <w:rStyle w:val="Foreign"/>
              </w:rPr>
              <w:t>puṇyābhi</w:t>
            </w:r>
            <w:r>
              <w:rPr>
                <w:rStyle w:val="Foreign"/>
                <w:dstrike/>
              </w:rPr>
              <w:t>vriddhaye</w:t>
            </w:r>
          </w:p>
        </w:tc>
      </w:tr>
      <w:tr>
        <w:tc>
          <w:tcPr>
            <w:tcW w:w="5000" w:type="pct"/>
          </w:tcPr>
          <w:p>
            <w:pPr>
              <w:pStyle w:val="TableNote"/>
              <w:keepNext/>
              <w:ind w:left="0" w:firstLine="0"/>
              <w:contextualSpacing w:val="0"/>
            </w:pPr>
            <w:r>
              <w:t>the stretch struck out in the text above represents unclear text in the original</w:t>
            </w:r>
          </w:p>
          <w:p>
            <w:pPr>
              <w:pStyle w:val="TableNote"/>
              <w:keepNext/>
              <w:ind w:left="0" w:firstLine="0"/>
              <w:contextualSpacing w:val="0"/>
            </w:pPr>
            <w:r>
              <w:t xml:space="preserve">the spelling </w:t>
            </w:r>
            <w:r>
              <w:rPr>
                <w:rStyle w:val="Foreign"/>
              </w:rPr>
              <w:t>ri</w:t>
            </w:r>
            <w:r>
              <w:t xml:space="preserve"> is non-standard and you, as editor, flag it as such</w:t>
            </w:r>
          </w:p>
        </w:tc>
      </w:tr>
      <w:tr>
        <w:tc>
          <w:tcPr>
            <w:tcW w:w="5000" w:type="pct"/>
          </w:tcPr>
          <w:p>
            <w:pPr>
              <w:pStyle w:val="CodeParagraph"/>
              <w:keepNext/>
            </w:pPr>
            <w:r>
              <w:rPr>
                <w:rStyle w:val="Codetext"/>
              </w:rPr>
              <w:t>puṇyābhi</w:t>
            </w:r>
            <w:r>
              <w:rPr>
                <w:rStyle w:val="Code"/>
              </w:rPr>
              <w:t>&lt;unclear&gt;</w:t>
            </w:r>
            <w:r>
              <w:rPr>
                <w:rStyle w:val="Codetext"/>
              </w:rPr>
              <w:t>v</w:t>
            </w:r>
            <w:r>
              <w:rPr>
                <w:rStyle w:val="Code"/>
              </w:rPr>
              <w:t>&lt;/unclear&gt;&lt;orig&gt;&lt;unclear&gt;</w:t>
            </w:r>
            <w:r>
              <w:rPr>
                <w:rStyle w:val="Codetext"/>
              </w:rPr>
              <w:t>ri</w:t>
            </w:r>
            <w:r>
              <w:rPr>
                <w:rStyle w:val="Code"/>
              </w:rPr>
              <w:t>&lt;/unclear&gt;&lt;/orig&gt;&lt;unclear&gt;</w:t>
            </w:r>
            <w:r>
              <w:rPr>
                <w:rStyle w:val="Codetext"/>
              </w:rPr>
              <w:t>ddhaye</w:t>
            </w:r>
            <w:r>
              <w:rPr>
                <w:rStyle w:val="Code"/>
              </w:rPr>
              <w:t>&lt;/unclear&gt;</w:t>
            </w:r>
          </w:p>
        </w:tc>
      </w:tr>
      <w:tr>
        <w:tc>
          <w:tcPr>
            <w:tcW w:w="5000" w:type="pct"/>
          </w:tcPr>
          <w:p>
            <w:pPr>
              <w:pStyle w:val="TableNote"/>
              <w:rPr>
                <w:rStyle w:val="Codetext"/>
                <w:i/>
              </w:rPr>
            </w:pPr>
            <w:r>
              <w:t xml:space="preserve">the </w:t>
            </w:r>
            <w:r>
              <w:rPr>
                <w:rStyle w:val="Code"/>
              </w:rPr>
              <w:t>&lt;unclear&gt;</w:t>
            </w:r>
            <w:r>
              <w:t xml:space="preserve"> element is split into three parts, one before the flag, one for the flagged segment within the </w:t>
            </w:r>
            <w:r>
              <w:rPr>
                <w:rStyle w:val="Code"/>
              </w:rPr>
              <w:t>&lt;orig&gt;</w:t>
            </w:r>
            <w:r>
              <w:t xml:space="preserve"> tag, and one after it</w:t>
            </w:r>
          </w:p>
        </w:tc>
      </w:tr>
    </w:tbl>
    <w:p>
      <w:pPr>
        <w:pStyle w:val="Cmsor2"/>
      </w:pPr>
      <w:bookmarkStart w:id="1026" w:name="_k7hidbku03us" w:colFirst="0" w:colLast="0"/>
      <w:bookmarkStart w:id="1027" w:name="_Ref227844670"/>
      <w:bookmarkStart w:id="1028" w:name="_Ref43990429"/>
      <w:bookmarkEnd w:id="1026"/>
      <w:r>
        <w:t>Graphemes and the granularity of encoding</w:t>
      </w:r>
      <w:bookmarkEnd w:id="1027"/>
    </w:p>
    <w:p>
      <w:r>
        <w:t xml:space="preserve">As discussed in §2 of the TG (expanding on the quick definitions of the grapholinguistic terminology in TG §1.6), our original inscriptions are written in a complex script where most characters </w:t>
      </w:r>
      <w:r>
        <w:rPr>
          <w:noProof/>
        </w:rPr>
        <w:t>(</w:t>
      </w:r>
      <w:r>
        <w:rPr>
          <w:rStyle w:val="Foreign"/>
        </w:rPr>
        <w:t>akṣara</w:t>
      </w:r>
      <w:r>
        <w:rPr>
          <w:rStyle w:val="Foreign"/>
          <w:i w:val="0"/>
          <w:iCs w:val="0"/>
        </w:rPr>
        <w:t>s</w:t>
      </w:r>
      <w:r>
        <w:t xml:space="preserve">) are comprised of more than one grapheme, while our editions are in Romanised transliteration where characters coincide with a single grapheme but some source graphemes are represented by two target graphemes (digraphs like &lt;au&gt; and </w:t>
      </w:r>
      <w:r>
        <w:rPr>
          <w:noProof/>
        </w:rPr>
        <w:t>&lt;kh&gt;</w:t>
      </w:r>
      <w:r>
        <w:t>). This situation has the potential to create confusion in our encoding, whose minimal units are always source graphemes. This section addresses that confusion in order to pre-empt it.</w:t>
      </w:r>
    </w:p>
    <w:p>
      <w:pPr>
        <w:pStyle w:val="Cmsor3"/>
      </w:pPr>
      <w:bookmarkStart w:id="1029" w:name="_Ref232085052"/>
      <w:bookmarkStart w:id="1030" w:name="_Toc242976744"/>
      <w:r>
        <w:t>Grapholinguistic recap</w:t>
      </w:r>
      <w:bookmarkEnd w:id="1029"/>
      <w:bookmarkEnd w:id="1030"/>
    </w:p>
    <w:p>
      <w:pPr>
        <w:pStyle w:val="Lista"/>
      </w:pPr>
      <w:r>
        <w:t>recall from TG §2.3.1 that graphemes are signifiers of minimal units of abstract linguistic information pertaining to a given domain of analytic interest</w:t>
      </w:r>
    </w:p>
    <w:p>
      <w:pPr>
        <w:pStyle w:val="Lista2"/>
      </w:pPr>
      <w:r>
        <w:t>phonographic graphemes, which comprise most of our texts, are signifiers of information pertaining to abstract archetypal phonemes, whose mapping to the actual phonemes of spoken language depends on varyingly complex rules in the Indic writing systems of various languages</w:t>
      </w:r>
    </w:p>
    <w:p>
      <w:pPr>
        <w:pStyle w:val="Lista2"/>
      </w:pPr>
      <w:r>
        <w:lastRenderedPageBreak/>
        <w:t>for reasons discussed in the TG, among the phonographic graphemes of Indic writing systems we recognise not only the straightforward “letters” such as &lt;u&gt; and &lt;k&gt;, but also</w:t>
      </w:r>
    </w:p>
    <w:p>
      <w:pPr>
        <w:pStyle w:val="Lista3"/>
      </w:pPr>
      <w:r>
        <w:t>the inherent vowel &lt;a&gt; (TG §2.3.2.1), even though it does not correspond to an isolable graphic sign</w:t>
      </w:r>
    </w:p>
    <w:p>
      <w:pPr>
        <w:pStyle w:val="Lista3"/>
      </w:pPr>
      <w:r>
        <w:t xml:space="preserve">the vowel killer </w:t>
      </w:r>
      <w:r>
        <w:rPr>
          <w:rStyle w:val="Foreign"/>
        </w:rPr>
        <w:t>virāma</w:t>
      </w:r>
      <w:r>
        <w:t xml:space="preserve"> &lt;·&gt; (TG §2.6.3)</w:t>
      </w:r>
    </w:p>
    <w:p>
      <w:pPr>
        <w:pStyle w:val="Lista"/>
      </w:pPr>
      <w:r>
        <w:t>recall from TG §2.3.1 that a grapheme is an emic (i.e. abstract) entity, not an actual graphic sign</w:t>
      </w:r>
    </w:p>
    <w:p>
      <w:pPr>
        <w:pStyle w:val="Lista2"/>
      </w:pPr>
      <w:r>
        <w:t>the etic (concrete) graphic signs corresponding to graphemes are called graphs</w:t>
      </w:r>
    </w:p>
    <w:p>
      <w:pPr>
        <w:pStyle w:val="Lista"/>
      </w:pPr>
      <w:r>
        <w:t>recall from TG §2.4.1 that the autonomous graphic segments of writing are what we call characters</w:t>
      </w:r>
    </w:p>
    <w:p>
      <w:pPr>
        <w:pStyle w:val="Lista2"/>
      </w:pPr>
      <w:r>
        <w:t>characters are not the same as graphemes: the two normally coincide in the Latin writing system but tend not to coincide in the Indic writing system</w:t>
      </w:r>
    </w:p>
    <w:p>
      <w:pPr>
        <w:pStyle w:val="Lista2"/>
      </w:pPr>
      <w:r>
        <w:t xml:space="preserve">the characters of the Indic writing system, called </w:t>
      </w:r>
      <w:r>
        <w:rPr>
          <w:rStyle w:val="Foreign"/>
        </w:rPr>
        <w:t>akṣara</w:t>
      </w:r>
      <w:r>
        <w:rPr>
          <w:rStyle w:val="Foreign"/>
          <w:i w:val="0"/>
          <w:iCs w:val="0"/>
        </w:rPr>
        <w:t>s</w:t>
      </w:r>
      <w:r>
        <w:t xml:space="preserve"> in Sanskrit, are thus </w:t>
      </w:r>
      <w:r>
        <w:rPr>
          <w:i/>
          <w:iCs/>
        </w:rPr>
        <w:t>not</w:t>
      </w:r>
      <w:r>
        <w:t xml:space="preserve"> graphemes (TG §2.3.1.1)</w:t>
      </w:r>
    </w:p>
    <w:p>
      <w:pPr>
        <w:pStyle w:val="Lista3"/>
      </w:pPr>
      <w:r>
        <w:t xml:space="preserve">typical </w:t>
      </w:r>
      <w:r>
        <w:rPr>
          <w:rStyle w:val="Foreign"/>
        </w:rPr>
        <w:t>akṣara</w:t>
      </w:r>
      <w:r>
        <w:rPr>
          <w:rStyle w:val="Foreign"/>
          <w:i w:val="0"/>
          <w:iCs w:val="0"/>
        </w:rPr>
        <w:t>s</w:t>
      </w:r>
      <w:r>
        <w:t xml:space="preserve"> such as &lt;ka&gt; and </w:t>
      </w:r>
      <w:r>
        <w:rPr>
          <w:noProof/>
        </w:rPr>
        <w:t>&lt;rddhe&gt;</w:t>
      </w:r>
      <w:r>
        <w:t xml:space="preserve"> are comprised of two or more graphemes</w:t>
      </w:r>
    </w:p>
    <w:p>
      <w:pPr>
        <w:pStyle w:val="Lista3"/>
      </w:pPr>
      <w:r>
        <w:t xml:space="preserve">although some </w:t>
      </w:r>
      <w:r>
        <w:rPr>
          <w:rStyle w:val="Foreign"/>
        </w:rPr>
        <w:t>akṣara</w:t>
      </w:r>
      <w:r>
        <w:rPr>
          <w:noProof/>
        </w:rPr>
        <w:t>s</w:t>
      </w:r>
      <w:r>
        <w:t>, such as &lt;A&gt; and &lt;K&gt; are comprised of a single grapheme</w:t>
      </w:r>
    </w:p>
    <w:p>
      <w:pPr>
        <w:pStyle w:val="Lista"/>
      </w:pPr>
      <w:r>
        <w:t xml:space="preserve">digraphs, such as </w:t>
      </w:r>
      <w:r>
        <w:rPr>
          <w:rStyle w:val="Foreign"/>
        </w:rPr>
        <w:t>au</w:t>
      </w:r>
      <w:r>
        <w:t xml:space="preserve"> and </w:t>
      </w:r>
      <w:r>
        <w:rPr>
          <w:rStyle w:val="Foreign"/>
        </w:rPr>
        <w:t>kh</w:t>
      </w:r>
      <w:r>
        <w:t xml:space="preserve"> in our transliteration scheme or </w:t>
      </w:r>
      <w:r>
        <w:rPr>
          <w:rStyle w:val="Foreign"/>
        </w:rPr>
        <w:t>sh</w:t>
      </w:r>
      <w:r>
        <w:t xml:space="preserve"> and </w:t>
      </w:r>
      <w:r>
        <w:rPr>
          <w:rStyle w:val="Foreign"/>
        </w:rPr>
        <w:t>th</w:t>
      </w:r>
      <w:r>
        <w:t xml:space="preserve"> in the English writing system, are neither graphemes nor characters</w:t>
      </w:r>
    </w:p>
    <w:p>
      <w:pPr>
        <w:pStyle w:val="Lista2"/>
      </w:pPr>
      <w:r>
        <w:t>instead, they are simply clusters of graphemes (and, in the Latin writing system, of characters) which, when occurring together, are mapped to a particular spoken phoneme</w:t>
      </w:r>
    </w:p>
    <w:p>
      <w:pPr>
        <w:pStyle w:val="Lista2"/>
      </w:pPr>
      <w:r>
        <w:t xml:space="preserve">however, the digraphs of our transliteration </w:t>
      </w:r>
      <w:r>
        <w:rPr>
          <w:i/>
          <w:iCs/>
        </w:rPr>
        <w:t>represent</w:t>
      </w:r>
      <w:r>
        <w:t xml:space="preserve"> single source graphemes, such as the graphemes &lt;au&gt; and </w:t>
      </w:r>
      <w:r>
        <w:rPr>
          <w:noProof/>
        </w:rPr>
        <w:t>&lt;kh&gt;</w:t>
      </w:r>
      <w:r>
        <w:t xml:space="preserve"> of the Indic writing system</w:t>
      </w:r>
    </w:p>
    <w:p>
      <w:pPr>
        <w:pStyle w:val="Lista"/>
      </w:pPr>
      <w:r>
        <w:t>like graphemes, characters are emic units</w:t>
      </w:r>
    </w:p>
    <w:p>
      <w:pPr>
        <w:pStyle w:val="Lista2"/>
      </w:pPr>
      <w:r>
        <w:t>their etic counterparts, i.e. their concrete written manifestations, are called glyphs</w:t>
      </w:r>
    </w:p>
    <w:p>
      <w:pPr>
        <w:pStyle w:val="Lista2"/>
      </w:pPr>
      <w:r>
        <w:t xml:space="preserve">the term </w:t>
      </w:r>
      <w:r>
        <w:rPr>
          <w:rStyle w:val="Foreign"/>
        </w:rPr>
        <w:t>akṣara</w:t>
      </w:r>
      <w:r>
        <w:t xml:space="preserve"> may refer either to a character or a glyph of the Indic writing system</w:t>
      </w:r>
    </w:p>
    <w:p>
      <w:pPr>
        <w:pStyle w:val="Lista"/>
      </w:pPr>
      <w:r>
        <w:t>as discussed in TG §2.4.3, the Indic writing system’s characters and glyphs can both be complex, and the former (graphemic complexity) and the latter (graphetic complexity) do not always coincide, although they usually do so</w:t>
      </w:r>
    </w:p>
    <w:p>
      <w:pPr>
        <w:pStyle w:val="Lista"/>
      </w:pPr>
      <w:r>
        <w:t>the constituent graphs of complex glyphs can themselves consist of several parts, which we call graphic elements or simply elements</w:t>
      </w:r>
    </w:p>
    <w:p>
      <w:pPr>
        <w:pStyle w:val="Lista2"/>
      </w:pPr>
      <w:r>
        <w:t>graphic elements are not graphs because they do not manifest graphemes, i.e. they do not signify linguistic information in a given domain of analytic interest</w:t>
      </w:r>
    </w:p>
    <w:p>
      <w:pPr>
        <w:pStyle w:val="Lista2"/>
      </w:pPr>
      <w:r>
        <w:t>some graphic elements can, however, look identical to certain graphs because of the phenomenon called dual patterning (TG §2.4.4.1)</w:t>
      </w:r>
    </w:p>
    <w:p>
      <w:pPr>
        <w:pStyle w:val="Lista3"/>
      </w:pPr>
      <w:r>
        <w:t xml:space="preserve">for example, Devanagari </w:t>
      </w:r>
      <w:r>
        <w:rPr>
          <w:rFonts w:cs="Latha"/>
          <w:lang w:bidi="ta-IN"/>
        </w:rPr>
        <w:t>|</w:t>
      </w:r>
      <w:r>
        <w:rPr>
          <w:rStyle w:val="ForeignDevanagariScript0"/>
          <w:rFonts w:hint="cs"/>
          <w:cs/>
        </w:rPr>
        <w:t>ा</w:t>
      </w:r>
      <w:r>
        <w:rPr>
          <w:rFonts w:cs="Latha"/>
          <w:lang w:bidi="ta-IN"/>
        </w:rPr>
        <w:t>|</w:t>
      </w:r>
      <w:r>
        <w:t xml:space="preserve"> is a graph</w:t>
      </w:r>
      <w:r>
        <w:rPr>
          <w:rFonts w:hint="cs"/>
          <w:cs/>
        </w:rPr>
        <w:t xml:space="preserve"> </w:t>
      </w:r>
      <w:r>
        <w:t xml:space="preserve">(corresponding to the grapheme &lt;ā&gt;) in the glyph </w:t>
      </w:r>
      <w:r>
        <w:rPr>
          <w:rFonts w:cs="Latha"/>
          <w:lang w:bidi="ta-IN"/>
        </w:rPr>
        <w:t>|</w:t>
      </w:r>
      <w:r>
        <w:rPr>
          <w:rStyle w:val="ForeignDevanagariScript0"/>
          <w:rFonts w:hint="cs"/>
          <w:cs/>
        </w:rPr>
        <w:t>का</w:t>
      </w:r>
      <w:r>
        <w:rPr>
          <w:rFonts w:cs="Latha"/>
          <w:lang w:bidi="ta-IN"/>
        </w:rPr>
        <w:t>|</w:t>
      </w:r>
      <w:r>
        <w:t xml:space="preserve"> (corresponding to the character </w:t>
      </w:r>
      <w:r>
        <w:rPr>
          <w:noProof/>
        </w:rPr>
        <w:t>&lt;kā&gt;</w:t>
      </w:r>
      <w:r>
        <w:t>)</w:t>
      </w:r>
    </w:p>
    <w:p>
      <w:pPr>
        <w:pStyle w:val="Lista3"/>
      </w:pPr>
      <w:r>
        <w:t xml:space="preserve">but in the glyph </w:t>
      </w:r>
      <w:r>
        <w:rPr>
          <w:rFonts w:cs="Latha"/>
          <w:lang w:bidi="ta-IN"/>
        </w:rPr>
        <w:t>|</w:t>
      </w:r>
      <w:r>
        <w:rPr>
          <w:rStyle w:val="ForeignDevanagariScript0"/>
          <w:rFonts w:hint="cs"/>
          <w:cs/>
        </w:rPr>
        <w:t>को</w:t>
      </w:r>
      <w:r>
        <w:rPr>
          <w:rFonts w:cs="Latha"/>
          <w:lang w:bidi="ta-IN"/>
        </w:rPr>
        <w:t xml:space="preserve">| (&lt;ko&gt;), </w:t>
      </w:r>
      <w:r>
        <w:t xml:space="preserve">the same shape </w:t>
      </w:r>
      <w:r>
        <w:rPr>
          <w:rFonts w:cs="Latha"/>
          <w:lang w:bidi="ta-IN"/>
        </w:rPr>
        <w:t>|</w:t>
      </w:r>
      <w:r>
        <w:rPr>
          <w:rStyle w:val="ForeignDevanagariScript0"/>
          <w:rFonts w:hint="cs"/>
          <w:cs/>
        </w:rPr>
        <w:t>ा</w:t>
      </w:r>
      <w:r>
        <w:rPr>
          <w:rFonts w:cs="Latha"/>
          <w:lang w:bidi="ta-IN"/>
        </w:rPr>
        <w:t>|</w:t>
      </w:r>
      <w:r>
        <w:t xml:space="preserve"> is merely an element (of the graph </w:t>
      </w:r>
      <w:r>
        <w:rPr>
          <w:rFonts w:cs="Latha"/>
          <w:lang w:bidi="ta-IN"/>
        </w:rPr>
        <w:t>|</w:t>
      </w:r>
      <w:r>
        <w:rPr>
          <w:rStyle w:val="ForeignDevanagariScript0"/>
          <w:rFonts w:hint="cs"/>
          <w:cs/>
        </w:rPr>
        <w:t>ो</w:t>
      </w:r>
      <w:r>
        <w:rPr>
          <w:rFonts w:cs="Latha"/>
          <w:lang w:bidi="ta-IN"/>
        </w:rPr>
        <w:t>| corresponding to the grapheme &lt;o&gt;)</w:t>
      </w:r>
    </w:p>
    <w:p>
      <w:pPr>
        <w:pStyle w:val="Lista3"/>
      </w:pPr>
      <w:r>
        <w:rPr>
          <w:rFonts w:cs="Latha"/>
          <w:lang w:bidi="ta-IN"/>
        </w:rPr>
        <w:t>analogously, Latin |l| in itself is a graph (corresponding to the grapheme &lt;l&gt;), but in the graph |k| the same shape |l|</w:t>
      </w:r>
      <w:r>
        <w:t xml:space="preserve"> is merely an element</w:t>
      </w:r>
    </w:p>
    <w:p>
      <w:pPr>
        <w:pStyle w:val="Cmsor3"/>
      </w:pPr>
      <w:bookmarkStart w:id="1031" w:name="_Toc242976745"/>
      <w:r>
        <w:t>Encoding Indic documents in Romanised transliteration</w:t>
      </w:r>
      <w:bookmarkEnd w:id="1031"/>
    </w:p>
    <w:p>
      <w:r>
        <w:t>The minimal units of our encoding are always source graphemes, meaning that encoding can never apply to anything that is smaller than a source grapheme, and alterations to the text below the level of source graphemes must be represented as alterations at the level of source graphemes. In the light of the grapholinguistic concepts summarised in §</w:t>
      </w:r>
      <w:r>
        <w:fldChar w:fldCharType="begin"/>
      </w:r>
      <w:r>
        <w:instrText xml:space="preserve"> REF _Ref232085052 \r \h </w:instrText>
      </w:r>
      <w:r>
        <w:fldChar w:fldCharType="separate"/>
      </w:r>
      <w:r>
        <w:t>16.3.1</w:t>
      </w:r>
      <w:r>
        <w:fldChar w:fldCharType="end"/>
      </w:r>
      <w:r>
        <w:t xml:space="preserve"> above, this has the following implications. Because encoding a change in the text is most prone to confusion over graphemic units, the potential problems are also discussed separately and explicitly for the encoding of scribal intervention (§</w:t>
      </w:r>
      <w:r>
        <w:fldChar w:fldCharType="begin"/>
      </w:r>
      <w:r>
        <w:instrText xml:space="preserve"> REF _Ref228890328 \r \h </w:instrText>
      </w:r>
      <w:r>
        <w:fldChar w:fldCharType="separate"/>
      </w:r>
      <w:r>
        <w:t>5.5.4</w:t>
      </w:r>
      <w:r>
        <w:fldChar w:fldCharType="end"/>
      </w:r>
      <w:r>
        <w:t>) and editorial intervention (§</w:t>
      </w:r>
      <w:r>
        <w:fldChar w:fldCharType="begin"/>
      </w:r>
      <w:r>
        <w:instrText xml:space="preserve"> REF _Ref228952859 \r \h </w:instrText>
      </w:r>
      <w:r>
        <w:fldChar w:fldCharType="separate"/>
      </w:r>
      <w:r>
        <w:t>7.7.1</w:t>
      </w:r>
      <w:r>
        <w:fldChar w:fldCharType="end"/>
      </w:r>
      <w:r>
        <w:t>).</w:t>
      </w:r>
    </w:p>
    <w:p>
      <w:pPr>
        <w:pStyle w:val="Lista"/>
      </w:pPr>
      <w:r>
        <w:t xml:space="preserve">encoding </w:t>
      </w:r>
      <w:r>
        <w:rPr>
          <w:i/>
          <w:iCs/>
        </w:rPr>
        <w:t xml:space="preserve">cannot </w:t>
      </w:r>
      <w:r>
        <w:t xml:space="preserve">apply to individual target graphemes which are members of a digraph in our transliteration system, such as </w:t>
      </w:r>
      <w:r>
        <w:rPr>
          <w:rStyle w:val="Foreign"/>
        </w:rPr>
        <w:t>au</w:t>
      </w:r>
      <w:r>
        <w:t xml:space="preserve"> and </w:t>
      </w:r>
      <w:r>
        <w:rPr>
          <w:rStyle w:val="Foreign"/>
        </w:rPr>
        <w:t>kh</w:t>
      </w:r>
    </w:p>
    <w:p>
      <w:pPr>
        <w:pStyle w:val="Lista2"/>
      </w:pPr>
      <w:r>
        <w:t>digraphs are for our purposes atomic units, as their members do not, in themselves, represent a source grapheme</w:t>
      </w:r>
    </w:p>
    <w:p>
      <w:pPr>
        <w:pStyle w:val="Lista2"/>
      </w:pPr>
      <w:r>
        <w:lastRenderedPageBreak/>
        <w:t xml:space="preserve">for example, the glyphs for &lt;pa&gt; and </w:t>
      </w:r>
      <w:r>
        <w:rPr>
          <w:noProof/>
        </w:rPr>
        <w:t>&lt;pha&gt;</w:t>
      </w:r>
      <w:r>
        <w:t xml:space="preserve"> look rather similar in many Indic scripts, but in a hypothetical situation where the editor is uncertain which of these was inscribed, encoding </w:t>
      </w:r>
      <w:r>
        <w:rPr>
          <w:rStyle w:val="Codetext"/>
        </w:rPr>
        <w:t>p</w:t>
      </w:r>
      <w:r>
        <w:rPr>
          <w:rStyle w:val="Code"/>
        </w:rPr>
        <w:t xml:space="preserve">&lt;unclear </w:t>
      </w:r>
      <w:r>
        <w:rPr>
          <w:rStyle w:val="Codeattribute"/>
        </w:rPr>
        <w:t>cert</w:t>
      </w:r>
      <w:r>
        <w:rPr>
          <w:rStyle w:val="Code"/>
        </w:rPr>
        <w:t>=</w:t>
      </w:r>
      <w:r>
        <w:rPr>
          <w:rStyle w:val="Codevalue"/>
        </w:rPr>
        <w:t>"low"</w:t>
      </w:r>
      <w:r>
        <w:rPr>
          <w:rStyle w:val="Code"/>
        </w:rPr>
        <w:t>&gt;</w:t>
      </w:r>
      <w:r>
        <w:rPr>
          <w:rStyle w:val="Codetext"/>
        </w:rPr>
        <w:t>h</w:t>
      </w:r>
      <w:r>
        <w:rPr>
          <w:rStyle w:val="Code"/>
        </w:rPr>
        <w:t>&lt;/unclear&gt;</w:t>
      </w:r>
      <w:r>
        <w:rPr>
          <w:rStyle w:val="Codetext"/>
        </w:rPr>
        <w:t>a</w:t>
      </w:r>
      <w:r>
        <w:t xml:space="preserve"> is </w:t>
      </w:r>
      <w:r>
        <w:rPr>
          <w:i/>
          <w:iCs/>
        </w:rPr>
        <w:t>not</w:t>
      </w:r>
      <w:r>
        <w:t xml:space="preserve"> an option</w:t>
      </w:r>
    </w:p>
    <w:p>
      <w:pPr>
        <w:pStyle w:val="Lista3"/>
      </w:pPr>
      <w:r>
        <w:t>(instead, encode the more likely reading as unclear or both as an ambivalent choice)</w:t>
      </w:r>
    </w:p>
    <w:p>
      <w:pPr>
        <w:pStyle w:val="Lista"/>
      </w:pPr>
      <w:r>
        <w:t xml:space="preserve">encoding </w:t>
      </w:r>
      <w:r>
        <w:rPr>
          <w:i/>
          <w:iCs/>
        </w:rPr>
        <w:t xml:space="preserve">can </w:t>
      </w:r>
      <w:r>
        <w:t>apply to source graphemes which are components of a complex character in the source, even if it would be impossible to single them out in the original script</w:t>
      </w:r>
    </w:p>
    <w:p>
      <w:pPr>
        <w:pStyle w:val="Lista2"/>
      </w:pPr>
      <w:r>
        <w:t xml:space="preserve">while a printed edition in an Indic script such as Devanagari often applies editorial markup (such as brackets) to entire </w:t>
      </w:r>
      <w:r>
        <w:rPr>
          <w:rStyle w:val="Foreign"/>
        </w:rPr>
        <w:t>akṣara</w:t>
      </w:r>
      <w:r>
        <w:rPr>
          <w:rStyle w:val="Foreign"/>
          <w:i w:val="0"/>
          <w:iCs w:val="0"/>
        </w:rPr>
        <w:t>s</w:t>
      </w:r>
      <w:r>
        <w:t xml:space="preserve">, this need not and should not be done in a digital edition of a transliterated text unless of course the markup in question is applicable to all the graphemes of an </w:t>
      </w:r>
      <w:r>
        <w:rPr>
          <w:rStyle w:val="Foreign"/>
        </w:rPr>
        <w:t>akṣara</w:t>
      </w:r>
    </w:p>
    <w:p>
      <w:pPr>
        <w:pStyle w:val="Lista2"/>
        <w:rPr>
          <w:rStyle w:val="Codetext"/>
          <w:rFonts w:ascii="Gentium" w:hAnsi="Gentium" w:cs="Tiro Devanagari Sanskrit"/>
          <w:noProof w:val="0"/>
          <w:color w:val="auto"/>
          <w:shd w:val="clear" w:color="auto" w:fill="auto"/>
        </w:rPr>
      </w:pPr>
      <w:r>
        <w:t xml:space="preserve">for example, if the subscript part of the glyph |dvi| is unclear while the rest of it is clear, the correct encoding is </w:t>
      </w:r>
      <w:r>
        <w:rPr>
          <w:rStyle w:val="Codetext"/>
        </w:rPr>
        <w:t>d</w:t>
      </w:r>
      <w:r>
        <w:rPr>
          <w:rStyle w:val="Code"/>
        </w:rPr>
        <w:t>&lt;unclear&gt;</w:t>
      </w:r>
      <w:r>
        <w:rPr>
          <w:rStyle w:val="Codetext"/>
        </w:rPr>
        <w:t>v</w:t>
      </w:r>
      <w:r>
        <w:rPr>
          <w:rStyle w:val="Code"/>
        </w:rPr>
        <w:t>&lt;/unclear&gt;</w:t>
      </w:r>
      <w:r>
        <w:rPr>
          <w:rStyle w:val="Codetext"/>
        </w:rPr>
        <w:t>i</w:t>
      </w:r>
      <w:r>
        <w:t xml:space="preserve">, and </w:t>
      </w:r>
      <w:r>
        <w:rPr>
          <w:i/>
          <w:iCs/>
        </w:rPr>
        <w:t>not</w:t>
      </w:r>
      <w:r>
        <w:t xml:space="preserve"> </w:t>
      </w:r>
      <w:r>
        <w:rPr>
          <w:rStyle w:val="Code"/>
        </w:rPr>
        <w:t>&lt;unclear&gt;</w:t>
      </w:r>
      <w:r>
        <w:rPr>
          <w:rStyle w:val="Codetext"/>
        </w:rPr>
        <w:t>dvi</w:t>
      </w:r>
      <w:r>
        <w:rPr>
          <w:rStyle w:val="Code"/>
        </w:rPr>
        <w:t>&lt;/unclear&gt;</w:t>
      </w:r>
    </w:p>
    <w:p>
      <w:pPr>
        <w:pStyle w:val="Lista"/>
      </w:pPr>
      <w:r>
        <w:t xml:space="preserve">when encoding scribal and editorial intervention, modifications that involve the addition or deletion of a source graph (such as a vowel marker or a </w:t>
      </w:r>
      <w:r>
        <w:rPr>
          <w:rStyle w:val="Foreign"/>
        </w:rPr>
        <w:t>virāma</w:t>
      </w:r>
      <w:r>
        <w:t>) cannot be encoded as addition or deletion because on the graphemic level it results in the swapping of one grapheme for another</w:t>
      </w:r>
    </w:p>
    <w:p>
      <w:pPr>
        <w:pStyle w:val="Lista2"/>
      </w:pPr>
      <w:r>
        <w:t xml:space="preserve">instead, they must be encoded as a substitution (of the inherent vowel with another vowel or the </w:t>
      </w:r>
      <w:r>
        <w:rPr>
          <w:rStyle w:val="Foreign"/>
        </w:rPr>
        <w:t>virāma</w:t>
      </w:r>
      <w:r>
        <w:t>, or vice versa), as discussed in more detail with examples in §</w:t>
      </w:r>
      <w:r>
        <w:fldChar w:fldCharType="begin"/>
      </w:r>
      <w:r>
        <w:instrText xml:space="preserve"> REF _Ref228890328 \r \h </w:instrText>
      </w:r>
      <w:r>
        <w:fldChar w:fldCharType="separate"/>
      </w:r>
      <w:r>
        <w:t>5.5.4</w:t>
      </w:r>
      <w:r>
        <w:fldChar w:fldCharType="end"/>
      </w:r>
      <w:r>
        <w:t xml:space="preserve"> and §</w:t>
      </w:r>
      <w:r>
        <w:fldChar w:fldCharType="begin"/>
      </w:r>
      <w:r>
        <w:instrText xml:space="preserve"> REF _Ref228952859 \r \h </w:instrText>
      </w:r>
      <w:r>
        <w:fldChar w:fldCharType="separate"/>
      </w:r>
      <w:r>
        <w:t>7.7.1</w:t>
      </w:r>
      <w:r>
        <w:fldChar w:fldCharType="end"/>
      </w:r>
    </w:p>
    <w:p>
      <w:pPr>
        <w:pStyle w:val="Lista"/>
      </w:pPr>
      <w:r>
        <w:t xml:space="preserve">because our transliteration treats the independent forms of vowels and consonants as graphemes distinct from their </w:t>
      </w:r>
      <w:r>
        <w:rPr>
          <w:noProof/>
        </w:rPr>
        <w:t>in-</w:t>
      </w:r>
      <w:r>
        <w:rPr>
          <w:rStyle w:val="Foreign"/>
        </w:rPr>
        <w:t>akṣara</w:t>
      </w:r>
      <w:r>
        <w:t xml:space="preserve"> forms, when encoding editorial intervention, modifications that involve the addition or deletion of a grapheme may require an adjacent grapheme to be changed from its </w:t>
      </w:r>
      <w:r>
        <w:rPr>
          <w:noProof/>
        </w:rPr>
        <w:t>in-</w:t>
      </w:r>
      <w:r>
        <w:rPr>
          <w:rStyle w:val="Foreign"/>
        </w:rPr>
        <w:t>akṣara</w:t>
      </w:r>
      <w:r>
        <w:t xml:space="preserve"> form to its independent form or vice versa</w:t>
      </w:r>
    </w:p>
    <w:p>
      <w:pPr>
        <w:pStyle w:val="Lista2"/>
      </w:pPr>
      <w:r>
        <w:t>this is discussed in more detail with examples in §</w:t>
      </w:r>
      <w:r>
        <w:fldChar w:fldCharType="begin"/>
      </w:r>
      <w:r>
        <w:instrText xml:space="preserve"> REF _Ref228952859 \r \h </w:instrText>
      </w:r>
      <w:r>
        <w:fldChar w:fldCharType="separate"/>
      </w:r>
      <w:r>
        <w:t>7.7.1</w:t>
      </w:r>
      <w:r>
        <w:fldChar w:fldCharType="end"/>
      </w:r>
    </w:p>
    <w:bookmarkEnd w:id="1028"/>
    <w:p>
      <w:pPr>
        <w:pStyle w:val="Cm"/>
      </w:pPr>
      <w:r>
        <w:lastRenderedPageBreak/>
        <w:t>Appendices</w:t>
      </w:r>
    </w:p>
    <w:p>
      <w:pPr>
        <w:pStyle w:val="Tabletext"/>
      </w:pPr>
      <w:bookmarkStart w:id="1032" w:name="_qidxc825gutk" w:colFirst="0" w:colLast="0"/>
      <w:bookmarkEnd w:id="1032"/>
    </w:p>
    <w:p>
      <w:pPr>
        <w:pStyle w:val="Cmsor1"/>
        <w:numPr>
          <w:ilvl w:val="0"/>
          <w:numId w:val="7"/>
        </w:numPr>
      </w:pPr>
      <w:bookmarkStart w:id="1033" w:name="_9d8e21ca9gia" w:colFirst="0" w:colLast="0"/>
      <w:bookmarkStart w:id="1034" w:name="_Ref43985466"/>
      <w:bookmarkEnd w:id="1033"/>
      <w:r>
        <w:lastRenderedPageBreak/>
        <w:t>Case Studies in encoding complex layout</w:t>
      </w:r>
      <w:bookmarkEnd w:id="1034"/>
    </w:p>
    <w:p>
      <w:pPr>
        <w:pStyle w:val="Cmsor2"/>
        <w:numPr>
          <w:ilvl w:val="1"/>
          <w:numId w:val="7"/>
        </w:numPr>
      </w:pPr>
      <w:bookmarkStart w:id="1035" w:name="_fxhw8prafv6z" w:colFirst="0" w:colLast="0"/>
      <w:bookmarkStart w:id="1036" w:name="_Ref239844299"/>
      <w:bookmarkEnd w:id="1035"/>
      <w:r>
        <w:t>Slab in two non-contiguous fragments</w:t>
      </w:r>
      <w:bookmarkEnd w:id="1036"/>
    </w:p>
    <w:p>
      <w:pPr>
        <w:pStyle w:val="Image"/>
      </w:pPr>
      <w:r>
        <w:drawing>
          <wp:inline distT="0" distB="0" distL="0" distR="0">
            <wp:extent cx="4497070" cy="3056890"/>
            <wp:effectExtent l="0" t="0" r="0" b="0"/>
            <wp:docPr id="27767941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97070" cy="3056890"/>
                    </a:xfrm>
                    <a:prstGeom prst="rect">
                      <a:avLst/>
                    </a:prstGeom>
                    <a:noFill/>
                    <a:ln>
                      <a:noFill/>
                    </a:ln>
                  </pic:spPr>
                </pic:pic>
              </a:graphicData>
            </a:graphic>
          </wp:inline>
        </w:drawing>
      </w:r>
    </w:p>
    <w:p>
      <w:pPr>
        <w:pStyle w:val="Lista"/>
      </w:pPr>
      <w:r>
        <w:t>here we have two fragments of a slab, which are clearly from the top and bottom of a single inscription, but there is no way to know how much text is lost between the two</w:t>
      </w:r>
    </w:p>
    <w:p>
      <w:pPr>
        <w:pStyle w:val="Lista"/>
      </w:pPr>
      <w:r>
        <w:t>therefore the fragments have been encoded as textpart divisions as per §</w:t>
      </w:r>
      <w:r>
        <w:fldChar w:fldCharType="begin"/>
      </w:r>
      <w:r>
        <w:instrText xml:space="preserve"> REF _Ref225346692 \r \h </w:instrText>
      </w:r>
      <w:r>
        <w:fldChar w:fldCharType="separate"/>
      </w:r>
      <w:r>
        <w:t>4.7.3.2</w:t>
      </w:r>
      <w:r>
        <w:fldChar w:fldCharType="end"/>
      </w:r>
    </w:p>
    <w:p>
      <w:pPr>
        <w:pStyle w:val="Lista"/>
      </w:pPr>
      <w:r>
        <w:t>the lost text in between is not encoded, as per §</w:t>
      </w:r>
      <w:r>
        <w:fldChar w:fldCharType="begin"/>
      </w:r>
      <w:r>
        <w:instrText xml:space="preserve"> REF _Ref43981711 \w \h  \* MERGEFORMAT </w:instrText>
      </w:r>
      <w:r>
        <w:fldChar w:fldCharType="separate"/>
      </w:r>
      <w:r>
        <w:t>6.5.4</w:t>
      </w:r>
      <w:r>
        <w:fldChar w:fldCharType="end"/>
      </w:r>
    </w:p>
    <w:p>
      <w:pPr>
        <w:pStyle w:val="Lista"/>
      </w:pPr>
      <w:r>
        <w:t>the incomplete semantic paragraphs are encoded as per §</w:t>
      </w:r>
      <w:r>
        <w:fldChar w:fldCharType="begin"/>
      </w:r>
      <w:r>
        <w:instrText xml:space="preserve"> REF _Ref228980509 \r \h </w:instrText>
      </w:r>
      <w:r>
        <w:fldChar w:fldCharType="separate"/>
      </w:r>
      <w:r>
        <w:t>3.2.3.1</w:t>
      </w:r>
      <w:r>
        <w:fldChar w:fldCharType="end"/>
      </w:r>
      <w:r>
        <w:t xml:space="preserve"> </w:t>
      </w:r>
    </w:p>
    <w:p>
      <w:pPr>
        <w:pStyle w:val="CodeParagraph"/>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r>
        <w:rPr>
          <w:rStyle w:val="Code"/>
        </w:rPr>
        <w:t xml:space="preserve">&lt;p </w:t>
      </w:r>
      <w:r>
        <w:rPr>
          <w:rStyle w:val="Codeattribute"/>
        </w:rPr>
        <w:t>part</w:t>
      </w:r>
      <w:r>
        <w:rPr>
          <w:rStyle w:val="Code"/>
        </w:rPr>
        <w:t>=</w:t>
      </w:r>
      <w:r>
        <w:rPr>
          <w:rStyle w:val="Codevalue"/>
        </w:rPr>
        <w:t>"I"</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 there lived 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nasty, dirty, wet hole, filled with the ends of worms</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/&gt;</w:t>
      </w:r>
      <w:r>
        <w:rPr>
          <w:rStyle w:val="Codetext"/>
        </w:rPr>
        <w:t>and an oozy smell, nor yet a dry, bare, sandy h</w:t>
      </w:r>
      <w:r>
        <w:rPr>
          <w:rStyle w:val="Code"/>
        </w:rPr>
        <w:t>&lt;unclear&gt;</w:t>
      </w:r>
      <w:r>
        <w:rPr>
          <w:rStyle w:val="Codetext"/>
        </w:rPr>
        <w:t>ol</w:t>
      </w:r>
      <w:r>
        <w:rPr>
          <w:rStyle w:val="Code"/>
        </w:rPr>
        <w:t xml:space="preserve">&lt;/unclear&gt;&lt;supplied </w:t>
      </w:r>
      <w:r>
        <w:rPr>
          <w:rStyle w:val="Codeattribute"/>
        </w:rPr>
        <w:t>reason</w:t>
      </w:r>
      <w:r>
        <w:rPr>
          <w:rStyle w:val="Code"/>
        </w:rPr>
        <w:t>=</w:t>
      </w:r>
      <w:r>
        <w:rPr>
          <w:rStyle w:val="Codevalue"/>
        </w:rPr>
        <w:t>"lost"</w:t>
      </w:r>
      <w:r>
        <w:rPr>
          <w:rStyle w:val="Code"/>
        </w:rPr>
        <w:t>&gt;</w:t>
      </w:r>
      <w:r>
        <w:rPr>
          <w:rStyle w:val="Codetext"/>
        </w:rPr>
        <w:t>e</w:t>
      </w:r>
      <w:r>
        <w:rPr>
          <w:rStyle w:val="Code"/>
        </w:rPr>
        <w:t>&lt;/supplied</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/&gt;</w:t>
      </w:r>
      <w:r>
        <w:rPr>
          <w:rStyle w:val="Codetext"/>
        </w:rPr>
        <w:t xml:space="preserve">with nothing in it to </w:t>
      </w:r>
      <w:r>
        <w:rPr>
          <w:rStyle w:val="Code"/>
        </w:rPr>
        <w:t xml:space="preserve">&lt;unclear </w:t>
      </w:r>
      <w:r>
        <w:rPr>
          <w:rStyle w:val="Codeattribute"/>
        </w:rPr>
        <w:t>cert</w:t>
      </w:r>
      <w:r>
        <w:rPr>
          <w:rStyle w:val="Code"/>
        </w:rPr>
        <w:t>=</w:t>
      </w:r>
      <w:r>
        <w:rPr>
          <w:rStyle w:val="Codevalue"/>
        </w:rPr>
        <w:t>"low"</w:t>
      </w:r>
      <w:r>
        <w:rPr>
          <w:rStyle w:val="Code"/>
        </w:rPr>
        <w:t>&gt;</w:t>
      </w:r>
      <w:r>
        <w:rPr>
          <w:rStyle w:val="Codetext"/>
        </w:rPr>
        <w:t>sit</w:t>
      </w:r>
      <w:r>
        <w:rPr>
          <w:rStyle w:val="Code"/>
        </w:rPr>
        <w:t>&lt;/unclear&gt;</w:t>
      </w:r>
      <w:r>
        <w:rPr>
          <w:rStyle w:val="Codetext"/>
        </w:rPr>
        <w:t xml:space="preserve"> down on or to eat: it </w:t>
      </w:r>
      <w:r>
        <w:rPr>
          <w:rStyle w:val="Code"/>
        </w:rPr>
        <w:t>&lt;unclear&gt;</w:t>
      </w:r>
      <w:r>
        <w:rPr>
          <w:rStyle w:val="Codetext"/>
        </w:rPr>
        <w:t>w</w:t>
      </w:r>
      <w:r>
        <w:rPr>
          <w:rStyle w:val="Code"/>
        </w:rPr>
        <w:t xml:space="preserve">&lt;/unclear&gt;&lt;supplied </w:t>
      </w:r>
      <w:r>
        <w:rPr>
          <w:rStyle w:val="Codeattribute"/>
        </w:rPr>
        <w:t>reason</w:t>
      </w:r>
      <w:r>
        <w:rPr>
          <w:rStyle w:val="Code"/>
        </w:rPr>
        <w:t>=</w:t>
      </w:r>
      <w:r>
        <w:rPr>
          <w:rStyle w:val="Codevalue"/>
        </w:rPr>
        <w:t>"lost"</w:t>
      </w:r>
      <w:r>
        <w:rPr>
          <w:rStyle w:val="Code"/>
        </w:rPr>
        <w:t>&gt;</w:t>
      </w:r>
      <w:r>
        <w:rPr>
          <w:rStyle w:val="Codetext"/>
        </w:rPr>
        <w:t>as a</w:t>
      </w:r>
      <w:r>
        <w:rPr>
          <w:rStyle w:val="Code"/>
        </w:rPr>
        <w:t>&lt;/supplied&gt;</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/&gt;</w:t>
      </w:r>
      <w:r>
        <w:rPr>
          <w:rStyle w:val="Codetext"/>
        </w:rPr>
        <w:t>hobbit-h</w:t>
      </w:r>
      <w:r>
        <w:rPr>
          <w:rStyle w:val="Code"/>
        </w:rPr>
        <w:t>&lt;unclear&gt;</w:t>
      </w:r>
      <w:r>
        <w:rPr>
          <w:rStyle w:val="Codetext"/>
        </w:rPr>
        <w:t>ol</w:t>
      </w:r>
      <w:r>
        <w:rPr>
          <w:rStyle w:val="Code"/>
        </w:rPr>
        <w:t xml:space="preserve">&lt;/unclear&gt;&lt;supplied </w:t>
      </w:r>
      <w:r>
        <w:rPr>
          <w:rStyle w:val="Codeattribute"/>
        </w:rPr>
        <w:t>reason</w:t>
      </w:r>
      <w:r>
        <w:rPr>
          <w:rStyle w:val="Code"/>
        </w:rPr>
        <w:t>=</w:t>
      </w:r>
      <w:r>
        <w:rPr>
          <w:rStyle w:val="Codevalue"/>
        </w:rPr>
        <w:t>"lost"</w:t>
      </w:r>
      <w:r>
        <w:rPr>
          <w:rStyle w:val="Code"/>
        </w:rPr>
        <w:t>&gt;</w:t>
      </w:r>
      <w:r>
        <w:rPr>
          <w:rStyle w:val="Codetext"/>
        </w:rPr>
        <w:t>e</w:t>
      </w:r>
      <w:r>
        <w:rPr>
          <w:rStyle w:val="Code"/>
        </w:rPr>
        <w:t>&lt;/supplied&gt;</w:t>
      </w:r>
      <w:r>
        <w:rPr>
          <w:rStyle w:val="Codetext"/>
        </w:rPr>
        <w:t xml:space="preserve">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"18"</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/&gt;&lt;unclear&gt;</w:t>
      </w:r>
      <w:r>
        <w:rPr>
          <w:rStyle w:val="Codetext"/>
        </w:rPr>
        <w:t>f</w:t>
      </w:r>
      <w:r>
        <w:rPr>
          <w:rStyle w:val="Code"/>
        </w:rPr>
        <w:t xml:space="preserve">&lt;/unclear&gt;&lt;gap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"12"</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w:t>
      </w:r>
      <w:r>
        <w:rPr>
          <w:rStyle w:val="Codetext"/>
        </w:rPr>
        <w:br/>
        <w:t xml:space="preserve">  </w:t>
      </w:r>
      <w:r>
        <w:rPr>
          <w:rStyle w:val="Code"/>
        </w:rPr>
        <w:t>&lt;/p&gt;</w:t>
      </w:r>
      <w:r>
        <w:rPr>
          <w:rStyle w:val="Codetext"/>
        </w:rPr>
        <w:br/>
      </w:r>
      <w:r>
        <w:rPr>
          <w:rStyle w:val="Code"/>
        </w:rPr>
        <w:t>&lt;/div&gt;</w:t>
      </w:r>
      <w:r>
        <w:rPr>
          <w:rStyle w:val="Codetext"/>
        </w:rPr>
        <w:br/>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br/>
        <w:t xml:space="preserve">  </w:t>
      </w:r>
      <w:r>
        <w:rPr>
          <w:rStyle w:val="Code"/>
        </w:rPr>
        <w:t xml:space="preserve">&lt;p </w:t>
      </w:r>
      <w:r>
        <w:rPr>
          <w:rStyle w:val="Codeattribute"/>
        </w:rPr>
        <w:t>part</w:t>
      </w:r>
      <w:r>
        <w:rPr>
          <w:rStyle w:val="Code"/>
        </w:rPr>
        <w:t>=</w:t>
      </w:r>
      <w:r>
        <w:rPr>
          <w:rStyle w:val="Codevalue"/>
        </w:rPr>
        <w:t>"F"</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"12"</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/&gt;&lt;unclear&gt;</w:t>
      </w:r>
      <w:r>
        <w:rPr>
          <w:rStyle w:val="Codetext"/>
        </w:rPr>
        <w:t>w</w:t>
      </w:r>
      <w:r>
        <w:rPr>
          <w:rStyle w:val="Code"/>
        </w:rPr>
        <w:t>&lt;/unclear&gt;</w:t>
      </w:r>
      <w:r>
        <w:rPr>
          <w:rStyle w:val="Codetext"/>
        </w:rPr>
        <w:t>as a very well-to-do hobbit, and his</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"5"</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/&gt;&lt;unclear&gt;</w:t>
      </w:r>
      <w:r>
        <w:rPr>
          <w:rStyle w:val="Codetext"/>
        </w:rPr>
        <w:t>w</w:t>
      </w:r>
      <w:r>
        <w:rPr>
          <w:rStyle w:val="Code"/>
        </w:rPr>
        <w:t>&lt;/unclear&gt;</w:t>
      </w:r>
      <w:r>
        <w:rPr>
          <w:rStyle w:val="Codetext"/>
        </w:rPr>
        <w:t>as Baggins. The Bagginses had lived in the</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/&gt;&lt;unclear&gt;</w:t>
      </w:r>
      <w:r>
        <w:rPr>
          <w:rStyle w:val="Codetext"/>
        </w:rPr>
        <w:t>n</w:t>
      </w:r>
      <w:r>
        <w:rPr>
          <w:rStyle w:val="Code"/>
        </w:rPr>
        <w:t>&lt;/unclear&gt;e</w:t>
      </w:r>
      <w:r>
        <w:rPr>
          <w:rStyle w:val="Codetext"/>
        </w:rPr>
        <w:t>ighbourhood of The Hill for time out of mind, and</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/&gt;</w:t>
      </w:r>
      <w:r>
        <w:rPr>
          <w:rStyle w:val="Codetext"/>
        </w:rPr>
        <w:t>people considered them very respectable</w:t>
      </w:r>
      <w:r>
        <w:rPr>
          <w:rStyle w:val="Codetext"/>
        </w:rPr>
        <w:br/>
        <w:t xml:space="preserve">  </w:t>
      </w:r>
      <w:r>
        <w:rPr>
          <w:rStyle w:val="Code"/>
        </w:rPr>
        <w:t>&lt;/p&gt;</w:t>
      </w:r>
      <w:r>
        <w:rPr>
          <w:rStyle w:val="Codetext"/>
        </w:rPr>
        <w:br/>
      </w:r>
      <w:r>
        <w:rPr>
          <w:rStyle w:val="Code"/>
        </w:rPr>
        <w:t>&lt;/div&gt;</w:t>
      </w:r>
    </w:p>
    <w:p>
      <w:pPr>
        <w:rPr>
          <w:lang w:eastAsia="en-US" w:bidi="ar-SA"/>
        </w:rPr>
      </w:pPr>
    </w:p>
    <w:p>
      <w:pPr>
        <w:pStyle w:val="Cmsor2"/>
        <w:numPr>
          <w:ilvl w:val="1"/>
          <w:numId w:val="7"/>
        </w:numPr>
      </w:pPr>
      <w:bookmarkStart w:id="1037" w:name="_mqsd94x1tblc" w:colFirst="0" w:colLast="0"/>
      <w:bookmarkStart w:id="1038" w:name="_Ref239844102"/>
      <w:bookmarkStart w:id="1039" w:name="_Ref239844124"/>
      <w:bookmarkStart w:id="1040" w:name="_Ref239844181"/>
      <w:bookmarkStart w:id="1041" w:name="_Ref239844274"/>
      <w:bookmarkStart w:id="1042" w:name="_Ref239844290"/>
      <w:bookmarkEnd w:id="1037"/>
      <w:r>
        <w:lastRenderedPageBreak/>
        <w:t>Copperplate charter with seal and other goodies</w:t>
      </w:r>
      <w:bookmarkEnd w:id="1038"/>
      <w:bookmarkEnd w:id="1039"/>
      <w:bookmarkEnd w:id="1040"/>
      <w:bookmarkEnd w:id="1041"/>
      <w:bookmarkEnd w:id="1042"/>
    </w:p>
    <w:p>
      <w:pPr>
        <w:pStyle w:val="Image"/>
      </w:pPr>
      <w:r>
        <w:drawing>
          <wp:inline distT="0" distB="0" distL="0" distR="0">
            <wp:extent cx="5400000" cy="5400000"/>
            <wp:effectExtent l="0" t="0" r="0" b="0"/>
            <wp:docPr id="15704250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400000" cy="5400000"/>
                    </a:xfrm>
                    <a:prstGeom prst="rect">
                      <a:avLst/>
                    </a:prstGeom>
                    <a:noFill/>
                    <a:ln>
                      <a:noFill/>
                    </a:ln>
                  </pic:spPr>
                </pic:pic>
              </a:graphicData>
            </a:graphic>
          </wp:inline>
        </w:drawing>
      </w:r>
    </w:p>
    <w:p>
      <w:pPr>
        <w:pStyle w:val="Lista"/>
      </w:pPr>
      <w:r>
        <w:t>this imaginary set of copper plates consists of</w:t>
      </w:r>
    </w:p>
    <w:p>
      <w:pPr>
        <w:pStyle w:val="Lista2"/>
      </w:pPr>
      <w:r>
        <w:t>an inscribed seal</w:t>
      </w:r>
    </w:p>
    <w:p>
      <w:pPr>
        <w:pStyle w:val="Lista2"/>
      </w:pPr>
      <w:r>
        <w:t>three plates, the first and the last inscribed only on their inner faces</w:t>
      </w:r>
    </w:p>
    <w:p>
      <w:pPr>
        <w:pStyle w:val="Lista3"/>
      </w:pPr>
      <w:r>
        <w:t>with foliation marks on the recto faces of the second and third plate</w:t>
      </w:r>
    </w:p>
    <w:p>
      <w:pPr>
        <w:pStyle w:val="Lista3"/>
      </w:pPr>
      <w:r>
        <w:t>with an inset initial text on the first page</w:t>
      </w:r>
    </w:p>
    <w:p>
      <w:pPr>
        <w:pStyle w:val="Lista3"/>
      </w:pPr>
      <w:r>
        <w:t>with a visually separated colophon on the last page</w:t>
      </w:r>
    </w:p>
    <w:p>
      <w:pPr>
        <w:pStyle w:val="Lista"/>
      </w:pPr>
      <w:r>
        <w:t xml:space="preserve">the seal and the plates comprise a boxlike partition that must be encoded as two textpart divisions </w:t>
      </w:r>
      <w:r>
        <w:rPr>
          <w:noProof/>
        </w:rPr>
        <w:t>(</w:t>
      </w:r>
      <w:r>
        <w:t>§</w:t>
      </w:r>
      <w:r>
        <w:fldChar w:fldCharType="begin"/>
      </w:r>
      <w:r>
        <w:instrText xml:space="preserve"> REF _Ref225778181 \r \h </w:instrText>
      </w:r>
      <w:r>
        <w:fldChar w:fldCharType="separate"/>
      </w:r>
      <w:r>
        <w:t>4.2</w:t>
      </w:r>
      <w:r>
        <w:fldChar w:fldCharType="end"/>
      </w:r>
      <w:r>
        <w:t>)</w:t>
      </w:r>
    </w:p>
    <w:p>
      <w:pPr>
        <w:pStyle w:val="Lista"/>
      </w:pPr>
      <w:r>
        <w:t xml:space="preserve">the second division is a virtual zone subdivided into pagelike partitions </w:t>
      </w:r>
      <w:r>
        <w:rPr>
          <w:noProof/>
        </w:rPr>
        <w:t>(</w:t>
      </w:r>
      <w:r>
        <w:t>§</w:t>
      </w:r>
      <w:r>
        <w:fldChar w:fldCharType="begin"/>
      </w:r>
      <w:r>
        <w:instrText xml:space="preserve"> REF _Ref233982406 \r \h </w:instrText>
      </w:r>
      <w:r>
        <w:fldChar w:fldCharType="separate"/>
      </w:r>
      <w:r>
        <w:t>4.4</w:t>
      </w:r>
      <w:r>
        <w:fldChar w:fldCharType="end"/>
      </w:r>
      <w:r>
        <w:t xml:space="preserve">), which are actual pages and must thus be encoded as </w:t>
      </w:r>
      <w:r>
        <w:rPr>
          <w:rStyle w:val="Code"/>
        </w:rPr>
        <w:t>&lt;pb/&gt;</w:t>
      </w:r>
      <w:r>
        <w:t xml:space="preserve"> elements (§</w:t>
      </w:r>
      <w:r>
        <w:fldChar w:fldCharType="begin"/>
      </w:r>
      <w:r>
        <w:instrText xml:space="preserve"> REF _Ref183083979 \r \h </w:instrText>
      </w:r>
      <w:r>
        <w:fldChar w:fldCharType="separate"/>
      </w:r>
      <w:r>
        <w:t>4.4.2</w:t>
      </w:r>
      <w:r>
        <w:fldChar w:fldCharType="end"/>
      </w:r>
      <w:r>
        <w:t>)</w:t>
      </w:r>
    </w:p>
    <w:p>
      <w:pPr>
        <w:pStyle w:val="Lista2"/>
      </w:pPr>
      <w:r>
        <w:t xml:space="preserve">the blank outer pages must also be encoded </w:t>
      </w:r>
      <w:r>
        <w:rPr>
          <w:noProof/>
        </w:rPr>
        <w:t>(</w:t>
      </w:r>
      <w:r>
        <w:t>§</w:t>
      </w:r>
      <w:r>
        <w:fldChar w:fldCharType="begin"/>
      </w:r>
      <w:r>
        <w:instrText xml:space="preserve"> REF _Ref182318940 \r \h </w:instrText>
      </w:r>
      <w:r>
        <w:fldChar w:fldCharType="separate"/>
      </w:r>
      <w:r>
        <w:t>4.4.2.2</w:t>
      </w:r>
      <w:r>
        <w:fldChar w:fldCharType="end"/>
      </w:r>
      <w:r>
        <w:t>)</w:t>
      </w:r>
    </w:p>
    <w:p>
      <w:pPr>
        <w:pStyle w:val="Lista"/>
      </w:pPr>
      <w:r>
        <w:t>within the second division,</w:t>
      </w:r>
    </w:p>
    <w:p>
      <w:pPr>
        <w:pStyle w:val="Lista2"/>
      </w:pPr>
      <w:r>
        <w:t xml:space="preserve">text begins with a floating incipit, which must be marked up as a special line </w:t>
      </w:r>
      <w:r>
        <w:rPr>
          <w:noProof/>
        </w:rPr>
        <w:t>(</w:t>
      </w:r>
      <w:r>
        <w:t>§</w:t>
      </w:r>
      <w:r>
        <w:fldChar w:fldCharType="begin"/>
      </w:r>
      <w:r>
        <w:instrText xml:space="preserve"> REF _Ref43978135 \r \h  \* MERGEFORMAT </w:instrText>
      </w:r>
      <w:r>
        <w:fldChar w:fldCharType="separate"/>
      </w:r>
      <w:r>
        <w:t>4.7.1.1</w:t>
      </w:r>
      <w:r>
        <w:fldChar w:fldCharType="end"/>
      </w:r>
      <w:r>
        <w:t>)</w:t>
      </w:r>
    </w:p>
    <w:p>
      <w:pPr>
        <w:pStyle w:val="Lista2"/>
      </w:pPr>
      <w:r>
        <w:t xml:space="preserve">the foliation numbers comprise forme work </w:t>
      </w:r>
      <w:r>
        <w:rPr>
          <w:noProof/>
        </w:rPr>
        <w:t>(</w:t>
      </w:r>
      <w:r>
        <w:t>§</w:t>
      </w:r>
      <w:r>
        <w:fldChar w:fldCharType="begin"/>
      </w:r>
      <w:r>
        <w:instrText xml:space="preserve"> REF _Ref43984607 \w \h  \* MERGEFORMAT </w:instrText>
      </w:r>
      <w:r>
        <w:fldChar w:fldCharType="separate"/>
      </w:r>
      <w:r>
        <w:t>4.7.2</w:t>
      </w:r>
      <w:r>
        <w:fldChar w:fldCharType="end"/>
      </w:r>
      <w:r>
        <w:t>), each attached to the relevant page</w:t>
      </w:r>
    </w:p>
    <w:p>
      <w:pPr>
        <w:pStyle w:val="Lista2"/>
      </w:pPr>
      <w:r>
        <w:t xml:space="preserve">the special alignment of the colophon may optionally be encoded </w:t>
      </w:r>
      <w:r>
        <w:rPr>
          <w:noProof/>
        </w:rPr>
        <w:t>(</w:t>
      </w:r>
      <w:r>
        <w:t>§</w:t>
      </w:r>
      <w:r>
        <w:fldChar w:fldCharType="begin"/>
      </w:r>
      <w:r>
        <w:instrText xml:space="preserve"> REF _Ref43987598 \r \h  \* MERGEFORMAT </w:instrText>
      </w:r>
      <w:r>
        <w:fldChar w:fldCharType="separate"/>
      </w:r>
      <w:r>
        <w:t>8.5.1</w:t>
      </w:r>
      <w:r>
        <w:fldChar w:fldCharType="end"/>
      </w:r>
      <w:r>
        <w:t>)</w:t>
      </w:r>
    </w:p>
    <w:p/>
    <w:p>
      <w:pPr>
        <w:pStyle w:val="CodeParagraph"/>
        <w:rPr>
          <w:rStyle w:val="Code"/>
        </w:rPr>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Seal</w:t>
      </w:r>
      <w:r>
        <w:rPr>
          <w:rStyle w:val="Code"/>
        </w:rPr>
        <w:t>&lt;/head&gt;</w:t>
      </w:r>
      <w:r>
        <w:rPr>
          <w:rStyle w:val="Codecomment"/>
        </w:rPr>
        <w:t>&lt;!--Seal as a division. Since the two divisions are different in nature, @subtype is not used; instead, a &lt;head&gt; is added for identification, §</w:t>
      </w:r>
      <w:r>
        <w:rPr>
          <w:rStyle w:val="Codecomment"/>
        </w:rPr>
        <w:fldChar w:fldCharType="begin"/>
      </w:r>
      <w:r>
        <w:rPr>
          <w:rStyle w:val="Codecomment"/>
        </w:rPr>
        <w:instrText xml:space="preserve"> REF _Ref225177909 \r \h </w:instrText>
      </w:r>
      <w:r>
        <w:rPr>
          <w:rStyle w:val="Codecomment"/>
        </w:rPr>
      </w:r>
      <w:r>
        <w:rPr>
          <w:rStyle w:val="Codecomment"/>
        </w:rPr>
        <w:fldChar w:fldCharType="separate"/>
      </w:r>
      <w:r>
        <w:rPr>
          <w:rStyle w:val="Codecomment"/>
        </w:rPr>
        <w:t>4.2.1.3</w:t>
      </w:r>
      <w:r>
        <w:rPr>
          <w:rStyle w:val="Codecomment"/>
        </w:rPr>
        <w:fldChar w:fldCharType="end"/>
      </w:r>
      <w:r>
        <w:rPr>
          <w:rStyle w:val="Codecomment"/>
        </w:rPr>
        <w:t>.--&gt;&lt;!--By project convention, the seal is encoded before the text of the plates.--&gt;</w:t>
      </w:r>
      <w:r>
        <w:rPr>
          <w:rStyle w:val="Codetext"/>
        </w:rPr>
        <w:br/>
      </w:r>
      <w:r>
        <w:rPr>
          <w:rStyle w:val="Codetext"/>
        </w:rPr>
        <w:lastRenderedPageBreak/>
        <w:t xml:space="preserve">  </w:t>
      </w:r>
      <w:r>
        <w:rPr>
          <w:rStyle w:val="Code"/>
        </w:rPr>
        <w:t>&lt;ab&gt;</w:t>
      </w:r>
      <w:r>
        <w:rPr>
          <w:rStyle w:val="Codecomment"/>
        </w:rPr>
        <w:t>&lt;!--Seal text wrapped in a block-level element, in this case &lt;ab&gt; because it does not qualify as a paragraph, §</w:t>
      </w:r>
      <w:r>
        <w:rPr>
          <w:rStyle w:val="Codecomment"/>
          <w:rFonts w:eastAsia="Arial Unicode MS"/>
        </w:rPr>
        <w:fldChar w:fldCharType="begin"/>
      </w:r>
      <w:r>
        <w:rPr>
          <w:rStyle w:val="Codecomment"/>
          <w:rFonts w:eastAsia="Arial Unicode MS"/>
        </w:rPr>
        <w:instrText xml:space="preserve"> REF _Ref43981028 \r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3.2.1.2</w:t>
      </w:r>
      <w:r>
        <w:rPr>
          <w:rStyle w:val="Codecomment"/>
          <w:rFonts w:eastAsia="Arial Unicode MS"/>
        </w:rPr>
        <w:fldChar w:fldCharType="end"/>
      </w:r>
      <w:r>
        <w:rPr>
          <w:rStyle w:val="Codecomment"/>
        </w:rPr>
        <w: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J R R</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Tolkien</w:t>
      </w:r>
      <w:r>
        <w:rPr>
          <w:rStyle w:val="Codetext"/>
        </w:rPr>
        <w:br/>
        <w:t xml:space="preserve">  </w:t>
      </w:r>
      <w:r>
        <w:rPr>
          <w:rStyle w:val="Code"/>
        </w:rPr>
        <w:t>&lt;/ab&gt;</w:t>
      </w:r>
      <w:r>
        <w:rPr>
          <w:rStyle w:val="Codetext"/>
        </w:rPr>
        <w:br/>
      </w:r>
      <w:r>
        <w:rPr>
          <w:rStyle w:val="Code"/>
        </w:rPr>
        <w:t>&lt;/div&gt;</w:t>
      </w:r>
      <w:r>
        <w:rPr>
          <w:rStyle w:val="Codetext"/>
        </w:rPr>
        <w:br/>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Plates</w:t>
      </w:r>
      <w:r>
        <w:rPr>
          <w:rStyle w:val="Code"/>
        </w:rPr>
        <w:t>&lt;/head&gt;</w:t>
      </w:r>
      <w:r>
        <w:rPr>
          <w:rStyle w:val="Codetext"/>
        </w:rPr>
        <w:br/>
        <w:t xml:space="preserve">  </w:t>
      </w:r>
      <w:r>
        <w:rPr>
          <w:rStyle w:val="Code"/>
        </w:rPr>
        <w:t xml:space="preserve">&lt;pb </w:t>
      </w:r>
      <w:r>
        <w:rPr>
          <w:rStyle w:val="Codeattribute"/>
        </w:rPr>
        <w:t>n</w:t>
      </w:r>
      <w:r>
        <w:rPr>
          <w:rStyle w:val="Code"/>
        </w:rPr>
        <w:t>=</w:t>
      </w:r>
      <w:r>
        <w:rPr>
          <w:rStyle w:val="Codevalue"/>
        </w:rPr>
        <w:t>"1r"</w:t>
      </w:r>
      <w:r>
        <w:rPr>
          <w:rStyle w:val="Code"/>
        </w:rPr>
        <w:t>/&gt;</w:t>
      </w:r>
      <w:r>
        <w:rPr>
          <w:rStyle w:val="Codecomment"/>
        </w:rPr>
        <w:t>&lt;!--Blank outer page; the page beginning is not inside a block-level element, §</w:t>
      </w:r>
      <w:r>
        <w:rPr>
          <w:rStyle w:val="Codecomment"/>
        </w:rPr>
        <w:fldChar w:fldCharType="begin"/>
      </w:r>
      <w:r>
        <w:rPr>
          <w:rStyle w:val="Codecomment"/>
        </w:rPr>
        <w:instrText xml:space="preserve"> REF _Ref182318940 \r \h </w:instrText>
      </w:r>
      <w:r>
        <w:rPr>
          <w:rStyle w:val="Codecomment"/>
        </w:rPr>
      </w:r>
      <w:r>
        <w:rPr>
          <w:rStyle w:val="Codecomment"/>
        </w:rPr>
        <w:fldChar w:fldCharType="separate"/>
      </w:r>
      <w:r>
        <w:rPr>
          <w:rStyle w:val="Codecomment"/>
        </w:rPr>
        <w:t>4.4.2.2</w:t>
      </w:r>
      <w:r>
        <w:rPr>
          <w:rStyle w:val="Codecomment"/>
        </w:rPr>
        <w:fldChar w:fldCharType="end"/>
      </w:r>
      <w:r>
        <w:rPr>
          <w:rStyle w:val="Codecomment"/>
        </w:rPr>
        <w:t>.--&gt;</w:t>
      </w:r>
      <w:r>
        <w:rPr>
          <w:rStyle w:val="Codetext"/>
        </w:rPr>
        <w:br/>
        <w:t xml:space="preserve">  </w:t>
      </w:r>
      <w:r>
        <w:rPr>
          <w:rStyle w:val="Code"/>
        </w:rPr>
        <w:t>&lt;ab&gt;</w:t>
      </w:r>
    </w:p>
    <w:p>
      <w:pPr>
        <w:pStyle w:val="CodeParagraph"/>
        <w:rPr>
          <w:rStyle w:val="Codetext"/>
        </w:rPr>
      </w:pPr>
      <w:r>
        <w:rPr>
          <w:rStyle w:val="Codetext"/>
        </w:rPr>
        <w:t xml:space="preserve">    </w:t>
      </w:r>
      <w:r>
        <w:rPr>
          <w:rStyle w:val="Code"/>
        </w:rPr>
        <w:t xml:space="preserve">&lt;pb </w:t>
      </w:r>
      <w:r>
        <w:rPr>
          <w:rStyle w:val="Codeattribute"/>
        </w:rPr>
        <w:t>n</w:t>
      </w:r>
      <w:r>
        <w:rPr>
          <w:rStyle w:val="Code"/>
        </w:rPr>
        <w:t>=</w:t>
      </w:r>
      <w:r>
        <w:rPr>
          <w:rStyle w:val="Codevalue"/>
        </w:rPr>
        <w:t>"1v"</w:t>
      </w:r>
      <w:r>
        <w:rPr>
          <w:rStyle w:val="Code"/>
        </w:rPr>
        <w:t>/&gt;</w:t>
      </w:r>
      <w:r>
        <w:rPr>
          <w:rStyle w:val="Codecomment"/>
        </w:rPr>
        <w:t>&lt;!--This page beginning is inside the first block-level container of the text, which happens to be the &lt;ab&gt; wrapper for the incipit. This does not imply that the page break is part of that &lt;ab&gt;.--&gt;</w:t>
      </w:r>
      <w:r>
        <w:rPr>
          <w:rStyle w:val="Codetext"/>
        </w:rPr>
        <w:br/>
        <w:t xml:space="preserve">    </w:t>
      </w:r>
      <w:r>
        <w:rPr>
          <w:rStyle w:val="Code"/>
        </w:rPr>
        <w:t xml:space="preserve">&lt;lb </w:t>
      </w:r>
      <w:r>
        <w:rPr>
          <w:rStyle w:val="Codeattribute"/>
        </w:rPr>
        <w:t>n</w:t>
      </w:r>
      <w:r>
        <w:rPr>
          <w:rStyle w:val="Code"/>
        </w:rPr>
        <w:t>=</w:t>
      </w:r>
      <w:r>
        <w:rPr>
          <w:rStyle w:val="Codevalue"/>
        </w:rPr>
        <w:t>"01"</w:t>
      </w:r>
      <w:r>
        <w:rPr>
          <w:rStyle w:val="Code"/>
        </w:rPr>
        <w:t>/&gt;</w:t>
      </w:r>
      <w:r>
        <w:rPr>
          <w:rStyle w:val="Codetext"/>
        </w:rPr>
        <w:t>The Hobbit</w:t>
      </w:r>
      <w:r>
        <w:rPr>
          <w:rStyle w:val="Codecomment"/>
        </w:rPr>
        <w:t>&lt;!--Line numbers are restarted in the second textpart, §</w:t>
      </w:r>
      <w:r>
        <w:rPr>
          <w:rStyle w:val="Codecomment"/>
          <w:rFonts w:eastAsia="Arial Unicode MS"/>
        </w:rPr>
        <w:fldChar w:fldCharType="begin"/>
      </w:r>
      <w:r>
        <w:rPr>
          <w:rStyle w:val="Codecomment"/>
          <w:rFonts w:eastAsia="Arial Unicode MS"/>
        </w:rPr>
        <w:instrText xml:space="preserve"> REF _Ref43986747 \w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4.2.1.4</w:t>
      </w:r>
      <w:r>
        <w:rPr>
          <w:rStyle w:val="Codecomment"/>
          <w:rFonts w:eastAsia="Arial Unicode MS"/>
        </w:rPr>
        <w:fldChar w:fldCharType="end"/>
      </w:r>
      <w:r>
        <w:rPr>
          <w:rStyle w:val="Codecomment"/>
        </w:rPr>
        <w:t>. The specially positioned incipit has the line number 01, §</w:t>
      </w:r>
      <w:r>
        <w:rPr>
          <w:rStyle w:val="Codecomment"/>
          <w:rFonts w:eastAsia="Arial Unicode MS"/>
        </w:rPr>
        <w:fldChar w:fldCharType="begin"/>
      </w:r>
      <w:r>
        <w:rPr>
          <w:rStyle w:val="Codecomment"/>
          <w:rFonts w:eastAsia="Arial Unicode MS"/>
        </w:rPr>
        <w:instrText xml:space="preserve"> REF _Ref43978135 \r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4.7.1.1</w:t>
      </w:r>
      <w:r>
        <w:rPr>
          <w:rStyle w:val="Codecomment"/>
          <w:rFonts w:eastAsia="Arial Unicode MS"/>
        </w:rPr>
        <w:fldChar w:fldCharType="end"/>
      </w:r>
      <w:r>
        <w:rPr>
          <w:rStyle w:val="Codecomment"/>
        </w:rPr>
        <w:t>.--&gt;</w:t>
      </w:r>
      <w:r>
        <w:rPr>
          <w:rStyle w:val="Codetext"/>
        </w:rPr>
        <w:br/>
        <w:t xml:space="preserve">  </w:t>
      </w:r>
      <w:r>
        <w:rPr>
          <w:rStyle w:val="Code"/>
        </w:rPr>
        <w:t>&lt;/ab&gt;</w:t>
      </w:r>
      <w:r>
        <w:rPr>
          <w:rStyle w:val="Codetext"/>
        </w:rPr>
        <w:br/>
        <w:t xml:space="preserve">  </w:t>
      </w:r>
      <w:r>
        <w:rPr>
          <w:rStyle w:val="Code"/>
        </w:rPr>
        <w:t>&lt;p&gt;</w:t>
      </w:r>
      <w:r>
        <w:rPr>
          <w:rStyle w:val="Codecomment"/>
        </w:rPr>
        <w:t>&lt;!--First semantic paragraph of the text.--&gt;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 there lived a hobbit. Not</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a nasty, dirty, wet hole, filled with the ends of worm</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/&gt;</w:t>
      </w:r>
      <w:r>
        <w:rPr>
          <w:rStyle w:val="Codetext"/>
        </w:rPr>
        <w:t>and an oozy smell, nor yet a dry, bare, sandy hole with</w:t>
      </w:r>
      <w:r>
        <w:rPr>
          <w:rStyle w:val="Codetext"/>
        </w:rPr>
        <w:br/>
        <w:t xml:space="preserve">  </w:t>
      </w:r>
      <w:r>
        <w:rPr>
          <w:rStyle w:val="Code"/>
        </w:rPr>
        <w:t xml:space="preserve">&lt;pb </w:t>
      </w:r>
      <w:r>
        <w:rPr>
          <w:rStyle w:val="Codeattribute"/>
        </w:rPr>
        <w:t>n</w:t>
      </w:r>
      <w:r>
        <w:rPr>
          <w:rStyle w:val="Code"/>
        </w:rPr>
        <w:t>=</w:t>
      </w:r>
      <w:r>
        <w:rPr>
          <w:rStyle w:val="Codevalue"/>
        </w:rPr>
        <w:t>"2r"</w:t>
      </w:r>
      <w:r>
        <w:rPr>
          <w:rStyle w:val="Code"/>
        </w:rPr>
        <w:t>/&gt;</w:t>
      </w:r>
      <w:r>
        <w:rPr>
          <w:rStyle w:val="Codetext"/>
        </w:rPr>
        <w:br/>
        <w:t xml:space="preserve">  </w:t>
      </w:r>
      <w:r>
        <w:rPr>
          <w:rStyle w:val="Codecomment"/>
        </w:rPr>
        <w:t>&lt;!--Within a textpart, line numbers are continued on subsequent pages as recommended under §</w:t>
      </w:r>
      <w:r>
        <w:rPr>
          <w:rStyle w:val="Codecomment"/>
        </w:rPr>
        <w:fldChar w:fldCharType="begin"/>
      </w:r>
      <w:r>
        <w:rPr>
          <w:rStyle w:val="Codecomment"/>
        </w:rPr>
        <w:instrText xml:space="preserve"> REF _Ref225429069 \r \h </w:instrText>
      </w:r>
      <w:r>
        <w:rPr>
          <w:rStyle w:val="Codecomment"/>
        </w:rPr>
      </w:r>
      <w:r>
        <w:rPr>
          <w:rStyle w:val="Codecomment"/>
        </w:rPr>
        <w:fldChar w:fldCharType="separate"/>
      </w:r>
      <w:r>
        <w:rPr>
          <w:rStyle w:val="Codecomment"/>
        </w:rPr>
        <w:t>4.5.2.1</w:t>
      </w:r>
      <w:r>
        <w:rPr>
          <w:rStyle w:val="Codecomment"/>
        </w:rPr>
        <w:fldChar w:fldCharType="end"/>
      </w:r>
      <w:r>
        <w:rPr>
          <w:rStyle w:val="Codecomment"/>
        </w:rPr>
        <w:t xml:space="preserve">. Alternatively, they could be reset to 1 on each page, provided that the number of the current page is incorporated into each line number to maintain uniqueness, </w:t>
      </w:r>
      <w:r>
        <w:rPr>
          <w:rStyle w:val="Codecomment"/>
        </w:rPr>
        <w:fldChar w:fldCharType="begin"/>
      </w:r>
      <w:r>
        <w:rPr>
          <w:rStyle w:val="Codecomment"/>
        </w:rPr>
        <w:instrText xml:space="preserve"> REF _Ref182228380 \r \h </w:instrText>
      </w:r>
      <w:r>
        <w:rPr>
          <w:rStyle w:val="Codecomment"/>
        </w:rPr>
      </w:r>
      <w:r>
        <w:rPr>
          <w:rStyle w:val="Codecomment"/>
        </w:rPr>
        <w:fldChar w:fldCharType="separate"/>
      </w:r>
      <w:r>
        <w:rPr>
          <w:rStyle w:val="Codecomment"/>
        </w:rPr>
        <w:t>4.5.2.2</w:t>
      </w:r>
      <w:r>
        <w:rPr>
          <w:rStyle w:val="Codecomment"/>
        </w:rPr>
        <w:fldChar w:fldCharType="end"/>
      </w:r>
      <w:r>
        <w:rPr>
          <w:rStyle w:val="Codecomment"/>
        </w:rPr>
        <w:t>.--&gt;</w:t>
      </w:r>
    </w:p>
    <w:p>
      <w:pPr>
        <w:pStyle w:val="CodeParagraph"/>
        <w:rPr>
          <w:rStyle w:val="Code"/>
        </w:rPr>
      </w:pPr>
      <w:r>
        <w:rPr>
          <w:rStyle w:val="Codetext"/>
        </w:rPr>
        <w:t xml:space="preserve">  </w:t>
      </w:r>
      <w:r>
        <w:rPr>
          <w:rStyle w:val="Code"/>
        </w:rPr>
        <w:t xml:space="preserve">&lt;fw </w:t>
      </w:r>
      <w:r>
        <w:rPr>
          <w:rStyle w:val="Codeattribute"/>
        </w:rPr>
        <w:t>place</w:t>
      </w:r>
      <w:r>
        <w:rPr>
          <w:rStyle w:val="Code"/>
        </w:rPr>
        <w:t>=</w:t>
      </w:r>
      <w:r>
        <w:rPr>
          <w:rStyle w:val="Codevalue"/>
        </w:rPr>
        <w:t>"bot-left"</w:t>
      </w:r>
      <w:r>
        <w:rPr>
          <w:rStyle w:val="Code"/>
        </w:rPr>
        <w:t xml:space="preserve"> </w:t>
      </w:r>
      <w:r>
        <w:rPr>
          <w:rStyle w:val="Codeattribute"/>
        </w:rPr>
        <w:t>n</w:t>
      </w:r>
      <w:r>
        <w:rPr>
          <w:rStyle w:val="Code"/>
        </w:rPr>
        <w:t>=</w:t>
      </w:r>
      <w:r>
        <w:rPr>
          <w:rStyle w:val="Codevalue"/>
        </w:rPr>
        <w:t>"2r"</w:t>
      </w:r>
      <w:r>
        <w:rPr>
          <w:rStyle w:val="Code"/>
        </w:rPr>
        <w:t>&gt;</w:t>
      </w:r>
    </w:p>
    <w:p>
      <w:pPr>
        <w:pStyle w:val="CodeParagraph"/>
      </w:pPr>
      <w:r>
        <w:rPr>
          <w:rStyle w:val="Codecomment"/>
        </w:rPr>
        <w:t xml:space="preserve">    &lt;!--Foliation encoded right after the page beginning, §</w:t>
      </w:r>
      <w:r>
        <w:rPr>
          <w:rStyle w:val="Codecomment"/>
          <w:rFonts w:eastAsia="Arial Unicode MS"/>
        </w:rPr>
        <w:fldChar w:fldCharType="begin"/>
      </w:r>
      <w:r>
        <w:rPr>
          <w:rStyle w:val="Codecomment"/>
          <w:rFonts w:eastAsia="Arial Unicode MS"/>
        </w:rPr>
        <w:instrText xml:space="preserve"> REF _Ref43984607 \w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4.7.2</w:t>
      </w:r>
      <w:r>
        <w:rPr>
          <w:rStyle w:val="Codecomment"/>
          <w:rFonts w:eastAsia="Arial Unicode MS"/>
        </w:rPr>
        <w:fldChar w:fldCharType="end"/>
      </w:r>
      <w:r>
        <w:rPr>
          <w:rStyle w:val="Codecomment"/>
        </w:rPr>
        <w:t>.--&gt;</w:t>
      </w:r>
      <w:r>
        <w:rPr>
          <w:rStyle w:val="Codetext"/>
        </w:rPr>
        <w:br/>
        <w:t xml:space="preserve">    </w:t>
      </w:r>
      <w:r>
        <w:rPr>
          <w:rStyle w:val="Code"/>
        </w:rPr>
        <w:t xml:space="preserve">&lt;num </w:t>
      </w:r>
      <w:r>
        <w:rPr>
          <w:rStyle w:val="Codeattribute"/>
        </w:rPr>
        <w:t>value</w:t>
      </w:r>
      <w:r>
        <w:rPr>
          <w:rStyle w:val="Code"/>
        </w:rPr>
        <w:t>=</w:t>
      </w:r>
      <w:r>
        <w:rPr>
          <w:rStyle w:val="Codevalue"/>
        </w:rPr>
        <w:t>"2"</w:t>
      </w:r>
      <w:r>
        <w:rPr>
          <w:rStyle w:val="Code"/>
        </w:rPr>
        <w:t>&gt;</w:t>
      </w:r>
      <w:r>
        <w:rPr>
          <w:rStyle w:val="Codetext"/>
        </w:rPr>
        <w:t>2</w:t>
      </w:r>
      <w:r>
        <w:rPr>
          <w:rStyle w:val="Code"/>
        </w:rPr>
        <w:t>&lt;/num&gt;</w:t>
      </w:r>
      <w:r>
        <w:rPr>
          <w:rStyle w:val="Codetext"/>
        </w:rPr>
        <w:br/>
        <w:t xml:space="preserve">  </w:t>
      </w:r>
      <w:r>
        <w:rPr>
          <w:rStyle w:val="Code"/>
        </w:rPr>
        <w:t>&lt;/fw&gt;</w:t>
      </w:r>
      <w:r>
        <w:rPr>
          <w:rStyle w:val="Codetext"/>
        </w:rPr>
        <w:t xml:space="preserve">  </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/&gt;</w:t>
      </w:r>
      <w:r>
        <w:rPr>
          <w:rStyle w:val="Codetext"/>
        </w:rPr>
        <w:t>nothing in it to sit down on or to eat: it was a</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/&gt;</w:t>
      </w:r>
      <w:r>
        <w:rPr>
          <w:rStyle w:val="Codetext"/>
        </w:rPr>
        <w:t>hobbit-hole, and that means comfort.</w:t>
      </w:r>
      <w:r>
        <w:rPr>
          <w:rStyle w:val="Codetext"/>
        </w:rPr>
        <w:br/>
        <w:t xml:space="preserve">  </w:t>
      </w:r>
      <w:r>
        <w:rPr>
          <w:rStyle w:val="Code"/>
        </w:rPr>
        <w:t>&lt;/p&gt;</w:t>
      </w:r>
      <w:r>
        <w:rPr>
          <w:rStyle w:val="Codecomment"/>
        </w:rPr>
        <w:t>&lt;!--Ending a semantic paragraph here and starting a new one.--&gt;</w:t>
      </w:r>
      <w:r>
        <w:rPr>
          <w:rStyle w:val="Codetext"/>
        </w:rPr>
        <w:br/>
        <w:t xml:space="preserve">  </w:t>
      </w:r>
      <w:r>
        <w:rPr>
          <w:rStyle w:val="Code"/>
        </w:rPr>
        <w:t>&lt;p&gt;</w:t>
      </w:r>
      <w:r>
        <w:rPr>
          <w:rStyle w:val="Codetext"/>
        </w:rPr>
        <w:t>It had a perfectly</w:t>
      </w:r>
      <w:r>
        <w:rPr>
          <w:rStyle w:val="Codetext"/>
        </w:rPr>
        <w:br/>
        <w:t xml:space="preserve">  </w:t>
      </w:r>
      <w:r>
        <w:rPr>
          <w:rStyle w:val="Code"/>
        </w:rPr>
        <w:t xml:space="preserve">&lt;lb </w:t>
      </w:r>
      <w:r>
        <w:rPr>
          <w:rStyle w:val="Codeattribute"/>
        </w:rPr>
        <w:t>n</w:t>
      </w:r>
      <w:r>
        <w:rPr>
          <w:rStyle w:val="Code"/>
        </w:rPr>
        <w:t>=</w:t>
      </w:r>
      <w:r>
        <w:rPr>
          <w:rStyle w:val="Codevalue"/>
        </w:rPr>
        <w:t>"6"</w:t>
      </w:r>
      <w:r>
        <w:rPr>
          <w:rStyle w:val="Code"/>
        </w:rPr>
        <w:t>/&gt;</w:t>
      </w:r>
      <w:r>
        <w:rPr>
          <w:rStyle w:val="Codetext"/>
        </w:rPr>
        <w:t>round door like a porthole, painted green, with a shiny</w:t>
      </w:r>
      <w:r>
        <w:rPr>
          <w:rStyle w:val="Codetext"/>
        </w:rPr>
        <w:br/>
        <w:t xml:space="preserve">  </w:t>
      </w:r>
      <w:r>
        <w:rPr>
          <w:rStyle w:val="Code"/>
        </w:rPr>
        <w:t xml:space="preserve">&lt;pb </w:t>
      </w:r>
      <w:r>
        <w:rPr>
          <w:rStyle w:val="Codeattribute"/>
        </w:rPr>
        <w:t>n</w:t>
      </w:r>
      <w:r>
        <w:rPr>
          <w:rStyle w:val="Code"/>
        </w:rPr>
        <w:t>=</w:t>
      </w:r>
      <w:r>
        <w:rPr>
          <w:rStyle w:val="Codevalue"/>
        </w:rPr>
        <w:t>"2v"</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"7"</w:t>
      </w:r>
      <w:r>
        <w:rPr>
          <w:rStyle w:val="Code"/>
        </w:rPr>
        <w:t>/&gt;</w:t>
      </w:r>
      <w:r>
        <w:rPr>
          <w:rStyle w:val="Codetext"/>
        </w:rPr>
        <w:t>yellow brass knob in the exact middle. The door opened</w:t>
      </w:r>
      <w:r>
        <w:rPr>
          <w:rStyle w:val="Codetext"/>
        </w:rPr>
        <w:br/>
        <w:t xml:space="preserve">  </w:t>
      </w:r>
      <w:r>
        <w:rPr>
          <w:rStyle w:val="Code"/>
        </w:rPr>
        <w:t xml:space="preserve">&lt;lb </w:t>
      </w:r>
      <w:r>
        <w:rPr>
          <w:rStyle w:val="Codeattribute"/>
        </w:rPr>
        <w:t>n</w:t>
      </w:r>
      <w:r>
        <w:rPr>
          <w:rStyle w:val="Code"/>
        </w:rPr>
        <w:t>=</w:t>
      </w:r>
      <w:r>
        <w:rPr>
          <w:rStyle w:val="Codevalue"/>
        </w:rPr>
        <w:t>"8"</w:t>
      </w:r>
      <w:r>
        <w:rPr>
          <w:rStyle w:val="Code"/>
        </w:rPr>
        <w:t>/&gt;</w:t>
      </w:r>
      <w:r>
        <w:rPr>
          <w:rStyle w:val="Codetext"/>
        </w:rPr>
        <w:t>on to a tube-shaped hall like a tunnel: a very</w:t>
      </w:r>
      <w:r>
        <w:rPr>
          <w:rStyle w:val="Codetext"/>
        </w:rPr>
        <w:br/>
        <w:t xml:space="preserve">  </w:t>
      </w:r>
      <w:r>
        <w:rPr>
          <w:rStyle w:val="Code"/>
        </w:rPr>
        <w:t xml:space="preserve">&lt;lb </w:t>
      </w:r>
      <w:r>
        <w:rPr>
          <w:rStyle w:val="Codeattribute"/>
        </w:rPr>
        <w:t>n</w:t>
      </w:r>
      <w:r>
        <w:rPr>
          <w:rStyle w:val="Code"/>
        </w:rPr>
        <w:t>=</w:t>
      </w:r>
      <w:r>
        <w:rPr>
          <w:rStyle w:val="Codevalue"/>
        </w:rPr>
        <w:t>"9"</w:t>
      </w:r>
      <w:r>
        <w:rPr>
          <w:rStyle w:val="Code"/>
        </w:rPr>
        <w:t>/&gt;</w:t>
      </w:r>
      <w:r>
        <w:rPr>
          <w:rStyle w:val="Codetext"/>
        </w:rPr>
        <w:t>comfortable tunnel without smoke, with panelled walls,</w:t>
      </w:r>
      <w:r>
        <w:rPr>
          <w:rStyle w:val="Codetext"/>
        </w:rPr>
        <w:br/>
        <w:t xml:space="preserve">  </w:t>
      </w:r>
      <w:r>
        <w:rPr>
          <w:rStyle w:val="Code"/>
        </w:rPr>
        <w:t xml:space="preserve">&lt;pb </w:t>
      </w:r>
      <w:r>
        <w:rPr>
          <w:rStyle w:val="Codeattribute"/>
        </w:rPr>
        <w:t>n</w:t>
      </w:r>
      <w:r>
        <w:rPr>
          <w:rStyle w:val="Code"/>
        </w:rPr>
        <w:t>=</w:t>
      </w:r>
      <w:r>
        <w:rPr>
          <w:rStyle w:val="Codevalue"/>
        </w:rPr>
        <w:t>"3r"</w:t>
      </w:r>
      <w:r>
        <w:rPr>
          <w:rStyle w:val="Code"/>
        </w:rPr>
        <w:t>/&gt;</w:t>
      </w:r>
      <w:r>
        <w:rPr>
          <w:rStyle w:val="Codetext"/>
        </w:rPr>
        <w:br/>
        <w:t xml:space="preserve">  </w:t>
      </w:r>
      <w:r>
        <w:rPr>
          <w:rStyle w:val="Code"/>
        </w:rPr>
        <w:t xml:space="preserve">&lt;fw </w:t>
      </w:r>
      <w:r>
        <w:rPr>
          <w:rStyle w:val="Codeattribute"/>
        </w:rPr>
        <w:t>place</w:t>
      </w:r>
      <w:r>
        <w:rPr>
          <w:rStyle w:val="Code"/>
        </w:rPr>
        <w:t>=</w:t>
      </w:r>
      <w:r>
        <w:rPr>
          <w:rStyle w:val="Codevalue"/>
        </w:rPr>
        <w:t>"bot-left"</w:t>
      </w:r>
      <w:r>
        <w:rPr>
          <w:rStyle w:val="Code"/>
        </w:rPr>
        <w:t xml:space="preserve"> </w:t>
      </w:r>
      <w:r>
        <w:rPr>
          <w:rStyle w:val="Codeattribute"/>
        </w:rPr>
        <w:t>n</w:t>
      </w:r>
      <w:r>
        <w:rPr>
          <w:rStyle w:val="Code"/>
        </w:rPr>
        <w:t>=</w:t>
      </w:r>
      <w:r>
        <w:rPr>
          <w:rStyle w:val="Codevalue"/>
        </w:rPr>
        <w:t>"3r"</w:t>
      </w:r>
      <w:r>
        <w:rPr>
          <w:rStyle w:val="Code"/>
        </w:rPr>
        <w:t>&gt;</w:t>
      </w:r>
      <w:r>
        <w:rPr>
          <w:rStyle w:val="Codetext"/>
        </w:rPr>
        <w:br/>
        <w:t xml:space="preserve">    </w:t>
      </w:r>
      <w:r>
        <w:rPr>
          <w:rStyle w:val="Codecomment"/>
        </w:rPr>
        <w:t>&lt;!--Foliation right after the page beginning.--&gt;</w:t>
      </w:r>
      <w:r>
        <w:rPr>
          <w:rStyle w:val="Codetext"/>
        </w:rPr>
        <w:br/>
        <w:t xml:space="preserve">    </w:t>
      </w:r>
      <w:r>
        <w:rPr>
          <w:rStyle w:val="Code"/>
        </w:rPr>
        <w:t xml:space="preserve">&lt;num </w:t>
      </w:r>
      <w:r>
        <w:rPr>
          <w:rStyle w:val="Codeattribute"/>
        </w:rPr>
        <w:t>value</w:t>
      </w:r>
      <w:r>
        <w:rPr>
          <w:rStyle w:val="Code"/>
        </w:rPr>
        <w:t>=</w:t>
      </w:r>
      <w:r>
        <w:rPr>
          <w:rStyle w:val="Codevalue"/>
        </w:rPr>
        <w:t>"3"</w:t>
      </w:r>
      <w:r>
        <w:rPr>
          <w:rStyle w:val="Code"/>
        </w:rPr>
        <w:t>&gt;</w:t>
      </w:r>
      <w:r>
        <w:rPr>
          <w:rStyle w:val="Codetext"/>
        </w:rPr>
        <w:t>3</w:t>
      </w:r>
      <w:r>
        <w:rPr>
          <w:rStyle w:val="Code"/>
        </w:rPr>
        <w:t>&lt;/num&gt;</w:t>
      </w:r>
      <w:r>
        <w:rPr>
          <w:rStyle w:val="Codetext"/>
        </w:rPr>
        <w:br/>
        <w:t xml:space="preserve">  </w:t>
      </w:r>
      <w:r>
        <w:rPr>
          <w:rStyle w:val="Code"/>
        </w:rPr>
        <w:t>&lt;/fw&gt;</w:t>
      </w:r>
      <w:r>
        <w:rPr>
          <w:rStyle w:val="Codetext"/>
        </w:rPr>
        <w:br/>
        <w:t xml:space="preserve">  </w:t>
      </w:r>
      <w:r>
        <w:rPr>
          <w:rStyle w:val="Code"/>
        </w:rPr>
        <w:t xml:space="preserve">&lt;lb </w:t>
      </w:r>
      <w:r>
        <w:rPr>
          <w:rStyle w:val="Codeattribute"/>
        </w:rPr>
        <w:t>n</w:t>
      </w:r>
      <w:r>
        <w:rPr>
          <w:rStyle w:val="Code"/>
        </w:rPr>
        <w:t>=</w:t>
      </w:r>
      <w:r>
        <w:rPr>
          <w:rStyle w:val="Codevalue"/>
        </w:rPr>
        <w:t>"10"</w:t>
      </w:r>
      <w:r>
        <w:rPr>
          <w:rStyle w:val="Code"/>
        </w:rPr>
        <w:t>/&gt;</w:t>
      </w:r>
      <w:r>
        <w:rPr>
          <w:rStyle w:val="Codetext"/>
        </w:rPr>
        <w:t>and floors tiled and carpeted, provided with polished</w:t>
      </w:r>
      <w:r>
        <w:rPr>
          <w:rStyle w:val="Codetext"/>
        </w:rPr>
        <w:br/>
        <w:t xml:space="preserve">  </w:t>
      </w:r>
      <w:r>
        <w:rPr>
          <w:rStyle w:val="Code"/>
        </w:rPr>
        <w:t xml:space="preserve">&lt;lb </w:t>
      </w:r>
      <w:r>
        <w:rPr>
          <w:rStyle w:val="Codeattribute"/>
        </w:rPr>
        <w:t>n</w:t>
      </w:r>
      <w:r>
        <w:rPr>
          <w:rStyle w:val="Code"/>
        </w:rPr>
        <w:t>=</w:t>
      </w:r>
      <w:r>
        <w:rPr>
          <w:rStyle w:val="Codevalue"/>
        </w:rPr>
        <w:t>"11"</w:t>
      </w:r>
      <w:r>
        <w:rPr>
          <w:rStyle w:val="Code"/>
        </w:rPr>
        <w:t>/&gt;</w:t>
      </w:r>
      <w:r>
        <w:rPr>
          <w:rStyle w:val="Codetext"/>
        </w:rPr>
        <w:t>chairs, and lots and lots of pegs for hats and coats.</w:t>
      </w:r>
      <w:r>
        <w:rPr>
          <w:rStyle w:val="Codetext"/>
        </w:rPr>
        <w:br/>
        <w:t xml:space="preserve">  </w:t>
      </w:r>
      <w:r>
        <w:rPr>
          <w:rStyle w:val="Code"/>
        </w:rPr>
        <w:t>&lt;/p&gt;</w:t>
      </w:r>
      <w:r>
        <w:rPr>
          <w:rStyle w:val="Codetext"/>
        </w:rPr>
        <w:br/>
        <w:t xml:space="preserve">  </w:t>
      </w:r>
      <w:r>
        <w:rPr>
          <w:rStyle w:val="Code"/>
        </w:rPr>
        <w:t>&lt;ab&gt;</w:t>
      </w:r>
      <w:r>
        <w:rPr>
          <w:rStyle w:val="Codecomment"/>
        </w:rPr>
        <w:t>&lt;!--The colophon is an incomplete sentence, so it gets an &lt;ab&gt; wrapper.--&gt;</w:t>
      </w:r>
      <w:r>
        <w:rPr>
          <w:rStyle w:val="Codetext"/>
        </w:rPr>
        <w:br/>
        <w:t xml:space="preserve">  </w:t>
      </w:r>
      <w:r>
        <w:rPr>
          <w:rStyle w:val="Code"/>
        </w:rPr>
        <w:t xml:space="preserve">&lt;lb </w:t>
      </w:r>
      <w:r>
        <w:rPr>
          <w:rStyle w:val="Codeattribute"/>
        </w:rPr>
        <w:t>n</w:t>
      </w:r>
      <w:r>
        <w:rPr>
          <w:rStyle w:val="Code"/>
        </w:rPr>
        <w:t>=</w:t>
      </w:r>
      <w:r>
        <w:rPr>
          <w:rStyle w:val="Codevalue"/>
        </w:rPr>
        <w:t>"12"</w:t>
      </w:r>
      <w:r>
        <w:rPr>
          <w:rStyle w:val="Code"/>
        </w:rPr>
        <w:t xml:space="preserve"> </w:t>
      </w:r>
      <w:r>
        <w:rPr>
          <w:rStyle w:val="Codeattribute"/>
        </w:rPr>
        <w:t>style</w:t>
      </w:r>
      <w:r>
        <w:rPr>
          <w:rStyle w:val="Code"/>
        </w:rPr>
        <w:t>=</w:t>
      </w:r>
      <w:r>
        <w:rPr>
          <w:rStyle w:val="Codevalue"/>
        </w:rPr>
        <w:t>"text-align: right"</w:t>
      </w:r>
      <w:r>
        <w:rPr>
          <w:rStyle w:val="Code"/>
        </w:rPr>
        <w:t>/&gt;</w:t>
      </w:r>
      <w:r>
        <w:rPr>
          <w:rStyle w:val="Codecomment"/>
        </w:rPr>
        <w:t>&lt;!--Optionally marking up right-aligned line.--&gt;</w:t>
      </w:r>
      <w:r>
        <w:rPr>
          <w:rStyle w:val="Codetext"/>
        </w:rPr>
        <w:br/>
        <w:t xml:space="preserve">  </w:t>
      </w:r>
      <w:r>
        <w:rPr>
          <w:rStyle w:val="Code"/>
        </w:rPr>
        <w:t xml:space="preserve">&lt;num </w:t>
      </w:r>
      <w:r>
        <w:rPr>
          <w:rStyle w:val="Codeattribute"/>
        </w:rPr>
        <w:t>value</w:t>
      </w:r>
      <w:r>
        <w:rPr>
          <w:rStyle w:val="Code"/>
        </w:rPr>
        <w:t>=</w:t>
      </w:r>
      <w:r>
        <w:rPr>
          <w:rStyle w:val="Codevalue"/>
        </w:rPr>
        <w:t>"29"</w:t>
      </w:r>
      <w:r>
        <w:rPr>
          <w:rStyle w:val="Code"/>
        </w:rPr>
        <w:t>&gt;</w:t>
      </w:r>
      <w:r>
        <w:rPr>
          <w:rStyle w:val="Codetext"/>
        </w:rPr>
        <w:t>29</w:t>
      </w:r>
      <w:r>
        <w:rPr>
          <w:rStyle w:val="Code"/>
        </w:rPr>
        <w:t>&lt;/num&gt;</w:t>
      </w:r>
      <w:r>
        <w:rPr>
          <w:rStyle w:val="Codetext"/>
        </w:rPr>
        <w:t xml:space="preserve"> September </w:t>
      </w:r>
      <w:r>
        <w:rPr>
          <w:rStyle w:val="Code"/>
        </w:rPr>
        <w:t xml:space="preserve">&lt;num </w:t>
      </w:r>
      <w:r>
        <w:rPr>
          <w:rStyle w:val="Codeattribute"/>
        </w:rPr>
        <w:t>value</w:t>
      </w:r>
      <w:r>
        <w:rPr>
          <w:rStyle w:val="Code"/>
        </w:rPr>
        <w:t>=</w:t>
      </w:r>
      <w:r>
        <w:rPr>
          <w:rStyle w:val="Codevalue"/>
        </w:rPr>
        <w:t>"2019"</w:t>
      </w:r>
      <w:r>
        <w:rPr>
          <w:rStyle w:val="Code"/>
        </w:rPr>
        <w:t>&gt;</w:t>
      </w:r>
      <w:r>
        <w:rPr>
          <w:rStyle w:val="Codetext"/>
        </w:rPr>
        <w:t>2019</w:t>
      </w:r>
      <w:r>
        <w:rPr>
          <w:rStyle w:val="Code"/>
        </w:rPr>
        <w:t>&lt;/num&gt;</w:t>
      </w:r>
      <w:r>
        <w:rPr>
          <w:rStyle w:val="Codetext"/>
        </w:rPr>
        <w:br/>
        <w:t xml:space="preserve">  </w:t>
      </w:r>
      <w:r>
        <w:rPr>
          <w:rStyle w:val="Code"/>
        </w:rPr>
        <w:t>&lt;/ab&gt;</w:t>
      </w:r>
      <w:r>
        <w:rPr>
          <w:rStyle w:val="Codetext"/>
        </w:rPr>
        <w:br/>
        <w:t xml:space="preserve">  </w:t>
      </w:r>
      <w:r>
        <w:rPr>
          <w:rStyle w:val="Code"/>
        </w:rPr>
        <w:t xml:space="preserve">&lt;pb </w:t>
      </w:r>
      <w:r>
        <w:rPr>
          <w:rStyle w:val="Codeattribute"/>
        </w:rPr>
        <w:t>n</w:t>
      </w:r>
      <w:r>
        <w:rPr>
          <w:rStyle w:val="Code"/>
        </w:rPr>
        <w:t>=</w:t>
      </w:r>
      <w:r>
        <w:rPr>
          <w:rStyle w:val="Codevalue"/>
        </w:rPr>
        <w:t>"3v"</w:t>
      </w:r>
      <w:r>
        <w:rPr>
          <w:rStyle w:val="Code"/>
        </w:rPr>
        <w:t>/&gt;</w:t>
      </w:r>
      <w:r>
        <w:rPr>
          <w:rStyle w:val="Codecomment"/>
        </w:rPr>
        <w:t>&lt;!--Blank outer page; the &lt;pb/&gt; element is not inside a block-level container.--&gt;</w:t>
      </w:r>
      <w:r>
        <w:rPr>
          <w:rStyle w:val="Codetext"/>
        </w:rPr>
        <w:br/>
      </w:r>
      <w:r>
        <w:rPr>
          <w:rStyle w:val="Code"/>
        </w:rPr>
        <w:t>&lt;/div&gt;</w:t>
      </w:r>
    </w:p>
    <w:p>
      <w:pPr>
        <w:pStyle w:val="Cmsor2"/>
        <w:numPr>
          <w:ilvl w:val="1"/>
          <w:numId w:val="7"/>
        </w:numPr>
      </w:pPr>
      <w:bookmarkStart w:id="1043" w:name="_q8mje15sbli5" w:colFirst="0" w:colLast="0"/>
      <w:bookmarkStart w:id="1044" w:name="_Ref239844217"/>
      <w:bookmarkStart w:id="1045" w:name="_Ref239844389"/>
      <w:bookmarkEnd w:id="1043"/>
      <w:r>
        <w:lastRenderedPageBreak/>
        <w:t>Copperplate charter with a lost plate reconstructed</w:t>
      </w:r>
      <w:bookmarkEnd w:id="1044"/>
      <w:bookmarkEnd w:id="1045"/>
    </w:p>
    <w:p>
      <w:pPr>
        <w:pStyle w:val="Image"/>
      </w:pPr>
      <w:r>
        <w:drawing>
          <wp:inline distT="0" distB="0" distL="0" distR="0">
            <wp:extent cx="5400000" cy="2030400"/>
            <wp:effectExtent l="0" t="0" r="0" b="8255"/>
            <wp:docPr id="223577458"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400000" cy="2030400"/>
                    </a:xfrm>
                    <a:prstGeom prst="rect">
                      <a:avLst/>
                    </a:prstGeom>
                    <a:noFill/>
                    <a:ln>
                      <a:noFill/>
                    </a:ln>
                  </pic:spPr>
                </pic:pic>
              </a:graphicData>
            </a:graphic>
          </wp:inline>
        </w:drawing>
      </w:r>
    </w:p>
    <w:p>
      <w:pPr>
        <w:pStyle w:val="Lista"/>
      </w:pPr>
      <w:r>
        <w:t xml:space="preserve">as a variation on </w:t>
      </w:r>
      <w:r>
        <w:fldChar w:fldCharType="begin"/>
      </w:r>
      <w:r>
        <w:instrText xml:space="preserve"> REF _Ref239844102 \r \h </w:instrText>
      </w:r>
      <w:r>
        <w:fldChar w:fldCharType="separate"/>
      </w:r>
      <w:r>
        <w:t>Appendix A.2</w:t>
      </w:r>
      <w:r>
        <w:fldChar w:fldCharType="end"/>
      </w:r>
      <w:r>
        <w:t>, we now have a partial set of plates where the middle plate is missing along with the seal</w:t>
      </w:r>
    </w:p>
    <w:p>
      <w:pPr>
        <w:pStyle w:val="Lista"/>
      </w:pPr>
      <w:r>
        <w:t xml:space="preserve">from the presence of foliation marks </w:t>
      </w:r>
      <w:r>
        <w:rPr>
          <w:noProof/>
        </w:rPr>
        <w:t>(</w:t>
      </w:r>
      <w:r>
        <w:t xml:space="preserve">and from our intimate knowledge of the Middle Earth copper plate corpus) we can infer that exactly one plate was lost, therefore we include the lost plate in our edition instead of creating textpart divisions </w:t>
      </w:r>
      <w:r>
        <w:rPr>
          <w:noProof/>
        </w:rPr>
        <w:t>(</w:t>
      </w:r>
      <w:r>
        <w:t>§</w:t>
      </w:r>
      <w:r>
        <w:fldChar w:fldCharType="begin"/>
      </w:r>
      <w:r>
        <w:instrText xml:space="preserve"> REF _Ref149918878 \r \h </w:instrText>
      </w:r>
      <w:r>
        <w:fldChar w:fldCharType="separate"/>
      </w:r>
      <w:r>
        <w:t>6.5.5.3</w:t>
      </w:r>
      <w:r>
        <w:fldChar w:fldCharType="end"/>
      </w:r>
      <w:r>
        <w:t>)</w:t>
      </w:r>
    </w:p>
    <w:p>
      <w:pPr>
        <w:pStyle w:val="Lista2"/>
      </w:pPr>
      <w:r>
        <w:t>we can also infer that the lost plate would have been inscribed with exactly three lines on both faces, so this is also encoded in the edition</w:t>
      </w:r>
    </w:p>
    <w:p>
      <w:pPr>
        <w:pStyle w:val="Lista"/>
      </w:pPr>
      <w:r>
        <w:t xml:space="preserve">extant details are encoded as in </w:t>
      </w:r>
      <w:r>
        <w:fldChar w:fldCharType="begin"/>
      </w:r>
      <w:r>
        <w:instrText xml:space="preserve"> REF _Ref239844102 \r \h </w:instrText>
      </w:r>
      <w:r>
        <w:fldChar w:fldCharType="separate"/>
      </w:r>
      <w:r>
        <w:t>Appendix A.2</w:t>
      </w:r>
      <w:r>
        <w:fldChar w:fldCharType="end"/>
      </w:r>
      <w:r>
        <w:t xml:space="preserve"> above</w:t>
      </w:r>
    </w:p>
    <w:p/>
    <w:p>
      <w:pPr>
        <w:pStyle w:val="CodeParagraph"/>
      </w:pPr>
      <w:r>
        <w:rPr>
          <w:rStyle w:val="Code"/>
        </w:rPr>
        <w:t xml:space="preserve">&lt;pb </w:t>
      </w:r>
      <w:r>
        <w:rPr>
          <w:rStyle w:val="Codeattribute"/>
        </w:rPr>
        <w:t>n</w:t>
      </w:r>
      <w:r>
        <w:rPr>
          <w:rStyle w:val="Code"/>
        </w:rPr>
        <w:t>=</w:t>
      </w:r>
      <w:r>
        <w:rPr>
          <w:rStyle w:val="Codevalue"/>
        </w:rPr>
        <w:t>"1r"</w:t>
      </w:r>
      <w:r>
        <w:rPr>
          <w:rStyle w:val="Code"/>
        </w:rPr>
        <w:t>/&gt;</w:t>
      </w:r>
      <w:r>
        <w:rPr>
          <w:rStyle w:val="Codetext"/>
        </w:rPr>
        <w:br/>
      </w:r>
      <w:r>
        <w:rPr>
          <w:rStyle w:val="Code"/>
        </w:rPr>
        <w:t>&lt;ab&gt;</w:t>
      </w:r>
      <w:r>
        <w:rPr>
          <w:rStyle w:val="Codetext"/>
        </w:rPr>
        <w:br/>
        <w:t xml:space="preserve">  </w:t>
      </w:r>
      <w:r>
        <w:rPr>
          <w:rStyle w:val="Code"/>
        </w:rPr>
        <w:t xml:space="preserve">&lt;pb </w:t>
      </w:r>
      <w:r>
        <w:rPr>
          <w:rStyle w:val="Codeattribute"/>
        </w:rPr>
        <w:t>n</w:t>
      </w:r>
      <w:r>
        <w:rPr>
          <w:rStyle w:val="Code"/>
        </w:rPr>
        <w:t>=</w:t>
      </w:r>
      <w:r>
        <w:rPr>
          <w:rStyle w:val="Codevalue"/>
        </w:rPr>
        <w:t>"1v"</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"1v0"</w:t>
      </w:r>
      <w:r>
        <w:rPr>
          <w:rStyle w:val="Code"/>
        </w:rPr>
        <w:t>/&gt;</w:t>
      </w:r>
      <w:r>
        <w:rPr>
          <w:rStyle w:val="Codetext"/>
        </w:rPr>
        <w:t>The Hobbit</w:t>
      </w:r>
      <w:r>
        <w:rPr>
          <w:rStyle w:val="Codetext"/>
        </w:rPr>
        <w:br/>
      </w:r>
      <w:r>
        <w:rPr>
          <w:rStyle w:val="Code"/>
        </w:rPr>
        <w:t>&lt;/ab&gt;</w:t>
      </w:r>
      <w:r>
        <w:rPr>
          <w:rStyle w:val="Codetext"/>
        </w:rPr>
        <w:br/>
      </w:r>
      <w:r>
        <w:rPr>
          <w:rStyle w:val="Codecomment"/>
        </w:rPr>
        <w:t>&lt;!--In this edition, line numbering is restarted on each page, and page numbers are incorporated in line numbers as per §</w:t>
      </w:r>
      <w:r>
        <w:rPr>
          <w:rStyle w:val="Codecomment"/>
        </w:rPr>
        <w:fldChar w:fldCharType="begin"/>
      </w:r>
      <w:r>
        <w:rPr>
          <w:rStyle w:val="Codecomment"/>
        </w:rPr>
        <w:instrText xml:space="preserve"> REF _Ref182228380 \r \h </w:instrText>
      </w:r>
      <w:r>
        <w:rPr>
          <w:rStyle w:val="Codecomment"/>
        </w:rPr>
      </w:r>
      <w:r>
        <w:rPr>
          <w:rStyle w:val="Codecomment"/>
        </w:rPr>
        <w:fldChar w:fldCharType="separate"/>
      </w:r>
      <w:r>
        <w:rPr>
          <w:rStyle w:val="Codecomment"/>
        </w:rPr>
        <w:t>4.5.2.2</w:t>
      </w:r>
      <w:r>
        <w:rPr>
          <w:rStyle w:val="Codecomment"/>
        </w:rPr>
        <w:fldChar w:fldCharType="end"/>
      </w:r>
      <w:r>
        <w:rPr>
          <w:rStyle w:val="Codecomment"/>
        </w:rPr>
        <w:t>. Since the number of lines per page is known, we could also have opted to number lines consecutively, logically continuing line numbers after the lacuna §</w:t>
      </w:r>
      <w:r>
        <w:rPr>
          <w:rStyle w:val="Codecomment"/>
        </w:rPr>
        <w:fldChar w:fldCharType="begin"/>
      </w:r>
      <w:r>
        <w:rPr>
          <w:rStyle w:val="Codecomment"/>
        </w:rPr>
        <w:instrText xml:space="preserve"> REF _Ref149918878 \r \h  \* MERGEFORMAT </w:instrText>
      </w:r>
      <w:r>
        <w:rPr>
          <w:rStyle w:val="Codecomment"/>
        </w:rPr>
      </w:r>
      <w:r>
        <w:rPr>
          <w:rStyle w:val="Codecomment"/>
        </w:rPr>
        <w:fldChar w:fldCharType="separate"/>
      </w:r>
      <w:r>
        <w:rPr>
          <w:rStyle w:val="Codecomment"/>
        </w:rPr>
        <w:t>6.5.5.3</w:t>
      </w:r>
      <w:r>
        <w:rPr>
          <w:rStyle w:val="Codecomment"/>
        </w:rPr>
        <w:fldChar w:fldCharType="end"/>
      </w:r>
      <w:r>
        <w:rPr>
          <w:rStyle w:val="Codecomment"/>
        </w:rPr>
        <w:t>.--&gt;</w:t>
      </w:r>
      <w:r>
        <w:rPr>
          <w:rStyle w:val="Codetext"/>
        </w:rPr>
        <w:br/>
      </w:r>
      <w:r>
        <w:rPr>
          <w:rStyle w:val="Code"/>
        </w:rPr>
        <w:t xml:space="preserve">&lt;p </w:t>
      </w:r>
      <w:r>
        <w:rPr>
          <w:rStyle w:val="Codeattribute"/>
        </w:rPr>
        <w:t>part</w:t>
      </w:r>
      <w:r>
        <w:rPr>
          <w:rStyle w:val="Code"/>
        </w:rPr>
        <w:t>=</w:t>
      </w:r>
      <w:r>
        <w:rPr>
          <w:rStyle w:val="Codevalue"/>
        </w:rPr>
        <w:t>"I"</w:t>
      </w:r>
      <w:r>
        <w:rPr>
          <w:rStyle w:val="Code"/>
        </w:rPr>
        <w:t>&gt;</w:t>
      </w:r>
      <w:r>
        <w:rPr>
          <w:rStyle w:val="Codecomment"/>
        </w:rPr>
        <w:t>&lt;!--The incomplete paragraph is marked as an initial part.--&gt;</w:t>
      </w:r>
      <w:r>
        <w:rPr>
          <w:rStyle w:val="Codetext"/>
        </w:rPr>
        <w:br/>
        <w:t xml:space="preserve">  </w:t>
      </w:r>
      <w:r>
        <w:rPr>
          <w:rStyle w:val="Code"/>
        </w:rPr>
        <w:t xml:space="preserve">&lt;lb </w:t>
      </w:r>
      <w:r>
        <w:rPr>
          <w:rStyle w:val="Codeattribute"/>
        </w:rPr>
        <w:t>n</w:t>
      </w:r>
      <w:r>
        <w:rPr>
          <w:rStyle w:val="Code"/>
        </w:rPr>
        <w:t>=</w:t>
      </w:r>
      <w:r>
        <w:rPr>
          <w:rStyle w:val="Codevalue"/>
        </w:rPr>
        <w:t>"1v1"</w:t>
      </w:r>
      <w:r>
        <w:rPr>
          <w:rStyle w:val="Code"/>
        </w:rPr>
        <w:t>/&gt;</w:t>
      </w:r>
      <w:r>
        <w:rPr>
          <w:rStyle w:val="Codetext"/>
        </w:rPr>
        <w:t>In a hole in the ground there lived a hobbit. Not</w:t>
      </w:r>
      <w:r>
        <w:rPr>
          <w:rStyle w:val="Codetext"/>
        </w:rPr>
        <w:br/>
        <w:t xml:space="preserve">  </w:t>
      </w:r>
      <w:r>
        <w:rPr>
          <w:rStyle w:val="Code"/>
        </w:rPr>
        <w:t xml:space="preserve">&lt;lb </w:t>
      </w:r>
      <w:r>
        <w:rPr>
          <w:rStyle w:val="Codeattribute"/>
        </w:rPr>
        <w:t>n</w:t>
      </w:r>
      <w:r>
        <w:rPr>
          <w:rStyle w:val="Code"/>
        </w:rPr>
        <w:t>=</w:t>
      </w:r>
      <w:r>
        <w:rPr>
          <w:rStyle w:val="Codevalue"/>
        </w:rPr>
        <w:t>"1v2"</w:t>
      </w:r>
      <w:r>
        <w:rPr>
          <w:rStyle w:val="Code"/>
        </w:rPr>
        <w:t>/&gt;</w:t>
      </w:r>
      <w:r>
        <w:rPr>
          <w:rStyle w:val="Codetext"/>
        </w:rPr>
        <w:t>a nasty, dirty, wet hole, filled with the ends of worm</w:t>
      </w:r>
      <w:r>
        <w:rPr>
          <w:rStyle w:val="Codetext"/>
        </w:rPr>
        <w:br/>
        <w:t xml:space="preserve">  </w:t>
      </w:r>
      <w:r>
        <w:rPr>
          <w:rStyle w:val="Code"/>
        </w:rPr>
        <w:t xml:space="preserve">&lt;lb </w:t>
      </w:r>
      <w:r>
        <w:rPr>
          <w:rStyle w:val="Codeattribute"/>
        </w:rPr>
        <w:t>n</w:t>
      </w:r>
      <w:r>
        <w:rPr>
          <w:rStyle w:val="Code"/>
        </w:rPr>
        <w:t>=</w:t>
      </w:r>
      <w:r>
        <w:rPr>
          <w:rStyle w:val="Codevalue"/>
        </w:rPr>
        <w:t>"1v3"</w:t>
      </w:r>
      <w:r>
        <w:rPr>
          <w:rStyle w:val="Code"/>
        </w:rPr>
        <w:t>/&gt;</w:t>
      </w:r>
      <w:r>
        <w:rPr>
          <w:rStyle w:val="Codetext"/>
        </w:rPr>
        <w:t>and an oozy smell, nor yet a dry, bare, sandy hole with</w:t>
      </w:r>
      <w:r>
        <w:rPr>
          <w:rStyle w:val="Codetext"/>
        </w:rPr>
        <w:br/>
      </w:r>
      <w:r>
        <w:rPr>
          <w:rStyle w:val="Code"/>
        </w:rPr>
        <w:t>&lt;/p&gt;</w:t>
      </w:r>
      <w:r>
        <w:rPr>
          <w:rStyle w:val="Codecomment"/>
        </w:rPr>
        <w:t>&lt;!--The open block-level container is closed before the lacuna.--&gt;</w:t>
      </w:r>
      <w:r>
        <w:rPr>
          <w:rStyle w:val="Codetext"/>
        </w:rPr>
        <w:br/>
      </w:r>
      <w:r>
        <w:rPr>
          <w:rStyle w:val="Code"/>
        </w:rPr>
        <w:t xml:space="preserve">&lt;pb </w:t>
      </w:r>
      <w:r>
        <w:rPr>
          <w:rStyle w:val="Codeattribute"/>
        </w:rPr>
        <w:t>n</w:t>
      </w:r>
      <w:r>
        <w:rPr>
          <w:rStyle w:val="Code"/>
        </w:rPr>
        <w:t>=</w:t>
      </w:r>
      <w:r>
        <w:rPr>
          <w:rStyle w:val="Codevalue"/>
        </w:rPr>
        <w:t>"2r"</w:t>
      </w:r>
      <w:r>
        <w:rPr>
          <w:rStyle w:val="Code"/>
        </w:rPr>
        <w:t>/&gt;</w:t>
      </w:r>
      <w:r>
        <w:rPr>
          <w:rStyle w:val="Codecomment"/>
        </w:rPr>
        <w:t>&lt;!--Although a foliation mark was in all probability present on the lost plate, we do not restore one.--&gt;</w:t>
      </w:r>
      <w:r>
        <w:rPr>
          <w:rStyle w:val="Codetext"/>
        </w:rPr>
        <w:br/>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"line"</w:t>
      </w:r>
      <w:r>
        <w:rPr>
          <w:rStyle w:val="Code"/>
        </w:rPr>
        <w:t>/&gt;</w:t>
      </w:r>
      <w:r>
        <w:rPr>
          <w:rStyle w:val="Codetext"/>
        </w:rPr>
        <w:br/>
      </w:r>
      <w:r>
        <w:rPr>
          <w:rStyle w:val="Codecomment"/>
        </w:rPr>
        <w:t>&lt;!--Individual line beginnings are not reconstructed on a lost page, only recorded as a lacuna of known size. --&gt;</w:t>
      </w:r>
      <w:r>
        <w:rPr>
          <w:rStyle w:val="Codetext"/>
        </w:rPr>
        <w:br/>
      </w:r>
      <w:r>
        <w:rPr>
          <w:rStyle w:val="Code"/>
        </w:rPr>
        <w:t xml:space="preserve">&lt;pb </w:t>
      </w:r>
      <w:r>
        <w:rPr>
          <w:rStyle w:val="Codeattribute"/>
        </w:rPr>
        <w:t>n</w:t>
      </w:r>
      <w:r>
        <w:rPr>
          <w:rStyle w:val="Code"/>
        </w:rPr>
        <w:t>=</w:t>
      </w:r>
      <w:r>
        <w:rPr>
          <w:rStyle w:val="Codevalue"/>
        </w:rPr>
        <w:t>"2v"</w:t>
      </w:r>
      <w:r>
        <w:rPr>
          <w:rStyle w:val="Code"/>
        </w:rPr>
        <w:t>/&gt;</w:t>
      </w:r>
      <w:r>
        <w:rPr>
          <w:rStyle w:val="Codetext"/>
        </w:rPr>
        <w:br/>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"line"</w:t>
      </w:r>
      <w:r>
        <w:rPr>
          <w:rStyle w:val="Code"/>
        </w:rPr>
        <w:t>/&gt;</w:t>
      </w:r>
      <w:r>
        <w:rPr>
          <w:rStyle w:val="Codetext"/>
        </w:rPr>
        <w:br/>
      </w:r>
      <w:r>
        <w:rPr>
          <w:rStyle w:val="Code"/>
        </w:rPr>
        <w:t xml:space="preserve">&lt;p </w:t>
      </w:r>
      <w:r>
        <w:rPr>
          <w:rStyle w:val="Codeattribute"/>
        </w:rPr>
        <w:t>part</w:t>
      </w:r>
      <w:r>
        <w:rPr>
          <w:rStyle w:val="Code"/>
        </w:rPr>
        <w:t>=</w:t>
      </w:r>
      <w:r>
        <w:rPr>
          <w:rStyle w:val="Codevalue"/>
        </w:rPr>
        <w:t>"F"</w:t>
      </w:r>
      <w:r>
        <w:rPr>
          <w:rStyle w:val="Code"/>
        </w:rPr>
        <w:t>&gt;</w:t>
      </w:r>
      <w:r>
        <w:rPr>
          <w:rStyle w:val="Codecomment"/>
        </w:rPr>
        <w:t>&lt;!--A new block-level container, marked as a final part, is opened after the lacuna, before the next extant page beginning.--&gt;</w:t>
      </w:r>
      <w:r>
        <w:rPr>
          <w:rStyle w:val="Codetext"/>
        </w:rPr>
        <w:br/>
        <w:t xml:space="preserve">  </w:t>
      </w:r>
      <w:r>
        <w:rPr>
          <w:rStyle w:val="Code"/>
        </w:rPr>
        <w:t xml:space="preserve">&lt;pb </w:t>
      </w:r>
      <w:r>
        <w:rPr>
          <w:rStyle w:val="Codeattribute"/>
        </w:rPr>
        <w:t>n</w:t>
      </w:r>
      <w:r>
        <w:rPr>
          <w:rStyle w:val="Code"/>
        </w:rPr>
        <w:t>=</w:t>
      </w:r>
      <w:r>
        <w:rPr>
          <w:rStyle w:val="Codevalue"/>
        </w:rPr>
        <w:t>"3r"</w:t>
      </w:r>
      <w:r>
        <w:rPr>
          <w:rStyle w:val="Code"/>
        </w:rPr>
        <w:t>/&gt;</w:t>
      </w:r>
      <w:r>
        <w:rPr>
          <w:rStyle w:val="Codetext"/>
        </w:rPr>
        <w:br/>
        <w:t xml:space="preserve">  </w:t>
      </w:r>
      <w:r>
        <w:rPr>
          <w:rStyle w:val="Code"/>
        </w:rPr>
        <w:t xml:space="preserve">&lt;fw </w:t>
      </w:r>
      <w:r>
        <w:rPr>
          <w:rStyle w:val="Codeattribute"/>
        </w:rPr>
        <w:t>place</w:t>
      </w:r>
      <w:r>
        <w:rPr>
          <w:rStyle w:val="Code"/>
        </w:rPr>
        <w:t>=</w:t>
      </w:r>
      <w:r>
        <w:rPr>
          <w:rStyle w:val="Codevalue"/>
        </w:rPr>
        <w:t>"bot-left"</w:t>
      </w:r>
      <w:r>
        <w:rPr>
          <w:rStyle w:val="Code"/>
        </w:rPr>
        <w:t xml:space="preserve"> </w:t>
      </w:r>
      <w:r>
        <w:rPr>
          <w:rStyle w:val="Codeattribute"/>
        </w:rPr>
        <w:t>n</w:t>
      </w:r>
      <w:r>
        <w:rPr>
          <w:rStyle w:val="Code"/>
        </w:rPr>
        <w:t>=</w:t>
      </w:r>
      <w:r>
        <w:rPr>
          <w:rStyle w:val="Codevalue"/>
        </w:rPr>
        <w:t>"3r"</w:t>
      </w:r>
      <w:r>
        <w:rPr>
          <w:rStyle w:val="Code"/>
        </w:rPr>
        <w:t>&gt;</w:t>
      </w:r>
      <w:r>
        <w:rPr>
          <w:rStyle w:val="Codetext"/>
        </w:rPr>
        <w:br/>
        <w:t xml:space="preserve">    </w:t>
      </w:r>
      <w:r>
        <w:rPr>
          <w:rStyle w:val="Code"/>
        </w:rPr>
        <w:t xml:space="preserve">&lt;num </w:t>
      </w:r>
      <w:r>
        <w:rPr>
          <w:rStyle w:val="Codeattribute"/>
        </w:rPr>
        <w:t>value</w:t>
      </w:r>
      <w:r>
        <w:rPr>
          <w:rStyle w:val="Code"/>
        </w:rPr>
        <w:t>=</w:t>
      </w:r>
      <w:r>
        <w:rPr>
          <w:rStyle w:val="Codevalue"/>
        </w:rPr>
        <w:t>"3"</w:t>
      </w:r>
      <w:r>
        <w:rPr>
          <w:rStyle w:val="Code"/>
        </w:rPr>
        <w:t>&gt;</w:t>
      </w:r>
      <w:r>
        <w:rPr>
          <w:rStyle w:val="Codetext"/>
        </w:rPr>
        <w:t>3</w:t>
      </w:r>
      <w:r>
        <w:rPr>
          <w:rStyle w:val="Code"/>
        </w:rPr>
        <w:t>&lt;/num&gt;</w:t>
      </w:r>
      <w:r>
        <w:rPr>
          <w:rStyle w:val="Codetext"/>
        </w:rPr>
        <w:br/>
        <w:t xml:space="preserve">  </w:t>
      </w:r>
      <w:r>
        <w:rPr>
          <w:rStyle w:val="Code"/>
        </w:rPr>
        <w:t>&lt;/fw&gt;</w:t>
      </w:r>
      <w:r>
        <w:rPr>
          <w:rStyle w:val="Codetext"/>
        </w:rPr>
        <w:br/>
        <w:t xml:space="preserve">  </w:t>
      </w:r>
      <w:r>
        <w:rPr>
          <w:rStyle w:val="Code"/>
        </w:rPr>
        <w:t xml:space="preserve">&lt;lb </w:t>
      </w:r>
      <w:r>
        <w:rPr>
          <w:rStyle w:val="Codeattribute"/>
        </w:rPr>
        <w:t>n</w:t>
      </w:r>
      <w:r>
        <w:rPr>
          <w:rStyle w:val="Code"/>
        </w:rPr>
        <w:t>=</w:t>
      </w:r>
      <w:r>
        <w:rPr>
          <w:rStyle w:val="Codevalue"/>
        </w:rPr>
        <w:t>"3r1"</w:t>
      </w:r>
      <w:r>
        <w:rPr>
          <w:rStyle w:val="Code"/>
        </w:rPr>
        <w:t>/&gt;</w:t>
      </w:r>
      <w:r>
        <w:rPr>
          <w:rStyle w:val="Codetext"/>
        </w:rPr>
        <w:t>and floors tiled and carpeted, provided with polished</w:t>
      </w:r>
      <w:r>
        <w:rPr>
          <w:rStyle w:val="Codetext"/>
        </w:rPr>
        <w:br/>
        <w:t xml:space="preserve">  </w:t>
      </w:r>
      <w:r>
        <w:rPr>
          <w:rStyle w:val="Code"/>
        </w:rPr>
        <w:t xml:space="preserve">&lt;lb </w:t>
      </w:r>
      <w:r>
        <w:rPr>
          <w:rStyle w:val="Codeattribute"/>
        </w:rPr>
        <w:t>n</w:t>
      </w:r>
      <w:r>
        <w:rPr>
          <w:rStyle w:val="Code"/>
        </w:rPr>
        <w:t>=</w:t>
      </w:r>
      <w:r>
        <w:rPr>
          <w:rStyle w:val="Codevalue"/>
        </w:rPr>
        <w:t>"3r2"</w:t>
      </w:r>
      <w:r>
        <w:rPr>
          <w:rStyle w:val="Code"/>
        </w:rPr>
        <w:t>/&gt;</w:t>
      </w:r>
      <w:r>
        <w:rPr>
          <w:rStyle w:val="Codetext"/>
        </w:rPr>
        <w:t>chairs, and lots and lots of pegs for hats and coats.</w:t>
      </w:r>
      <w:r>
        <w:rPr>
          <w:rStyle w:val="Codetext"/>
        </w:rPr>
        <w:br/>
      </w:r>
      <w:r>
        <w:rPr>
          <w:rStyle w:val="Code"/>
        </w:rPr>
        <w:t>&lt;/p&gt;</w:t>
      </w:r>
      <w:r>
        <w:rPr>
          <w:rStyle w:val="Codetext"/>
        </w:rPr>
        <w:br/>
      </w:r>
      <w:r>
        <w:rPr>
          <w:rStyle w:val="Code"/>
        </w:rPr>
        <w:t>&lt;ab&gt;</w:t>
      </w:r>
      <w:r>
        <w:rPr>
          <w:rStyle w:val="Codetext"/>
        </w:rPr>
        <w:br/>
        <w:t xml:space="preserve">  </w:t>
      </w:r>
      <w:r>
        <w:rPr>
          <w:rStyle w:val="Code"/>
        </w:rPr>
        <w:t xml:space="preserve">&lt;lb </w:t>
      </w:r>
      <w:r>
        <w:rPr>
          <w:rStyle w:val="Codeattribute"/>
        </w:rPr>
        <w:t>n</w:t>
      </w:r>
      <w:r>
        <w:rPr>
          <w:rStyle w:val="Code"/>
        </w:rPr>
        <w:t>=</w:t>
      </w:r>
      <w:r>
        <w:rPr>
          <w:rStyle w:val="Codevalue"/>
        </w:rPr>
        <w:t>"3r3"</w:t>
      </w:r>
      <w:r>
        <w:rPr>
          <w:rStyle w:val="Code"/>
        </w:rPr>
        <w:t xml:space="preserve"> </w:t>
      </w:r>
      <w:r>
        <w:rPr>
          <w:rStyle w:val="Codeattribute"/>
        </w:rPr>
        <w:t>style</w:t>
      </w:r>
      <w:r>
        <w:rPr>
          <w:rStyle w:val="Code"/>
        </w:rPr>
        <w:t>=</w:t>
      </w:r>
      <w:r>
        <w:rPr>
          <w:rStyle w:val="Codevalue"/>
        </w:rPr>
        <w:t>"text-align: right"</w:t>
      </w:r>
      <w:r>
        <w:rPr>
          <w:rStyle w:val="Code"/>
        </w:rPr>
        <w:t>/&gt;</w:t>
      </w:r>
      <w:r>
        <w:rPr>
          <w:rStyle w:val="Codetext"/>
        </w:rPr>
        <w:br/>
        <w:t xml:space="preserve">  </w:t>
      </w:r>
      <w:r>
        <w:rPr>
          <w:rStyle w:val="Code"/>
        </w:rPr>
        <w:t xml:space="preserve">&lt;num </w:t>
      </w:r>
      <w:r>
        <w:rPr>
          <w:rStyle w:val="Codeattribute"/>
        </w:rPr>
        <w:t>value</w:t>
      </w:r>
      <w:r>
        <w:rPr>
          <w:rStyle w:val="Code"/>
        </w:rPr>
        <w:t>=</w:t>
      </w:r>
      <w:r>
        <w:rPr>
          <w:rStyle w:val="Codevalue"/>
        </w:rPr>
        <w:t>"29"</w:t>
      </w:r>
      <w:r>
        <w:rPr>
          <w:rStyle w:val="Code"/>
        </w:rPr>
        <w:t>&gt;</w:t>
      </w:r>
      <w:r>
        <w:rPr>
          <w:rStyle w:val="Codetext"/>
        </w:rPr>
        <w:t>29</w:t>
      </w:r>
      <w:r>
        <w:rPr>
          <w:rStyle w:val="Code"/>
        </w:rPr>
        <w:t>&lt;/num&gt;</w:t>
      </w:r>
      <w:r>
        <w:rPr>
          <w:rStyle w:val="Codetext"/>
        </w:rPr>
        <w:t xml:space="preserve"> September </w:t>
      </w:r>
      <w:r>
        <w:rPr>
          <w:rStyle w:val="Code"/>
        </w:rPr>
        <w:t xml:space="preserve">&lt;num </w:t>
      </w:r>
      <w:r>
        <w:rPr>
          <w:rStyle w:val="Codeattribute"/>
        </w:rPr>
        <w:t>value</w:t>
      </w:r>
      <w:r>
        <w:rPr>
          <w:rStyle w:val="Code"/>
        </w:rPr>
        <w:t>=</w:t>
      </w:r>
      <w:r>
        <w:rPr>
          <w:rStyle w:val="Codevalue"/>
        </w:rPr>
        <w:t>"2019"</w:t>
      </w:r>
      <w:r>
        <w:rPr>
          <w:rStyle w:val="Code"/>
        </w:rPr>
        <w:t>&gt;</w:t>
      </w:r>
      <w:r>
        <w:rPr>
          <w:rStyle w:val="Codetext"/>
        </w:rPr>
        <w:t>2019</w:t>
      </w:r>
      <w:r>
        <w:rPr>
          <w:rStyle w:val="Code"/>
        </w:rPr>
        <w:t>&lt;/num&gt;</w:t>
      </w:r>
      <w:r>
        <w:rPr>
          <w:rStyle w:val="Codetext"/>
        </w:rPr>
        <w:br/>
      </w:r>
      <w:r>
        <w:rPr>
          <w:rStyle w:val="Code"/>
        </w:rPr>
        <w:t>&lt;/ab&gt;</w:t>
      </w:r>
      <w:r>
        <w:rPr>
          <w:rStyle w:val="Codetext"/>
        </w:rPr>
        <w:br/>
      </w:r>
      <w:r>
        <w:rPr>
          <w:rStyle w:val="Code"/>
        </w:rPr>
        <w:t xml:space="preserve">&lt;pb </w:t>
      </w:r>
      <w:r>
        <w:rPr>
          <w:rStyle w:val="Codeattribute"/>
        </w:rPr>
        <w:t>n</w:t>
      </w:r>
      <w:r>
        <w:rPr>
          <w:rStyle w:val="Code"/>
        </w:rPr>
        <w:t>=</w:t>
      </w:r>
      <w:r>
        <w:rPr>
          <w:rStyle w:val="Codevalue"/>
        </w:rPr>
        <w:t>"3v"</w:t>
      </w:r>
      <w:r>
        <w:rPr>
          <w:rStyle w:val="Code"/>
        </w:rPr>
        <w:t>/&gt;</w:t>
      </w:r>
    </w:p>
    <w:p>
      <w:pPr>
        <w:pStyle w:val="Cmsor2"/>
        <w:numPr>
          <w:ilvl w:val="1"/>
          <w:numId w:val="7"/>
        </w:numPr>
      </w:pPr>
      <w:bookmarkStart w:id="1046" w:name="_91l5g3c4663p" w:colFirst="0" w:colLast="0"/>
      <w:bookmarkStart w:id="1047" w:name="_Ref239844430"/>
      <w:bookmarkEnd w:id="1046"/>
      <w:r>
        <w:lastRenderedPageBreak/>
        <w:t>Copperplate charter with a lost plate not reconstructed</w:t>
      </w:r>
      <w:bookmarkEnd w:id="1047"/>
    </w:p>
    <w:p>
      <w:pPr>
        <w:pStyle w:val="Image"/>
      </w:pPr>
      <w:r>
        <w:drawing>
          <wp:inline distT="0" distB="0" distL="0" distR="0">
            <wp:extent cx="5400000" cy="3344400"/>
            <wp:effectExtent l="0" t="0" r="0" b="8890"/>
            <wp:docPr id="1495493284"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400000" cy="3344400"/>
                    </a:xfrm>
                    <a:prstGeom prst="rect">
                      <a:avLst/>
                    </a:prstGeom>
                    <a:noFill/>
                    <a:ln>
                      <a:noFill/>
                    </a:ln>
                  </pic:spPr>
                </pic:pic>
              </a:graphicData>
            </a:graphic>
          </wp:inline>
        </w:drawing>
      </w:r>
    </w:p>
    <w:p>
      <w:pPr>
        <w:pStyle w:val="Lista"/>
      </w:pPr>
      <w:r>
        <w:t xml:space="preserve">as another variation on </w:t>
      </w:r>
      <w:r>
        <w:fldChar w:fldCharType="begin"/>
      </w:r>
      <w:r>
        <w:instrText xml:space="preserve"> REF _Ref239844102 \r \h </w:instrText>
      </w:r>
      <w:r>
        <w:fldChar w:fldCharType="separate"/>
      </w:r>
      <w:r>
        <w:t>Appendix A.2</w:t>
      </w:r>
      <w:r>
        <w:fldChar w:fldCharType="end"/>
      </w:r>
      <w:r>
        <w:t>, we again have a partial set of plates where the middle plate is missing</w:t>
      </w:r>
    </w:p>
    <w:p>
      <w:pPr>
        <w:pStyle w:val="Lista"/>
      </w:pPr>
      <w:r>
        <w:t>this time, however, the seal is extant and there are no foliation marks, nor are we sufficiently familiar with any other Middle Earth plates, so we cannot confidently reconstruct the structure of the lost section</w:t>
      </w:r>
    </w:p>
    <w:p>
      <w:pPr>
        <w:pStyle w:val="Lista"/>
      </w:pPr>
      <w:r>
        <w:t xml:space="preserve">our edition must therefore be divided into three textparts: one for the seal, one for the initial plate, and one for the final plate </w:t>
      </w:r>
      <w:r>
        <w:rPr>
          <w:noProof/>
        </w:rPr>
        <w:t>(</w:t>
      </w:r>
      <w:r>
        <w:t>§</w:t>
      </w:r>
      <w:r>
        <w:fldChar w:fldCharType="begin"/>
      </w:r>
      <w:r>
        <w:instrText xml:space="preserve"> REF _Ref149918878 \r \h </w:instrText>
      </w:r>
      <w:r>
        <w:fldChar w:fldCharType="separate"/>
      </w:r>
      <w:r>
        <w:t>6.5.5.3</w:t>
      </w:r>
      <w:r>
        <w:fldChar w:fldCharType="end"/>
      </w:r>
      <w:r>
        <w:t>)</w:t>
      </w:r>
    </w:p>
    <w:p>
      <w:pPr>
        <w:pStyle w:val="Lista"/>
      </w:pPr>
      <w:r>
        <w:t xml:space="preserve">extant details are encoded as in </w:t>
      </w:r>
      <w:r>
        <w:fldChar w:fldCharType="begin"/>
      </w:r>
      <w:r>
        <w:instrText xml:space="preserve"> REF _Ref239844102 \r \h </w:instrText>
      </w:r>
      <w:r>
        <w:fldChar w:fldCharType="separate"/>
      </w:r>
      <w:r>
        <w:t>Appendix A.2</w:t>
      </w:r>
      <w:r>
        <w:fldChar w:fldCharType="end"/>
      </w:r>
      <w:r>
        <w:t xml:space="preserve"> above</w:t>
      </w:r>
    </w:p>
    <w:p/>
    <w:p>
      <w:pPr>
        <w:pStyle w:val="CodeParagraph"/>
        <w:rPr>
          <w:rStyle w:val="Code"/>
        </w:rPr>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Seal</w:t>
      </w:r>
      <w:r>
        <w:rPr>
          <w:rStyle w:val="Code"/>
        </w:rPr>
        <w:t>&lt;/head&gt;</w:t>
      </w:r>
      <w:r>
        <w:rPr>
          <w:rStyle w:val="Codetext"/>
        </w:rPr>
        <w:br/>
        <w:t xml:space="preserve">  </w:t>
      </w:r>
      <w:r>
        <w:rPr>
          <w:rStyle w:val="Code"/>
        </w:rPr>
        <w:t>&lt;ab&gt;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J R R</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Tolkien</w:t>
      </w:r>
      <w:r>
        <w:rPr>
          <w:rStyle w:val="Codetext"/>
        </w:rPr>
        <w:br/>
        <w:t xml:space="preserve">  </w:t>
      </w:r>
      <w:r>
        <w:rPr>
          <w:rStyle w:val="Code"/>
        </w:rPr>
        <w:t>&lt;/ab&gt;</w:t>
      </w:r>
      <w:r>
        <w:rPr>
          <w:rStyle w:val="Codetext"/>
        </w:rPr>
        <w:br/>
      </w:r>
      <w:r>
        <w:rPr>
          <w:rStyle w:val="Code"/>
        </w:rPr>
        <w:t>&lt;/div&gt;</w:t>
      </w:r>
      <w:r>
        <w:rPr>
          <w:rStyle w:val="Codetext"/>
        </w:rPr>
        <w:br/>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Initial plate</w:t>
      </w:r>
      <w:r>
        <w:rPr>
          <w:rStyle w:val="Code"/>
        </w:rPr>
        <w:t>&lt;/head&gt;</w:t>
      </w:r>
      <w:r>
        <w:rPr>
          <w:rStyle w:val="Codetext"/>
        </w:rPr>
        <w:br/>
        <w:t xml:space="preserve">  </w:t>
      </w:r>
      <w:r>
        <w:rPr>
          <w:rStyle w:val="Code"/>
        </w:rPr>
        <w:t xml:space="preserve">&lt;pb </w:t>
      </w:r>
      <w:r>
        <w:rPr>
          <w:rStyle w:val="Codeattribute"/>
        </w:rPr>
        <w:t>n</w:t>
      </w:r>
      <w:r>
        <w:rPr>
          <w:rStyle w:val="Code"/>
        </w:rPr>
        <w:t>=</w:t>
      </w:r>
      <w:r>
        <w:rPr>
          <w:rStyle w:val="Codevalue"/>
        </w:rPr>
        <w:t>"1r"</w:t>
      </w:r>
      <w:r>
        <w:rPr>
          <w:rStyle w:val="Code"/>
        </w:rPr>
        <w:t>/&gt;</w:t>
      </w:r>
      <w:r>
        <w:rPr>
          <w:rStyle w:val="Codetext"/>
        </w:rPr>
        <w:br/>
        <w:t xml:space="preserve">  </w:t>
      </w:r>
      <w:r>
        <w:rPr>
          <w:rStyle w:val="Code"/>
        </w:rPr>
        <w:t>&lt;ab&gt;</w:t>
      </w:r>
    </w:p>
    <w:p>
      <w:pPr>
        <w:pStyle w:val="CodeParagraph"/>
        <w:rPr>
          <w:rStyle w:val="Codetext"/>
        </w:rPr>
      </w:pPr>
      <w:r>
        <w:rPr>
          <w:rStyle w:val="Codetext"/>
        </w:rPr>
        <w:t xml:space="preserve">    </w:t>
      </w:r>
      <w:r>
        <w:rPr>
          <w:rStyle w:val="Code"/>
        </w:rPr>
        <w:t xml:space="preserve">&lt;pb </w:t>
      </w:r>
      <w:r>
        <w:rPr>
          <w:rStyle w:val="Codeattribute"/>
        </w:rPr>
        <w:t>n</w:t>
      </w:r>
      <w:r>
        <w:rPr>
          <w:rStyle w:val="Code"/>
        </w:rPr>
        <w:t>=</w:t>
      </w:r>
      <w:r>
        <w:rPr>
          <w:rStyle w:val="Codevalue"/>
        </w:rPr>
        <w:t>"1v"</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"01"</w:t>
      </w:r>
      <w:r>
        <w:rPr>
          <w:rStyle w:val="Code"/>
        </w:rPr>
        <w:t>/&gt;</w:t>
      </w:r>
      <w:r>
        <w:rPr>
          <w:rStyle w:val="Codetext"/>
        </w:rPr>
        <w:t>The Hobbit</w:t>
      </w:r>
      <w:r>
        <w:rPr>
          <w:rStyle w:val="Codetext"/>
        </w:rPr>
        <w:br/>
        <w:t xml:space="preserve">  </w:t>
      </w:r>
      <w:r>
        <w:rPr>
          <w:rStyle w:val="Code"/>
        </w:rPr>
        <w:t>&lt;/ab&gt;</w:t>
      </w:r>
      <w:r>
        <w:rPr>
          <w:rStyle w:val="Codetext"/>
        </w:rPr>
        <w:br/>
        <w:t xml:space="preserve">  </w:t>
      </w:r>
      <w:r>
        <w:rPr>
          <w:rStyle w:val="Code"/>
        </w:rPr>
        <w:t xml:space="preserve">&lt;p </w:t>
      </w:r>
      <w:r>
        <w:rPr>
          <w:rStyle w:val="Codeattribute"/>
        </w:rPr>
        <w:t>part</w:t>
      </w:r>
      <w:r>
        <w:rPr>
          <w:rStyle w:val="Code"/>
        </w:rPr>
        <w:t>=</w:t>
      </w:r>
      <w:r>
        <w:rPr>
          <w:rStyle w:val="Codevalue"/>
        </w:rPr>
        <w:t>"I"</w:t>
      </w:r>
      <w:r>
        <w:rPr>
          <w:rStyle w:val="Code"/>
        </w:rPr>
        <w:t>&gt;</w:t>
      </w:r>
      <w:r>
        <w:rPr>
          <w:rStyle w:val="Codecomment"/>
        </w:rPr>
        <w:t>&lt;!--Incomplete paragraph marked as an initial part. --&gt;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 there lived a hobbit. Not</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a nasty, dirty, wet hole, filled with the ends of worm</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/&gt;</w:t>
      </w:r>
      <w:r>
        <w:rPr>
          <w:rStyle w:val="Codetext"/>
        </w:rPr>
        <w:t>and an oozy smell, nor yet a dry, bare, sandy hole with</w:t>
      </w:r>
    </w:p>
    <w:p>
      <w:pPr>
        <w:pStyle w:val="CodeParagraph"/>
        <w:rPr>
          <w:rStyle w:val="Code"/>
        </w:rPr>
      </w:pPr>
      <w:r>
        <w:rPr>
          <w:rStyle w:val="Codetext"/>
        </w:rPr>
        <w:t xml:space="preserve">  </w:t>
      </w:r>
      <w:r>
        <w:rPr>
          <w:rStyle w:val="Code"/>
        </w:rPr>
        <w:t>&lt;/p&gt;</w:t>
      </w:r>
    </w:p>
    <w:p>
      <w:pPr>
        <w:pStyle w:val="CodeParagraph"/>
        <w:rPr>
          <w:rStyle w:val="Code"/>
        </w:rPr>
      </w:pPr>
      <w:r>
        <w:rPr>
          <w:rStyle w:val="Code"/>
        </w:rPr>
        <w:t>&lt;/div&gt;</w:t>
      </w:r>
      <w:r>
        <w:rPr>
          <w:rStyle w:val="Codetext"/>
        </w:rPr>
        <w:br/>
      </w:r>
      <w:r>
        <w:rPr>
          <w:rStyle w:val="Codecomment"/>
        </w:rPr>
        <w:t>&lt;!--Nothing is encoded for the lacuna itself, since the use of textparts makes it clear that text is lost between the two; details go in the layout description and the commentary. --&gt;</w:t>
      </w:r>
      <w:r>
        <w:rPr>
          <w:rStyle w:val="Codetext"/>
        </w:rPr>
        <w:br/>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"C"</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Final plate</w:t>
      </w:r>
      <w:r>
        <w:rPr>
          <w:rStyle w:val="Code"/>
        </w:rPr>
        <w:t>&lt;/head&gt;</w:t>
      </w:r>
      <w:r>
        <w:rPr>
          <w:rStyle w:val="Codetext"/>
        </w:rPr>
        <w:br/>
        <w:t xml:space="preserve">  </w:t>
      </w:r>
      <w:r>
        <w:rPr>
          <w:rStyle w:val="Code"/>
        </w:rPr>
        <w:t xml:space="preserve">&lt;p </w:t>
      </w:r>
      <w:r>
        <w:rPr>
          <w:rStyle w:val="Codeattribute"/>
        </w:rPr>
        <w:t>part</w:t>
      </w:r>
      <w:r>
        <w:rPr>
          <w:rStyle w:val="Code"/>
        </w:rPr>
        <w:t>=</w:t>
      </w:r>
      <w:r>
        <w:rPr>
          <w:rStyle w:val="Codevalue"/>
        </w:rPr>
        <w:t>"F"</w:t>
      </w:r>
      <w:r>
        <w:rPr>
          <w:rStyle w:val="Code"/>
        </w:rPr>
        <w:t>&gt;</w:t>
      </w:r>
      <w:r>
        <w:rPr>
          <w:rStyle w:val="Codecomment"/>
        </w:rPr>
        <w:t>&lt;!--Incomplete paragraph marked as a final part. --&gt;</w:t>
      </w:r>
      <w:r>
        <w:rPr>
          <w:rStyle w:val="Codetext"/>
        </w:rPr>
        <w:br/>
        <w:t xml:space="preserve">  </w:t>
      </w:r>
      <w:r>
        <w:rPr>
          <w:rStyle w:val="Code"/>
        </w:rPr>
        <w:t xml:space="preserve">&lt;pb </w:t>
      </w:r>
      <w:r>
        <w:rPr>
          <w:rStyle w:val="Codeattribute"/>
        </w:rPr>
        <w:t>n</w:t>
      </w:r>
      <w:r>
        <w:rPr>
          <w:rStyle w:val="Code"/>
        </w:rPr>
        <w:t>=</w:t>
      </w:r>
      <w:r>
        <w:rPr>
          <w:rStyle w:val="Codevalue"/>
        </w:rPr>
        <w:t>"1r"</w:t>
      </w:r>
      <w:r>
        <w:rPr>
          <w:rStyle w:val="Code"/>
        </w:rPr>
        <w:t>/&gt;</w:t>
      </w:r>
    </w:p>
    <w:p>
      <w:pPr>
        <w:pStyle w:val="CodeParagraph"/>
      </w:pPr>
      <w:r>
        <w:rPr>
          <w:rStyle w:val="Codetext"/>
        </w:rPr>
        <w:t xml:space="preserve">  </w:t>
      </w:r>
      <w:r>
        <w:rPr>
          <w:rStyle w:val="Codecomment"/>
        </w:rPr>
        <w:t>&lt;!--Page and line numbering are reset to 1 in the second textpart §</w:t>
      </w:r>
      <w:r>
        <w:rPr>
          <w:rStyle w:val="Codecomment"/>
          <w:rFonts w:eastAsia="Arial Unicode MS"/>
        </w:rPr>
        <w:fldChar w:fldCharType="begin"/>
      </w:r>
      <w:r>
        <w:rPr>
          <w:rStyle w:val="Codecomment"/>
          <w:rFonts w:eastAsia="Arial Unicode MS"/>
        </w:rPr>
        <w:instrText xml:space="preserve"> REF _Ref43986747 \w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4.2.1.4</w:t>
      </w:r>
      <w:r>
        <w:rPr>
          <w:rStyle w:val="Codecomment"/>
          <w:rFonts w:eastAsia="Arial Unicode MS"/>
        </w:rPr>
        <w:fldChar w:fldCharType="end"/>
      </w:r>
      <w:r>
        <w:rPr>
          <w:rStyle w:val="Codecomment"/>
        </w:rPr>
        <w:t>. --&gt;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and floors tiled and carpeted, provided with polished</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chairs, and lots and lots of pegs for hats and coats.</w:t>
      </w:r>
      <w:r>
        <w:rPr>
          <w:rStyle w:val="Codetext"/>
        </w:rPr>
        <w:br/>
        <w:t xml:space="preserve">  </w:t>
      </w:r>
      <w:r>
        <w:rPr>
          <w:rStyle w:val="Code"/>
        </w:rPr>
        <w:t>&lt;/p&gt;</w:t>
      </w:r>
      <w:r>
        <w:rPr>
          <w:rStyle w:val="Codetext"/>
        </w:rPr>
        <w:br/>
        <w:t xml:space="preserve">  </w:t>
      </w:r>
      <w:r>
        <w:rPr>
          <w:rStyle w:val="Code"/>
        </w:rPr>
        <w:t>&lt;ab&gt;</w:t>
      </w:r>
      <w:r>
        <w:rPr>
          <w:rStyle w:val="Codetext"/>
        </w:rPr>
        <w:br/>
      </w:r>
      <w:r>
        <w:rPr>
          <w:rStyle w:val="Codetext"/>
        </w:rPr>
        <w:lastRenderedPageBreak/>
        <w:t xml:space="preserve">  </w:t>
      </w:r>
      <w:r>
        <w:rPr>
          <w:rStyle w:val="Code"/>
        </w:rPr>
        <w:t xml:space="preserve">&lt;lb </w:t>
      </w:r>
      <w:r>
        <w:rPr>
          <w:rStyle w:val="Codeattribute"/>
        </w:rPr>
        <w:t>n</w:t>
      </w:r>
      <w:r>
        <w:rPr>
          <w:rStyle w:val="Code"/>
        </w:rPr>
        <w:t>=</w:t>
      </w:r>
      <w:r>
        <w:rPr>
          <w:rStyle w:val="Codevalue"/>
        </w:rPr>
        <w:t>"3"</w:t>
      </w:r>
      <w:r>
        <w:rPr>
          <w:rStyle w:val="Code"/>
        </w:rPr>
        <w:t xml:space="preserve"> </w:t>
      </w:r>
      <w:r>
        <w:rPr>
          <w:rStyle w:val="Codeattribute"/>
        </w:rPr>
        <w:t>style</w:t>
      </w:r>
      <w:r>
        <w:rPr>
          <w:rStyle w:val="Code"/>
        </w:rPr>
        <w:t>=</w:t>
      </w:r>
      <w:r>
        <w:rPr>
          <w:rStyle w:val="Codevalue"/>
        </w:rPr>
        <w:t>"text-align: right"</w:t>
      </w:r>
      <w:r>
        <w:rPr>
          <w:rStyle w:val="Code"/>
        </w:rPr>
        <w:t>/&gt;</w:t>
      </w:r>
      <w:r>
        <w:rPr>
          <w:rStyle w:val="Codetext"/>
        </w:rPr>
        <w:br/>
        <w:t xml:space="preserve">  </w:t>
      </w:r>
      <w:r>
        <w:rPr>
          <w:rStyle w:val="Code"/>
        </w:rPr>
        <w:t xml:space="preserve">&lt;num </w:t>
      </w:r>
      <w:r>
        <w:rPr>
          <w:rStyle w:val="Codeattribute"/>
        </w:rPr>
        <w:t>value</w:t>
      </w:r>
      <w:r>
        <w:rPr>
          <w:rStyle w:val="Code"/>
        </w:rPr>
        <w:t>=</w:t>
      </w:r>
      <w:r>
        <w:rPr>
          <w:rStyle w:val="Codevalue"/>
        </w:rPr>
        <w:t>"29"</w:t>
      </w:r>
      <w:r>
        <w:rPr>
          <w:rStyle w:val="Code"/>
        </w:rPr>
        <w:t>&gt;</w:t>
      </w:r>
      <w:r>
        <w:rPr>
          <w:rStyle w:val="Codetext"/>
        </w:rPr>
        <w:t>29</w:t>
      </w:r>
      <w:r>
        <w:rPr>
          <w:rStyle w:val="Code"/>
        </w:rPr>
        <w:t>&lt;/num&gt;</w:t>
      </w:r>
      <w:r>
        <w:rPr>
          <w:rStyle w:val="Codetext"/>
        </w:rPr>
        <w:t xml:space="preserve"> September </w:t>
      </w:r>
      <w:r>
        <w:rPr>
          <w:rStyle w:val="Code"/>
        </w:rPr>
        <w:t xml:space="preserve">&lt;num </w:t>
      </w:r>
      <w:r>
        <w:rPr>
          <w:rStyle w:val="Codeattribute"/>
        </w:rPr>
        <w:t>value</w:t>
      </w:r>
      <w:r>
        <w:rPr>
          <w:rStyle w:val="Code"/>
        </w:rPr>
        <w:t>=</w:t>
      </w:r>
      <w:r>
        <w:rPr>
          <w:rStyle w:val="Codevalue"/>
        </w:rPr>
        <w:t>"2019"</w:t>
      </w:r>
      <w:r>
        <w:rPr>
          <w:rStyle w:val="Code"/>
        </w:rPr>
        <w:t>&gt;</w:t>
      </w:r>
      <w:r>
        <w:rPr>
          <w:rStyle w:val="Codetext"/>
        </w:rPr>
        <w:t>2019</w:t>
      </w:r>
      <w:r>
        <w:rPr>
          <w:rStyle w:val="Code"/>
        </w:rPr>
        <w:t>&lt;/num&gt;</w:t>
      </w:r>
      <w:r>
        <w:rPr>
          <w:rStyle w:val="Codetext"/>
        </w:rPr>
        <w:br/>
        <w:t xml:space="preserve">  </w:t>
      </w:r>
      <w:r>
        <w:rPr>
          <w:rStyle w:val="Code"/>
        </w:rPr>
        <w:t>&lt;/ab&gt;</w:t>
      </w:r>
      <w:r>
        <w:rPr>
          <w:rStyle w:val="Codetext"/>
        </w:rPr>
        <w:br/>
        <w:t xml:space="preserve">  </w:t>
      </w:r>
      <w:r>
        <w:rPr>
          <w:rStyle w:val="Code"/>
        </w:rPr>
        <w:t xml:space="preserve">&lt;pb </w:t>
      </w:r>
      <w:r>
        <w:rPr>
          <w:rStyle w:val="Codeattribute"/>
        </w:rPr>
        <w:t>n</w:t>
      </w:r>
      <w:r>
        <w:rPr>
          <w:rStyle w:val="Code"/>
        </w:rPr>
        <w:t>=</w:t>
      </w:r>
      <w:r>
        <w:rPr>
          <w:rStyle w:val="Codevalue"/>
        </w:rPr>
        <w:t>"1v"</w:t>
      </w:r>
      <w:r>
        <w:rPr>
          <w:rStyle w:val="Code"/>
        </w:rPr>
        <w:t>/&gt;</w:t>
      </w:r>
      <w:r>
        <w:rPr>
          <w:rStyle w:val="Codetext"/>
        </w:rPr>
        <w:br/>
      </w:r>
      <w:r>
        <w:rPr>
          <w:rStyle w:val="Code"/>
        </w:rPr>
        <w:t>&lt;/div&gt;</w:t>
      </w:r>
    </w:p>
    <w:p>
      <w:pPr>
        <w:pStyle w:val="Cmsor2"/>
        <w:numPr>
          <w:ilvl w:val="1"/>
          <w:numId w:val="7"/>
        </w:numPr>
      </w:pPr>
      <w:bookmarkStart w:id="1048" w:name="_1h8zsds4qdsf" w:colFirst="0" w:colLast="0"/>
      <w:bookmarkStart w:id="1049" w:name="_Ref239844040"/>
      <w:bookmarkStart w:id="1050" w:name="_Ref239844153"/>
      <w:bookmarkStart w:id="1051" w:name="_Ref239844198"/>
      <w:bookmarkStart w:id="1052" w:name="_Ref239844313"/>
      <w:bookmarkStart w:id="1053" w:name="_Ref239844333"/>
      <w:bookmarkStart w:id="1054" w:name="_Ref239844348"/>
      <w:bookmarkStart w:id="1055" w:name="_Ref239844365"/>
      <w:bookmarkStart w:id="1056" w:name="_Ref43989726"/>
      <w:bookmarkEnd w:id="1048"/>
      <w:r>
        <w:t>Four-faced stele</w:t>
      </w:r>
      <w:bookmarkEnd w:id="1049"/>
      <w:bookmarkEnd w:id="1050"/>
      <w:bookmarkEnd w:id="1051"/>
      <w:bookmarkEnd w:id="1052"/>
      <w:bookmarkEnd w:id="1053"/>
      <w:bookmarkEnd w:id="1054"/>
      <w:bookmarkEnd w:id="1055"/>
    </w:p>
    <w:p>
      <w:pPr>
        <w:pStyle w:val="Image"/>
        <w:rPr>
          <w:lang w:eastAsia="en-US" w:bidi="ar-SA"/>
        </w:rPr>
      </w:pPr>
      <w:r>
        <w:rPr>
          <w:lang w:eastAsia="en-US" w:bidi="ar-SA"/>
        </w:rPr>
        <w:drawing>
          <wp:inline distT="0" distB="0" distL="0" distR="0">
            <wp:extent cx="5738400" cy="2973600"/>
            <wp:effectExtent l="0" t="0" r="0" b="0"/>
            <wp:docPr id="176698463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84639" name="Kép 4"/>
                    <pic:cNvPicPr>
                      <a:picLocks noChangeAspect="1" noChangeArrowheads="1"/>
                    </pic:cNvPicPr>
                  </pic:nvPicPr>
                  <pic:blipFill>
                    <a:blip r:embed="rId85"/>
                    <a:stretch>
                      <a:fillRect/>
                    </a:stretch>
                  </pic:blipFill>
                  <pic:spPr bwMode="auto">
                    <a:xfrm>
                      <a:off x="0" y="0"/>
                      <a:ext cx="5738400" cy="2973600"/>
                    </a:xfrm>
                    <a:prstGeom prst="rect">
                      <a:avLst/>
                    </a:prstGeom>
                    <a:noFill/>
                    <a:ln>
                      <a:noFill/>
                    </a:ln>
                  </pic:spPr>
                </pic:pic>
              </a:graphicData>
            </a:graphic>
          </wp:inline>
        </w:drawing>
      </w:r>
    </w:p>
    <w:p>
      <w:pPr>
        <w:pStyle w:val="Lista"/>
      </w:pPr>
      <w:r>
        <w:t>this imaginary stele is an oblong quadrangle in cross-section</w:t>
      </w:r>
    </w:p>
    <w:p>
      <w:pPr>
        <w:pStyle w:val="Lista"/>
      </w:pPr>
      <w:r>
        <w:t>all four sides are inscribed, with text starting on one of the broad faces</w:t>
      </w:r>
    </w:p>
    <w:p>
      <w:pPr>
        <w:pStyle w:val="Lista2"/>
      </w:pPr>
      <w:r>
        <w:t>each line of the text runs across one edge, onto the adjacent narrow face</w:t>
      </w:r>
    </w:p>
    <w:p>
      <w:pPr>
        <w:pStyle w:val="Lista2"/>
      </w:pPr>
      <w:r>
        <w:t>subsequent lines fill up the inscribed field of this pair of faces</w:t>
      </w:r>
    </w:p>
    <w:p>
      <w:pPr>
        <w:pStyle w:val="Lista2"/>
      </w:pPr>
      <w:r>
        <w:t>the text then flows on to the top of the next broad face and proceeds to fill up that face and the adjacent narrow face in the same way as the first pair of faces</w:t>
      </w:r>
    </w:p>
    <w:p>
      <w:pPr>
        <w:pStyle w:val="Lista"/>
      </w:pPr>
      <w:r>
        <w:t xml:space="preserve">thus, the partition between the two face pairs is pagelike </w:t>
      </w:r>
      <w:r>
        <w:rPr>
          <w:noProof/>
        </w:rPr>
        <w:t>(</w:t>
      </w:r>
      <w:r>
        <w:t>§</w:t>
      </w:r>
      <w:r>
        <w:fldChar w:fldCharType="begin"/>
      </w:r>
      <w:r>
        <w:instrText xml:space="preserve"> REF _Ref233982406 \r \h </w:instrText>
      </w:r>
      <w:r>
        <w:fldChar w:fldCharType="separate"/>
      </w:r>
      <w:r>
        <w:t>4.4</w:t>
      </w:r>
      <w:r>
        <w:fldChar w:fldCharType="end"/>
      </w:r>
      <w:r>
        <w:t xml:space="preserve">), therefore the virtual zones must be marked up using pagelike milestone elements </w:t>
      </w:r>
      <w:r>
        <w:rPr>
          <w:noProof/>
        </w:rPr>
        <w:t>(</w:t>
      </w:r>
      <w:r>
        <w:t>§</w:t>
      </w:r>
      <w:r>
        <w:fldChar w:fldCharType="begin"/>
      </w:r>
      <w:r>
        <w:instrText xml:space="preserve"> REF _Ref43986679 \w \h  \* MERGEFORMAT </w:instrText>
      </w:r>
      <w:r>
        <w:fldChar w:fldCharType="separate"/>
      </w:r>
      <w:r>
        <w:t>4.4.2.1</w:t>
      </w:r>
      <w:r>
        <w:fldChar w:fldCharType="end"/>
      </w:r>
      <w:r>
        <w:t>)</w:t>
      </w:r>
    </w:p>
    <w:p>
      <w:pPr>
        <w:pStyle w:val="Lista"/>
      </w:pPr>
      <w:r>
        <w:t>the boundary between a wide face and the adjacent narrow face comprises a gridlike partition, since the text disregards the physical transition to a new surface</w:t>
      </w:r>
    </w:p>
    <w:p>
      <w:pPr>
        <w:pStyle w:val="Lista2"/>
      </w:pPr>
      <w:r>
        <w:t xml:space="preserve">such a pair of faces thus constitutes a single virtual zone, whose partition into two physical surfaces may be ignored in the markup or may be encoded by means of a gridlike milestone element </w:t>
      </w:r>
      <w:r>
        <w:rPr>
          <w:noProof/>
        </w:rPr>
        <w:t>(</w:t>
      </w:r>
      <w:r>
        <w:t>§</w:t>
      </w:r>
      <w:r>
        <w:fldChar w:fldCharType="begin"/>
      </w:r>
      <w:r>
        <w:instrText xml:space="preserve"> REF _Ref43984651 \w \h  \* MERGEFORMAT </w:instrText>
      </w:r>
      <w:r>
        <w:fldChar w:fldCharType="separate"/>
      </w:r>
      <w:r>
        <w:t>4.6</w:t>
      </w:r>
      <w:r>
        <w:fldChar w:fldCharType="end"/>
      </w:r>
      <w:r>
        <w:t>)</w:t>
      </w:r>
    </w:p>
    <w:p/>
    <w:p>
      <w:pPr>
        <w:pStyle w:val="CodeParagraph"/>
        <w:rPr>
          <w:rStyle w:val="Codecomment"/>
        </w:rPr>
      </w:pPr>
      <w:r>
        <w:rPr>
          <w:rStyle w:val="Code"/>
        </w:rPr>
        <w:t>&lt;p&gt;</w:t>
      </w:r>
      <w:r>
        <w:rPr>
          <w:rStyle w:val="Codecomment"/>
        </w:rPr>
        <w:t>&lt;!--All milestones come within paragraphs.--&gt;</w:t>
      </w:r>
      <w:r>
        <w:rPr>
          <w:rStyle w:val="Codetext"/>
        </w:rPr>
        <w:br/>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"faces"</w:t>
      </w:r>
      <w:r>
        <w:rPr>
          <w:rStyle w:val="Code"/>
        </w:rPr>
        <w:t xml:space="preserve"> </w:t>
      </w:r>
      <w:r>
        <w:rPr>
          <w:rStyle w:val="Codeattribute"/>
        </w:rPr>
        <w:t>n</w:t>
      </w:r>
      <w:r>
        <w:rPr>
          <w:rStyle w:val="Code"/>
        </w:rPr>
        <w:t>=</w:t>
      </w:r>
      <w:r>
        <w:rPr>
          <w:rStyle w:val="Codevalue"/>
        </w:rPr>
        <w:t>"Ab"</w:t>
      </w:r>
      <w:r>
        <w:rPr>
          <w:rStyle w:val="Code"/>
        </w:rPr>
        <w:t>/&gt;</w:t>
      </w:r>
      <w:r>
        <w:rPr>
          <w:rStyle w:val="Codecomment"/>
        </w:rPr>
        <w:t>&lt;!--An optional &lt;label&gt; could have been added at this point and for the second facepair, as per §</w:t>
      </w:r>
      <w:r>
        <w:rPr>
          <w:rStyle w:val="Codecomment"/>
        </w:rPr>
        <w:fldChar w:fldCharType="begin"/>
      </w:r>
      <w:r>
        <w:rPr>
          <w:rStyle w:val="Codecomment"/>
        </w:rPr>
        <w:instrText xml:space="preserve"> REF _Ref182299869 \r \h </w:instrText>
      </w:r>
      <w:r>
        <w:rPr>
          <w:rStyle w:val="Codecomment"/>
        </w:rPr>
      </w:r>
      <w:r>
        <w:rPr>
          <w:rStyle w:val="Codecomment"/>
        </w:rPr>
        <w:fldChar w:fldCharType="separate"/>
      </w:r>
      <w:r>
        <w:rPr>
          <w:rStyle w:val="Codecomment"/>
        </w:rPr>
        <w:t>4.4.3.2</w:t>
      </w:r>
      <w:r>
        <w:rPr>
          <w:rStyle w:val="Codecomment"/>
        </w:rPr>
        <w:fldChar w:fldCharType="end"/>
      </w:r>
      <w:r>
        <w:rPr>
          <w:rStyle w:val="Codecomment"/>
        </w:rPr>
        <w:t>. --&gt;</w:t>
      </w:r>
      <w:r>
        <w:rPr>
          <w:rStyle w:val="Codetext"/>
        </w:rPr>
        <w:br/>
      </w:r>
      <w:r>
        <w:rPr>
          <w:rStyle w:val="Codecomment"/>
        </w:rPr>
        <w:t>&lt;!-- This encoding example uses the repetitive scheme of line numbering §</w:t>
      </w:r>
      <w:r>
        <w:rPr>
          <w:rStyle w:val="Codecomment"/>
        </w:rPr>
        <w:fldChar w:fldCharType="begin"/>
      </w:r>
      <w:r>
        <w:rPr>
          <w:rStyle w:val="Codecomment"/>
        </w:rPr>
        <w:instrText xml:space="preserve"> REF _Ref182228380 \r \h </w:instrText>
      </w:r>
      <w:r>
        <w:rPr>
          <w:rStyle w:val="Codecomment"/>
        </w:rPr>
      </w:r>
      <w:r>
        <w:rPr>
          <w:rStyle w:val="Codecomment"/>
        </w:rPr>
        <w:fldChar w:fldCharType="separate"/>
      </w:r>
      <w:r>
        <w:rPr>
          <w:rStyle w:val="Codecomment"/>
        </w:rPr>
        <w:t>4.5.2.2</w:t>
      </w:r>
      <w:r>
        <w:rPr>
          <w:rStyle w:val="Codecomment"/>
        </w:rPr>
        <w:fldChar w:fldCharType="end"/>
      </w:r>
      <w:r>
        <w:rPr>
          <w:rStyle w:val="Codecomment"/>
        </w:rPr>
        <w:t>, in accordance with SE Asian epigraphic conventions. Alternatively, lines could have been numbered starting from 1 and continuing from 8 on face Cd.--&gt;</w:t>
      </w:r>
    </w:p>
    <w:p>
      <w:pPr>
        <w:pStyle w:val="CodeParagraph"/>
        <w:rPr>
          <w:rStyle w:val="Code"/>
        </w:rPr>
      </w:pPr>
      <w:r>
        <w:rPr>
          <w:rStyle w:val="Code"/>
        </w:rPr>
        <w:t xml:space="preserve">&lt;lb </w:t>
      </w:r>
      <w:r>
        <w:rPr>
          <w:rStyle w:val="Codeattribute"/>
        </w:rPr>
        <w:t>n</w:t>
      </w:r>
      <w:r>
        <w:rPr>
          <w:rStyle w:val="Code"/>
        </w:rPr>
        <w:t>=</w:t>
      </w:r>
      <w:r>
        <w:rPr>
          <w:rStyle w:val="Codevalue"/>
        </w:rPr>
        <w:t>"Ab1"</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the ground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there lived</w:t>
      </w:r>
      <w:r>
        <w:rPr>
          <w:rStyle w:val="Codetext"/>
        </w:rPr>
        <w:br/>
      </w:r>
      <w:r>
        <w:rPr>
          <w:rStyle w:val="Code"/>
        </w:rPr>
        <w:t xml:space="preserve">&lt;lb </w:t>
      </w:r>
      <w:r>
        <w:rPr>
          <w:rStyle w:val="Codeattribute"/>
        </w:rPr>
        <w:t>n</w:t>
      </w:r>
      <w:r>
        <w:rPr>
          <w:rStyle w:val="Code"/>
        </w:rPr>
        <w:t>=</w:t>
      </w:r>
      <w:r>
        <w:rPr>
          <w:rStyle w:val="Codevalue"/>
        </w:rPr>
        <w:t>"Ab2"</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a hobbit. Not a nasty, dirty,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wet hole,</w:t>
      </w:r>
      <w:r>
        <w:rPr>
          <w:rStyle w:val="Codetext"/>
        </w:rPr>
        <w:br/>
      </w:r>
      <w:r>
        <w:rPr>
          <w:rStyle w:val="Code"/>
        </w:rPr>
        <w:t xml:space="preserve">&lt;lb </w:t>
      </w:r>
      <w:r>
        <w:rPr>
          <w:rStyle w:val="Codeattribute"/>
        </w:rPr>
        <w:t>n</w:t>
      </w:r>
      <w:r>
        <w:rPr>
          <w:rStyle w:val="Code"/>
        </w:rPr>
        <w:t>=</w:t>
      </w:r>
      <w:r>
        <w:rPr>
          <w:rStyle w:val="Codevalue"/>
        </w:rPr>
        <w:t>"Ab3"</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filled with the ends of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worms and</w:t>
      </w:r>
      <w:r>
        <w:rPr>
          <w:rStyle w:val="Codetext"/>
        </w:rPr>
        <w:br/>
      </w:r>
      <w:r>
        <w:rPr>
          <w:rStyle w:val="Code"/>
        </w:rPr>
        <w:t xml:space="preserve">&lt;lb </w:t>
      </w:r>
      <w:r>
        <w:rPr>
          <w:rStyle w:val="Codeattribute"/>
        </w:rPr>
        <w:t>n</w:t>
      </w:r>
      <w:r>
        <w:rPr>
          <w:rStyle w:val="Code"/>
        </w:rPr>
        <w:t>=</w:t>
      </w:r>
      <w:r>
        <w:rPr>
          <w:rStyle w:val="Codevalue"/>
        </w:rPr>
        <w:t>"Ab4"</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an oozy smell, nor yet a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dry, bare,</w:t>
      </w:r>
      <w:r>
        <w:rPr>
          <w:rStyle w:val="Codetext"/>
        </w:rPr>
        <w:br/>
      </w:r>
      <w:r>
        <w:rPr>
          <w:rStyle w:val="Code"/>
        </w:rPr>
        <w:t xml:space="preserve">&lt;lb </w:t>
      </w:r>
      <w:r>
        <w:rPr>
          <w:rStyle w:val="Codeattribute"/>
        </w:rPr>
        <w:t>n</w:t>
      </w:r>
      <w:r>
        <w:rPr>
          <w:rStyle w:val="Code"/>
        </w:rPr>
        <w:t>=</w:t>
      </w:r>
      <w:r>
        <w:rPr>
          <w:rStyle w:val="Codevalue"/>
        </w:rPr>
        <w:t>"Ab5"</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sandy hole with nothing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in it to</w:t>
      </w:r>
      <w:r>
        <w:rPr>
          <w:rStyle w:val="Codetext"/>
        </w:rPr>
        <w:br/>
      </w:r>
      <w:r>
        <w:rPr>
          <w:rStyle w:val="Code"/>
        </w:rPr>
        <w:t xml:space="preserve">&lt;lb </w:t>
      </w:r>
      <w:r>
        <w:rPr>
          <w:rStyle w:val="Codeattribute"/>
        </w:rPr>
        <w:t>n</w:t>
      </w:r>
      <w:r>
        <w:rPr>
          <w:rStyle w:val="Code"/>
        </w:rPr>
        <w:t>=</w:t>
      </w:r>
      <w:r>
        <w:rPr>
          <w:rStyle w:val="Codevalue"/>
        </w:rPr>
        <w:t>"Ab6"</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sit down on or to eat: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it was a</w:t>
      </w:r>
      <w:r>
        <w:rPr>
          <w:rStyle w:val="Codetext"/>
        </w:rPr>
        <w:br/>
      </w:r>
      <w:r>
        <w:rPr>
          <w:rStyle w:val="Code"/>
        </w:rPr>
        <w:lastRenderedPageBreak/>
        <w:t xml:space="preserve">&lt;lb </w:t>
      </w:r>
      <w:r>
        <w:rPr>
          <w:rStyle w:val="Codeattribute"/>
        </w:rPr>
        <w:t>n</w:t>
      </w:r>
      <w:r>
        <w:rPr>
          <w:rStyle w:val="Code"/>
        </w:rPr>
        <w:t>=</w:t>
      </w:r>
      <w:r>
        <w:rPr>
          <w:rStyle w:val="Codevalue"/>
        </w:rPr>
        <w:t>"Ab7"</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hobbit-hole, and that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means</w:t>
      </w:r>
      <w:r>
        <w:rPr>
          <w:rStyle w:val="Codetext"/>
        </w:rPr>
        <w:br/>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"faces"</w:t>
      </w:r>
      <w:r>
        <w:rPr>
          <w:rStyle w:val="Code"/>
        </w:rPr>
        <w:t xml:space="preserve"> </w:t>
      </w:r>
      <w:r>
        <w:rPr>
          <w:rStyle w:val="Codeattribute"/>
        </w:rPr>
        <w:t>n</w:t>
      </w:r>
      <w:r>
        <w:rPr>
          <w:rStyle w:val="Code"/>
        </w:rPr>
        <w:t>=</w:t>
      </w:r>
      <w:r>
        <w:rPr>
          <w:rStyle w:val="Codevalue"/>
        </w:rPr>
        <w:t>"Cd"</w:t>
      </w:r>
      <w:r>
        <w:rPr>
          <w:rStyle w:val="Code"/>
        </w:rPr>
        <w:t>/&gt;</w:t>
      </w:r>
    </w:p>
    <w:p>
      <w:pPr>
        <w:pStyle w:val="CodeParagraph"/>
        <w:rPr>
          <w:rStyle w:val="Codetext"/>
        </w:rPr>
      </w:pPr>
      <w:r>
        <w:rPr>
          <w:rStyle w:val="Code"/>
        </w:rPr>
        <w:t xml:space="preserve">&lt;lb </w:t>
      </w:r>
      <w:r>
        <w:rPr>
          <w:rStyle w:val="Codeattribute"/>
        </w:rPr>
        <w:t>n</w:t>
      </w:r>
      <w:r>
        <w:rPr>
          <w:rStyle w:val="Code"/>
        </w:rPr>
        <w:t>=</w:t>
      </w:r>
      <w:r>
        <w:rPr>
          <w:rStyle w:val="Codevalue"/>
        </w:rPr>
        <w:t>"Cd1"</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comfort.</w:t>
      </w:r>
    </w:p>
    <w:p>
      <w:pPr>
        <w:pStyle w:val="CodeParagraph"/>
        <w:rPr>
          <w:rStyle w:val="Code"/>
        </w:rPr>
      </w:pPr>
      <w:r>
        <w:rPr>
          <w:rStyle w:val="Code"/>
        </w:rPr>
        <w:t>&lt;/p&gt;</w:t>
      </w:r>
      <w:r>
        <w:rPr>
          <w:rStyle w:val="Codecomment"/>
        </w:rPr>
        <w:t>&lt;!-- The text has been broken up into two semantic paragraphs, §</w:t>
      </w:r>
      <w:r>
        <w:rPr>
          <w:rStyle w:val="Codecomment"/>
          <w:rFonts w:eastAsia="Arial Unicode MS"/>
        </w:rPr>
        <w:fldChar w:fldCharType="begin"/>
      </w:r>
      <w:r>
        <w:rPr>
          <w:rStyle w:val="Codecomment"/>
          <w:rFonts w:eastAsia="Arial Unicode MS"/>
        </w:rPr>
        <w:instrText xml:space="preserve"> REF _Ref43991413 \r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3.2.1.1</w:t>
      </w:r>
      <w:r>
        <w:rPr>
          <w:rStyle w:val="Codecomment"/>
          <w:rFonts w:eastAsia="Arial Unicode MS"/>
        </w:rPr>
        <w:fldChar w:fldCharType="end"/>
      </w:r>
      <w:r>
        <w:rPr>
          <w:rStyle w:val="Codecomment"/>
        </w:rPr>
        <w:t>.--&gt;</w:t>
      </w:r>
    </w:p>
    <w:p>
      <w:pPr>
        <w:pStyle w:val="CodeParagraph"/>
      </w:pPr>
      <w:r>
        <w:rPr>
          <w:rStyle w:val="Code"/>
        </w:rPr>
        <w:t>&lt;p&gt;</w:t>
      </w:r>
      <w:r>
        <w:rPr>
          <w:rStyle w:val="Codetext"/>
        </w:rPr>
        <w:t xml:space="preserve">It had a perfectly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round door</w:t>
      </w:r>
      <w:r>
        <w:rPr>
          <w:rStyle w:val="Codetext"/>
        </w:rPr>
        <w:br/>
      </w:r>
      <w:r>
        <w:rPr>
          <w:rStyle w:val="Code"/>
        </w:rPr>
        <w:t xml:space="preserve">&lt;lb </w:t>
      </w:r>
      <w:r>
        <w:rPr>
          <w:rStyle w:val="Codeattribute"/>
        </w:rPr>
        <w:t>n</w:t>
      </w:r>
      <w:r>
        <w:rPr>
          <w:rStyle w:val="Code"/>
        </w:rPr>
        <w:t>=</w:t>
      </w:r>
      <w:r>
        <w:rPr>
          <w:rStyle w:val="Codevalue"/>
        </w:rPr>
        <w:t>"Cd2"</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 xml:space="preserve">like a porthole, painted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green, with</w:t>
      </w:r>
      <w:r>
        <w:rPr>
          <w:rStyle w:val="Codetext"/>
        </w:rPr>
        <w:br/>
      </w:r>
      <w:r>
        <w:rPr>
          <w:rStyle w:val="Code"/>
        </w:rPr>
        <w:t xml:space="preserve">&lt;lb </w:t>
      </w:r>
      <w:r>
        <w:rPr>
          <w:rStyle w:val="Codeattribute"/>
        </w:rPr>
        <w:t>n</w:t>
      </w:r>
      <w:r>
        <w:rPr>
          <w:rStyle w:val="Code"/>
        </w:rPr>
        <w:t>=</w:t>
      </w:r>
      <w:r>
        <w:rPr>
          <w:rStyle w:val="Codevalue"/>
        </w:rPr>
        <w:t>"Cd3"</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 xml:space="preserve">a shiny yellow brass knob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in the exact</w:t>
      </w:r>
      <w:r>
        <w:rPr>
          <w:rStyle w:val="Codetext"/>
        </w:rPr>
        <w:br/>
      </w:r>
      <w:r>
        <w:rPr>
          <w:rStyle w:val="Code"/>
        </w:rPr>
        <w:t xml:space="preserve">&lt;lb </w:t>
      </w:r>
      <w:r>
        <w:rPr>
          <w:rStyle w:val="Codeattribute"/>
        </w:rPr>
        <w:t>n</w:t>
      </w:r>
      <w:r>
        <w:rPr>
          <w:rStyle w:val="Code"/>
        </w:rPr>
        <w:t>=</w:t>
      </w:r>
      <w:r>
        <w:rPr>
          <w:rStyle w:val="Codevalue"/>
        </w:rPr>
        <w:t>"Cd4"</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 xml:space="preserve">middle. The door opened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on to a</w:t>
      </w:r>
      <w:r>
        <w:rPr>
          <w:rStyle w:val="Codetext"/>
        </w:rPr>
        <w:br/>
      </w:r>
      <w:r>
        <w:rPr>
          <w:rStyle w:val="Code"/>
        </w:rPr>
        <w:t xml:space="preserve">&lt;lb </w:t>
      </w:r>
      <w:r>
        <w:rPr>
          <w:rStyle w:val="Codeattribute"/>
        </w:rPr>
        <w:t>n</w:t>
      </w:r>
      <w:r>
        <w:rPr>
          <w:rStyle w:val="Code"/>
        </w:rPr>
        <w:t>=</w:t>
      </w:r>
      <w:r>
        <w:rPr>
          <w:rStyle w:val="Codevalue"/>
        </w:rPr>
        <w:t>"Cd5"</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 xml:space="preserve">tube-shaped hall like a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tunnel: a</w:t>
      </w:r>
      <w:r>
        <w:rPr>
          <w:rStyle w:val="Codetext"/>
        </w:rPr>
        <w:br/>
      </w:r>
      <w:r>
        <w:rPr>
          <w:rStyle w:val="Code"/>
        </w:rPr>
        <w:t xml:space="preserve">&lt;lb </w:t>
      </w:r>
      <w:r>
        <w:rPr>
          <w:rStyle w:val="Codeattribute"/>
        </w:rPr>
        <w:t>n</w:t>
      </w:r>
      <w:r>
        <w:rPr>
          <w:rStyle w:val="Code"/>
        </w:rPr>
        <w:t>=</w:t>
      </w:r>
      <w:r>
        <w:rPr>
          <w:rStyle w:val="Codevalue"/>
        </w:rPr>
        <w:t>"Cd6"</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 xml:space="preserve">very comfortable tunnel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without</w:t>
      </w:r>
      <w:r>
        <w:rPr>
          <w:rStyle w:val="Codetext"/>
        </w:rPr>
        <w:br/>
      </w:r>
      <w:r>
        <w:rPr>
          <w:rStyle w:val="Code"/>
        </w:rPr>
        <w:t xml:space="preserve">&lt;lb </w:t>
      </w:r>
      <w:r>
        <w:rPr>
          <w:rStyle w:val="Codeattribute"/>
        </w:rPr>
        <w:t>n</w:t>
      </w:r>
      <w:r>
        <w:rPr>
          <w:rStyle w:val="Code"/>
        </w:rPr>
        <w:t>=</w:t>
      </w:r>
      <w:r>
        <w:rPr>
          <w:rStyle w:val="Codevalue"/>
        </w:rPr>
        <w:t>"Cd7"</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smoke.</w:t>
      </w:r>
      <w:r>
        <w:rPr>
          <w:rStyle w:val="Codetext"/>
        </w:rPr>
        <w:br/>
      </w:r>
      <w:r>
        <w:rPr>
          <w:rStyle w:val="Code"/>
        </w:rPr>
        <w:t>&lt;/p&gt;</w:t>
      </w:r>
    </w:p>
    <w:p>
      <w:pPr>
        <w:pStyle w:val="Cmsor2"/>
        <w:numPr>
          <w:ilvl w:val="1"/>
          <w:numId w:val="7"/>
        </w:numPr>
      </w:pPr>
      <w:bookmarkStart w:id="1057" w:name="_Ref239843991"/>
      <w:bookmarkStart w:id="1058" w:name="_Ref239844156"/>
      <w:bookmarkStart w:id="1059" w:name="_Ref239844200"/>
      <w:bookmarkStart w:id="1060" w:name="_Ref239844234"/>
      <w:bookmarkStart w:id="1061" w:name="_Ref239844315"/>
      <w:r>
        <w:t>Stele with two inscribed faces, an incipit and quasi-columns</w:t>
      </w:r>
      <w:bookmarkEnd w:id="1057"/>
      <w:bookmarkEnd w:id="1058"/>
      <w:bookmarkEnd w:id="1059"/>
      <w:bookmarkEnd w:id="1060"/>
      <w:bookmarkEnd w:id="1061"/>
    </w:p>
    <w:p>
      <w:pPr>
        <w:pStyle w:val="Image"/>
      </w:pPr>
      <w:r>
        <w:drawing>
          <wp:inline distT="0" distB="0" distL="0" distR="0">
            <wp:extent cx="6107430" cy="4326255"/>
            <wp:effectExtent l="0" t="0" r="7620" b="0"/>
            <wp:docPr id="1318861579"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107430" cy="4326255"/>
                    </a:xfrm>
                    <a:prstGeom prst="rect">
                      <a:avLst/>
                    </a:prstGeom>
                    <a:noFill/>
                    <a:ln>
                      <a:noFill/>
                    </a:ln>
                  </pic:spPr>
                </pic:pic>
              </a:graphicData>
            </a:graphic>
          </wp:inline>
        </w:drawing>
      </w:r>
    </w:p>
    <w:p>
      <w:pPr>
        <w:pStyle w:val="Lista"/>
      </w:pPr>
      <w:r>
        <w:t xml:space="preserve">this is the inscription DHARMA_INSCIK00191, the Phnom </w:t>
      </w:r>
      <w:proofErr w:type="spellStart"/>
      <w:r>
        <w:t>Sandak</w:t>
      </w:r>
      <w:proofErr w:type="spellEnd"/>
      <w:r>
        <w:t xml:space="preserve"> inscription, Preah </w:t>
      </w:r>
      <w:proofErr w:type="spellStart"/>
      <w:r>
        <w:t>Vihear</w:t>
      </w:r>
      <w:proofErr w:type="spellEnd"/>
      <w:r>
        <w:t xml:space="preserve"> province (K. 191, 1032 Śaka), a stele inscribed on two faces</w:t>
      </w:r>
    </w:p>
    <w:p>
      <w:pPr>
        <w:pStyle w:val="Lista2"/>
      </w:pPr>
      <w:r>
        <w:t>the image above shows only the upper portion of each face</w:t>
      </w:r>
    </w:p>
    <w:p>
      <w:pPr>
        <w:pStyle w:val="Lista2"/>
      </w:pPr>
      <w:r>
        <w:t>each face begins with an invocatory syllable offset from the main body of text</w:t>
      </w:r>
    </w:p>
    <w:p>
      <w:pPr>
        <w:pStyle w:val="Lista2"/>
      </w:pPr>
      <w:r>
        <w:t>the text is in verse, laid out in quasi-columns where each line must be read all the way from left to right across both columns</w:t>
      </w:r>
    </w:p>
    <w:p>
      <w:pPr>
        <w:pStyle w:val="Lista2"/>
      </w:pPr>
      <w:r>
        <w:t>after reading all of face A, the reader is expected to continue on face B</w:t>
      </w:r>
    </w:p>
    <w:p>
      <w:pPr>
        <w:pStyle w:val="Lista2"/>
      </w:pPr>
      <w:r>
        <w:t>a fly in the soup is the invocatory syllable at the top of face B, which does not truly belong in the sequence of text between the two faces</w:t>
      </w:r>
    </w:p>
    <w:p>
      <w:pPr>
        <w:pStyle w:val="Lista"/>
      </w:pPr>
      <w:r>
        <w:lastRenderedPageBreak/>
        <w:t>encoding the physical and logical arrangement with complete accuracy would be very complex without any tangible gain, so it has been decided that</w:t>
      </w:r>
    </w:p>
    <w:p>
      <w:pPr>
        <w:pStyle w:val="Lista2"/>
      </w:pPr>
      <w:r>
        <w:t>the two faces will be encoded as a pagelike partition (§</w:t>
      </w:r>
      <w:r>
        <w:fldChar w:fldCharType="begin"/>
      </w:r>
      <w:r>
        <w:instrText xml:space="preserve"> REF _Ref233982406 \r \h </w:instrText>
      </w:r>
      <w:r>
        <w:fldChar w:fldCharType="separate"/>
      </w:r>
      <w:r>
        <w:t>4.4</w:t>
      </w:r>
      <w:r>
        <w:fldChar w:fldCharType="end"/>
      </w:r>
      <w:r>
        <w:t>), as for similar stelae without an incipit on the second face</w:t>
      </w:r>
    </w:p>
    <w:p>
      <w:pPr>
        <w:pStyle w:val="Lista2"/>
      </w:pPr>
      <w:r>
        <w:t>the incipits will be handled as usual, i.e. as visually offset opening lines (§</w:t>
      </w:r>
      <w:r>
        <w:fldChar w:fldCharType="begin"/>
      </w:r>
      <w:r>
        <w:instrText xml:space="preserve"> REF _Ref43978135 \r \h </w:instrText>
      </w:r>
      <w:r>
        <w:fldChar w:fldCharType="separate"/>
      </w:r>
      <w:r>
        <w:t>4.7.1.1</w:t>
      </w:r>
      <w:r>
        <w:fldChar w:fldCharType="end"/>
      </w:r>
      <w:r>
        <w:t>), without regard for the fact that the second incipit is not part of the logical flow</w:t>
      </w:r>
    </w:p>
    <w:p>
      <w:pPr>
        <w:pStyle w:val="Lista2"/>
      </w:pPr>
      <w:r>
        <w:t>the lines will, as a matter of course, be encoded as a gridlike partition (§</w:t>
      </w:r>
      <w:r>
        <w:fldChar w:fldCharType="begin"/>
      </w:r>
      <w:r>
        <w:instrText xml:space="preserve"> REF _Ref43984651 \r \h </w:instrText>
      </w:r>
      <w:r>
        <w:fldChar w:fldCharType="separate"/>
      </w:r>
      <w:r>
        <w:t>4.6</w:t>
      </w:r>
      <w:r>
        <w:fldChar w:fldCharType="end"/>
      </w:r>
      <w:r>
        <w:t>), as recommended for text laid out in this fashion (§</w:t>
      </w:r>
      <w:r>
        <w:fldChar w:fldCharType="begin"/>
      </w:r>
      <w:r>
        <w:instrText xml:space="preserve"> REF _Ref225865506 \r \h </w:instrText>
      </w:r>
      <w:r>
        <w:fldChar w:fldCharType="separate"/>
      </w:r>
      <w:r>
        <w:t>4.7.5.3</w:t>
      </w:r>
      <w:r>
        <w:fldChar w:fldCharType="end"/>
      </w:r>
      <w:r>
        <w:t>)</w:t>
      </w:r>
    </w:p>
    <w:p>
      <w:r>
        <w:br w:type="page"/>
      </w:r>
    </w:p>
    <w:p>
      <w:pPr>
        <w:pStyle w:val="CodeParagraph"/>
        <w:rPr>
          <w:rStyle w:val="Code"/>
        </w:rPr>
      </w:pPr>
      <w:r>
        <w:rPr>
          <w:rStyle w:val="Code"/>
        </w:rPr>
        <w:lastRenderedPageBreak/>
        <w:t xml:space="preserve">&lt;div </w:t>
      </w:r>
      <w:r>
        <w:rPr>
          <w:rStyle w:val="Codeattribute"/>
        </w:rPr>
        <w:t>type</w:t>
      </w:r>
      <w:r>
        <w:rPr>
          <w:rStyle w:val="Code"/>
        </w:rPr>
        <w:t>=</w:t>
      </w:r>
      <w:r>
        <w:rPr>
          <w:rStyle w:val="Codevalue"/>
        </w:rPr>
        <w:t>"edition"</w:t>
      </w:r>
      <w:r>
        <w:rPr>
          <w:rStyle w:val="Code"/>
        </w:rPr>
        <w:t xml:space="preserve"> </w:t>
      </w:r>
      <w:r>
        <w:rPr>
          <w:rStyle w:val="Codeattribute"/>
        </w:rPr>
        <w:t>xml:lang</w:t>
      </w:r>
      <w:r>
        <w:rPr>
          <w:rStyle w:val="Code"/>
        </w:rPr>
        <w:t>=</w:t>
      </w:r>
      <w:r>
        <w:rPr>
          <w:rStyle w:val="Codevalue"/>
        </w:rPr>
        <w:t>"san-Latn"</w:t>
      </w:r>
      <w:r>
        <w:rPr>
          <w:rStyle w:val="Code"/>
        </w:rPr>
        <w:t>&gt;</w:t>
      </w:r>
      <w:r>
        <w:rPr>
          <w:rStyle w:val="Codetext"/>
        </w:rPr>
        <w:br/>
      </w:r>
      <w:r>
        <w:rPr>
          <w:rStyle w:val="Code"/>
        </w:rPr>
        <w:t>&lt;ab&gt;</w:t>
      </w:r>
    </w:p>
    <w:p>
      <w:pPr>
        <w:pStyle w:val="CodeParagraph"/>
        <w:rPr>
          <w:rStyle w:val="Code"/>
        </w:rPr>
      </w:pPr>
      <w:r>
        <w:rPr>
          <w:rStyle w:val="Code"/>
        </w:rPr>
        <w:t xml:space="preserve">  &lt;milestone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 xml:space="preserve">/&gt;&lt;label </w:t>
      </w:r>
      <w:r>
        <w:rPr>
          <w:rStyle w:val="Codeattribute"/>
        </w:rPr>
        <w:t>xml:lang</w:t>
      </w:r>
      <w:r>
        <w:rPr>
          <w:rStyle w:val="Code"/>
        </w:rPr>
        <w:t>=</w:t>
      </w:r>
      <w:r>
        <w:rPr>
          <w:rStyle w:val="Codevalue"/>
        </w:rPr>
        <w:t>"eng"</w:t>
      </w:r>
      <w:r>
        <w:rPr>
          <w:rStyle w:val="Code"/>
        </w:rPr>
        <w:t>&gt;</w:t>
      </w:r>
      <w:r>
        <w:rPr>
          <w:rStyle w:val="Codetext"/>
        </w:rPr>
        <w:t>Face A</w:t>
      </w:r>
      <w:r>
        <w:rPr>
          <w:rStyle w:val="Code"/>
        </w:rPr>
        <w:t>&lt;/label&gt;</w:t>
      </w:r>
    </w:p>
    <w:p>
      <w:pPr>
        <w:pStyle w:val="CodeParagraph"/>
        <w:rPr>
          <w:rStyle w:val="Codetext"/>
        </w:rPr>
      </w:pPr>
      <w:r>
        <w:rPr>
          <w:rStyle w:val="Code"/>
        </w:rPr>
        <w:t xml:space="preserve">  &lt;lb </w:t>
      </w:r>
      <w:r>
        <w:rPr>
          <w:rStyle w:val="Codeattribute"/>
        </w:rPr>
        <w:t>n</w:t>
      </w:r>
      <w:r>
        <w:rPr>
          <w:rStyle w:val="Code"/>
        </w:rPr>
        <w:t>=</w:t>
      </w:r>
      <w:r>
        <w:rPr>
          <w:rStyle w:val="Codevalue"/>
        </w:rPr>
        <w:t>"A0"</w:t>
      </w:r>
      <w:r>
        <w:rPr>
          <w:rStyle w:val="Code"/>
        </w:rPr>
        <w:t xml:space="preserve"> </w:t>
      </w:r>
      <w:r>
        <w:rPr>
          <w:rStyle w:val="Codeattribute"/>
        </w:rPr>
        <w:t>style</w:t>
      </w:r>
      <w:r>
        <w:rPr>
          <w:rStyle w:val="Code"/>
        </w:rPr>
        <w:t>=</w:t>
      </w:r>
      <w:r>
        <w:rPr>
          <w:rStyle w:val="Codevalue"/>
        </w:rPr>
        <w:t>"text-align: center"</w:t>
      </w:r>
      <w:r>
        <w:rPr>
          <w:rStyle w:val="Code"/>
        </w:rPr>
        <w:t>/&gt;</w:t>
      </w:r>
      <w:r>
        <w:rPr>
          <w:rStyle w:val="Codetext"/>
        </w:rPr>
        <w:t>Oṁ</w:t>
      </w:r>
    </w:p>
    <w:p>
      <w:pPr>
        <w:pStyle w:val="CodeParagraph"/>
        <w:rPr>
          <w:rStyle w:val="Codetext"/>
        </w:rPr>
      </w:pPr>
      <w:r>
        <w:rPr>
          <w:rStyle w:val="Code"/>
        </w:rPr>
        <w:t>&lt;/ab&gt;</w:t>
      </w:r>
    </w:p>
    <w:p>
      <w:pPr>
        <w:pStyle w:val="CodeParagraph"/>
        <w:rPr>
          <w:rStyle w:val="Code"/>
        </w:rPr>
      </w:pP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"upajāti"</w:t>
      </w:r>
      <w:r>
        <w:rPr>
          <w:rStyle w:val="Code"/>
        </w:rPr>
        <w:t>&gt;</w:t>
      </w:r>
      <w:r>
        <w:rPr>
          <w:rStyle w:val="Codetext"/>
        </w:rPr>
        <w:br/>
      </w:r>
      <w:r>
        <w:rPr>
          <w:rStyle w:val="Code"/>
        </w:rPr>
        <w:t xml:space="preserve">  &lt;l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"A1"</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 xml:space="preserve">/&gt;&lt;g </w:t>
      </w:r>
      <w:r>
        <w:rPr>
          <w:rStyle w:val="Codeattribute"/>
        </w:rPr>
        <w:t>ref</w:t>
      </w:r>
      <w:r>
        <w:rPr>
          <w:rStyle w:val="Code"/>
        </w:rPr>
        <w:t>=</w:t>
      </w:r>
      <w:r>
        <w:rPr>
          <w:rStyle w:val="Codevalue"/>
        </w:rPr>
        <w:t>"sym:flourish-taperOut"</w:t>
      </w:r>
      <w:r>
        <w:rPr>
          <w:rStyle w:val="Code"/>
        </w:rPr>
        <w:t>&gt;</w:t>
      </w:r>
      <w:r>
        <w:rPr>
          <w:rStyle w:val="Codetext"/>
        </w:rPr>
        <w:t>*</w:t>
      </w:r>
      <w:r>
        <w:rPr>
          <w:rStyle w:val="Code"/>
        </w:rPr>
        <w:t>&lt;/g&gt;</w:t>
      </w:r>
      <w:r>
        <w:rPr>
          <w:rStyle w:val="Codetext"/>
        </w:rPr>
        <w:t xml:space="preserve"> namaś śivāyāstu ya Eka Eva</w:t>
      </w:r>
      <w:r>
        <w:rPr>
          <w:rStyle w:val="Code"/>
        </w:rPr>
        <w:t>&lt;/l&gt;</w:t>
      </w:r>
      <w:r>
        <w:rPr>
          <w:rStyle w:val="Codetext"/>
        </w:rPr>
        <w:br/>
      </w:r>
      <w:r>
        <w:rPr>
          <w:rStyle w:val="Code"/>
        </w:rPr>
        <w:t xml:space="preserve">  &lt;l </w:t>
      </w:r>
      <w:r>
        <w:rPr>
          <w:rStyle w:val="Codeattribute"/>
        </w:rPr>
        <w:t>n</w:t>
      </w:r>
      <w:r>
        <w:rPr>
          <w:rStyle w:val="Code"/>
        </w:rPr>
        <w:t>=</w:t>
      </w:r>
      <w:r>
        <w:rPr>
          <w:rStyle w:val="Codevalue"/>
        </w:rPr>
        <w:t>"b"</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jñānakriyārūpatayā dvibhedaḥ</w:t>
      </w:r>
      <w:r>
        <w:rPr>
          <w:rStyle w:val="Code"/>
        </w:rPr>
        <w:t>&lt;/l&gt;</w:t>
      </w:r>
      <w:r>
        <w:rPr>
          <w:rStyle w:val="Codetext"/>
        </w:rPr>
        <w:br/>
      </w:r>
      <w:r>
        <w:rPr>
          <w:rStyle w:val="Code"/>
        </w:rPr>
        <w:t xml:space="preserve">  &lt;l </w:t>
      </w:r>
      <w:r>
        <w:rPr>
          <w:rStyle w:val="Codeattribute"/>
        </w:rPr>
        <w:t>n</w:t>
      </w:r>
      <w:r>
        <w:rPr>
          <w:rStyle w:val="Code"/>
        </w:rPr>
        <w:t>=</w:t>
      </w:r>
      <w:r>
        <w:rPr>
          <w:rStyle w:val="Codevalue"/>
        </w:rPr>
        <w:t>"c"</w:t>
      </w:r>
      <w:r>
        <w:rPr>
          <w:rStyle w:val="Code"/>
        </w:rPr>
        <w:t xml:space="preserve">&gt;&lt;lb </w:t>
      </w:r>
      <w:r>
        <w:rPr>
          <w:rStyle w:val="Codeattribute"/>
        </w:rPr>
        <w:t>n</w:t>
      </w:r>
      <w:r>
        <w:rPr>
          <w:rStyle w:val="Code"/>
        </w:rPr>
        <w:t>=</w:t>
      </w:r>
      <w:r>
        <w:rPr>
          <w:rStyle w:val="Codevalue"/>
        </w:rPr>
        <w:t>"A2"</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bhūyo py anugrāhitayāṇuvr̥ṇde</w:t>
      </w:r>
      <w:r>
        <w:rPr>
          <w:rStyle w:val="Code"/>
        </w:rPr>
        <w:t>&lt;/l&gt;</w:t>
      </w:r>
      <w:r>
        <w:rPr>
          <w:rStyle w:val="Codetext"/>
        </w:rPr>
        <w:br/>
      </w:r>
      <w:r>
        <w:rPr>
          <w:rStyle w:val="Code"/>
        </w:rPr>
        <w:t xml:space="preserve">  &lt;l </w:t>
      </w:r>
      <w:r>
        <w:rPr>
          <w:rStyle w:val="Codeattribute"/>
        </w:rPr>
        <w:t>n</w:t>
      </w:r>
      <w:r>
        <w:rPr>
          <w:rStyle w:val="Code"/>
        </w:rPr>
        <w:t>=</w:t>
      </w:r>
      <w:r>
        <w:rPr>
          <w:rStyle w:val="Codevalue"/>
        </w:rPr>
        <w:t>"d"</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vāmādibhedād vahudhā </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 xml:space="preserve"> vikīrṇaḥ</w:t>
      </w:r>
      <w:r>
        <w:rPr>
          <w:rStyle w:val="Code"/>
        </w:rPr>
        <w:t>&lt;/l&gt;</w:t>
      </w:r>
      <w:r>
        <w:rPr>
          <w:rStyle w:val="Codetext"/>
        </w:rPr>
        <w:br/>
      </w:r>
      <w:r>
        <w:rPr>
          <w:rStyle w:val="Code"/>
        </w:rPr>
        <w:t>&lt;/lg&gt;</w:t>
      </w:r>
      <w:r>
        <w:rPr>
          <w:rStyle w:val="Codetext"/>
        </w:rPr>
        <w:br/>
      </w:r>
      <w:r>
        <w:rPr>
          <w:rStyle w:val="Code"/>
        </w:rPr>
        <w:t xml:space="preserve">&lt;lg </w:t>
      </w:r>
      <w:r>
        <w:rPr>
          <w:rStyle w:val="Codeattribute"/>
        </w:rPr>
        <w:t>n</w:t>
      </w:r>
      <w:r>
        <w:rPr>
          <w:rStyle w:val="Code"/>
        </w:rPr>
        <w:t>=</w:t>
      </w:r>
      <w:r>
        <w:rPr>
          <w:rStyle w:val="Codevalue"/>
        </w:rPr>
        <w:t>"2"</w:t>
      </w:r>
      <w:r>
        <w:rPr>
          <w:rStyle w:val="Code"/>
        </w:rPr>
        <w:t xml:space="preserve"> </w:t>
      </w:r>
      <w:r>
        <w:rPr>
          <w:rStyle w:val="Codeattribute"/>
        </w:rPr>
        <w:t>met</w:t>
      </w:r>
      <w:r>
        <w:rPr>
          <w:rStyle w:val="Code"/>
        </w:rPr>
        <w:t>=</w:t>
      </w:r>
      <w:r>
        <w:rPr>
          <w:rStyle w:val="Codevalue"/>
        </w:rPr>
        <w:t>"upajāti"</w:t>
      </w:r>
      <w:r>
        <w:rPr>
          <w:rStyle w:val="Code"/>
        </w:rPr>
        <w:t>&gt;</w:t>
      </w:r>
      <w:r>
        <w:rPr>
          <w:rStyle w:val="Codetext"/>
        </w:rPr>
        <w:br/>
      </w:r>
      <w:r>
        <w:rPr>
          <w:rStyle w:val="Code"/>
        </w:rPr>
        <w:t xml:space="preserve">  &lt;l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"A3"</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yasyāḥ prasāde jagatāṁ vimuktir</w:t>
      </w:r>
      <w:r>
        <w:rPr>
          <w:rStyle w:val="Code"/>
        </w:rPr>
        <w:t>&lt;/l&gt;</w:t>
      </w:r>
      <w:r>
        <w:rPr>
          <w:rStyle w:val="Codetext"/>
        </w:rPr>
        <w:br/>
      </w:r>
      <w:r>
        <w:rPr>
          <w:rStyle w:val="Code"/>
        </w:rPr>
        <w:t xml:space="preserve">  &lt;l </w:t>
      </w:r>
      <w:r>
        <w:rPr>
          <w:rStyle w:val="Codeattribute"/>
        </w:rPr>
        <w:t>n</w:t>
      </w:r>
      <w:r>
        <w:rPr>
          <w:rStyle w:val="Code"/>
        </w:rPr>
        <w:t>=</w:t>
      </w:r>
      <w:r>
        <w:rPr>
          <w:rStyle w:val="Codevalue"/>
        </w:rPr>
        <w:t>"b"</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vāllabhyataḥ patyur anādivandhāt·</w:t>
      </w:r>
      <w:r>
        <w:rPr>
          <w:rStyle w:val="Code"/>
        </w:rPr>
        <w:t>&lt;/l&gt;</w:t>
      </w:r>
      <w:r>
        <w:rPr>
          <w:rStyle w:val="Codetext"/>
        </w:rPr>
        <w:br/>
      </w:r>
      <w:r>
        <w:rPr>
          <w:rStyle w:val="Code"/>
        </w:rPr>
        <w:t xml:space="preserve">  &lt;l </w:t>
      </w:r>
      <w:r>
        <w:rPr>
          <w:rStyle w:val="Codeattribute"/>
        </w:rPr>
        <w:t>n</w:t>
      </w:r>
      <w:r>
        <w:rPr>
          <w:rStyle w:val="Code"/>
        </w:rPr>
        <w:t>=</w:t>
      </w:r>
      <w:r>
        <w:rPr>
          <w:rStyle w:val="Codevalue"/>
        </w:rPr>
        <w:t>"c"</w:t>
      </w:r>
      <w:r>
        <w:rPr>
          <w:rStyle w:val="Code"/>
        </w:rPr>
        <w:t xml:space="preserve">&gt;&lt;lb </w:t>
      </w:r>
      <w:r>
        <w:rPr>
          <w:rStyle w:val="Codeattribute"/>
        </w:rPr>
        <w:t>n</w:t>
      </w:r>
      <w:r>
        <w:rPr>
          <w:rStyle w:val="Code"/>
        </w:rPr>
        <w:t>=</w:t>
      </w:r>
      <w:r>
        <w:rPr>
          <w:rStyle w:val="Codevalue"/>
        </w:rPr>
        <w:t>"A4"</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bhāvānyatāyām api vandhavr̥</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ddhir·</w:t>
      </w:r>
      <w:r>
        <w:rPr>
          <w:rStyle w:val="Code"/>
        </w:rPr>
        <w:t>&lt;/l&gt;</w:t>
      </w:r>
      <w:r>
        <w:rPr>
          <w:rStyle w:val="Codetext"/>
        </w:rPr>
        <w:br/>
      </w:r>
      <w:r>
        <w:rPr>
          <w:rStyle w:val="Code"/>
        </w:rPr>
        <w:t xml:space="preserve">  &lt;l </w:t>
      </w:r>
      <w:r>
        <w:rPr>
          <w:rStyle w:val="Codeattribute"/>
        </w:rPr>
        <w:t>n</w:t>
      </w:r>
      <w:r>
        <w:rPr>
          <w:rStyle w:val="Code"/>
        </w:rPr>
        <w:t>=</w:t>
      </w:r>
      <w:r>
        <w:rPr>
          <w:rStyle w:val="Codevalue"/>
        </w:rPr>
        <w:t>"d"</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vi</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 xml:space="preserve">dyaiva </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 xml:space="preserve"> sā vo </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 xml:space="preserve"> vatu viśvarūpā</w:t>
      </w:r>
      <w:r>
        <w:rPr>
          <w:rStyle w:val="Code"/>
        </w:rPr>
        <w:t>&lt;/l&gt;</w:t>
      </w:r>
      <w:r>
        <w:rPr>
          <w:rStyle w:val="Codetext"/>
        </w:rPr>
        <w:br/>
      </w:r>
      <w:r>
        <w:rPr>
          <w:rStyle w:val="Code"/>
        </w:rPr>
        <w:t>&lt;/lg&gt;</w:t>
      </w:r>
      <w:r>
        <w:rPr>
          <w:rStyle w:val="Codetext"/>
        </w:rPr>
        <w:br/>
        <w:t>...</w:t>
      </w:r>
      <w:r>
        <w:rPr>
          <w:rStyle w:val="Codetext"/>
        </w:rPr>
        <w:br/>
      </w:r>
      <w:r>
        <w:rPr>
          <w:rStyle w:val="Code"/>
        </w:rPr>
        <w:t>&lt;ab&gt;</w:t>
      </w:r>
    </w:p>
    <w:p>
      <w:pPr>
        <w:pStyle w:val="CodeParagraph"/>
        <w:rPr>
          <w:rStyle w:val="Code"/>
        </w:rPr>
      </w:pPr>
      <w:r>
        <w:rPr>
          <w:rStyle w:val="Code"/>
        </w:rPr>
        <w:t xml:space="preserve">  &lt;milestone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 xml:space="preserve">/&gt;&lt;label </w:t>
      </w:r>
      <w:r>
        <w:rPr>
          <w:rStyle w:val="Codeattribute"/>
        </w:rPr>
        <w:t>xml:lang</w:t>
      </w:r>
      <w:r>
        <w:rPr>
          <w:rStyle w:val="Code"/>
        </w:rPr>
        <w:t>=</w:t>
      </w:r>
      <w:r>
        <w:rPr>
          <w:rStyle w:val="Codevalue"/>
        </w:rPr>
        <w:t>"eng"</w:t>
      </w:r>
      <w:r>
        <w:rPr>
          <w:rStyle w:val="Code"/>
        </w:rPr>
        <w:t>&gt;</w:t>
      </w:r>
      <w:r>
        <w:rPr>
          <w:rStyle w:val="Codetext"/>
        </w:rPr>
        <w:t>Face B</w:t>
      </w:r>
      <w:r>
        <w:rPr>
          <w:rStyle w:val="Code"/>
        </w:rPr>
        <w:t>&lt;/label&gt;</w:t>
      </w:r>
    </w:p>
    <w:p>
      <w:pPr>
        <w:pStyle w:val="CodeParagraph"/>
        <w:rPr>
          <w:rStyle w:val="Codetext"/>
        </w:rPr>
      </w:pPr>
      <w:r>
        <w:rPr>
          <w:rStyle w:val="Code"/>
        </w:rPr>
        <w:t xml:space="preserve">  &lt;lb </w:t>
      </w:r>
      <w:r>
        <w:rPr>
          <w:rStyle w:val="Codeattribute"/>
        </w:rPr>
        <w:t>n</w:t>
      </w:r>
      <w:r>
        <w:rPr>
          <w:rStyle w:val="Code"/>
        </w:rPr>
        <w:t>=</w:t>
      </w:r>
      <w:r>
        <w:rPr>
          <w:rStyle w:val="Codevalue"/>
        </w:rPr>
        <w:t>"B0"</w:t>
      </w:r>
      <w:r>
        <w:rPr>
          <w:rStyle w:val="Code"/>
        </w:rPr>
        <w:t xml:space="preserve"> </w:t>
      </w:r>
      <w:r>
        <w:rPr>
          <w:rStyle w:val="Codeattribute"/>
        </w:rPr>
        <w:t>style</w:t>
      </w:r>
      <w:r>
        <w:rPr>
          <w:rStyle w:val="Code"/>
        </w:rPr>
        <w:t>=</w:t>
      </w:r>
      <w:r>
        <w:rPr>
          <w:rStyle w:val="Codevalue"/>
        </w:rPr>
        <w:t>"text-align: center"</w:t>
      </w:r>
      <w:r>
        <w:rPr>
          <w:rStyle w:val="Code"/>
        </w:rPr>
        <w:t>/&gt;</w:t>
      </w:r>
      <w:r>
        <w:rPr>
          <w:rStyle w:val="Codetext"/>
        </w:rPr>
        <w:t>hūṁ</w:t>
      </w:r>
    </w:p>
    <w:p>
      <w:pPr>
        <w:pStyle w:val="CodeParagraph"/>
        <w:rPr>
          <w:rStyle w:val="Code"/>
        </w:rPr>
      </w:pPr>
      <w:r>
        <w:rPr>
          <w:rStyle w:val="Code"/>
        </w:rPr>
        <w:t>&lt;/ab&gt;</w:t>
      </w:r>
    </w:p>
    <w:p>
      <w:pPr>
        <w:pStyle w:val="CodeParagraph"/>
        <w:rPr>
          <w:rStyle w:val="Code"/>
        </w:rPr>
      </w:pPr>
      <w:r>
        <w:rPr>
          <w:rStyle w:val="Code"/>
        </w:rPr>
        <w:t xml:space="preserve">&lt;lg </w:t>
      </w:r>
      <w:r>
        <w:rPr>
          <w:rStyle w:val="Codeattribute"/>
        </w:rPr>
        <w:t>n</w:t>
      </w:r>
      <w:r>
        <w:rPr>
          <w:rStyle w:val="Code"/>
        </w:rPr>
        <w:t>=</w:t>
      </w:r>
      <w:r>
        <w:rPr>
          <w:rStyle w:val="Codevalue"/>
        </w:rPr>
        <w:t>"25"</w:t>
      </w:r>
      <w:r>
        <w:rPr>
          <w:rStyle w:val="Code"/>
        </w:rPr>
        <w:t xml:space="preserve"> </w:t>
      </w:r>
      <w:r>
        <w:rPr>
          <w:rStyle w:val="Codeattribute"/>
        </w:rPr>
        <w:t>met</w:t>
      </w:r>
      <w:r>
        <w:rPr>
          <w:rStyle w:val="Code"/>
        </w:rPr>
        <w:t>=</w:t>
      </w:r>
      <w:r>
        <w:rPr>
          <w:rStyle w:val="Codevalue"/>
        </w:rPr>
        <w:t>"vasantatilakā"</w:t>
      </w:r>
      <w:r>
        <w:rPr>
          <w:rStyle w:val="Code"/>
        </w:rPr>
        <w:t>&gt;</w:t>
      </w:r>
      <w:r>
        <w:rPr>
          <w:rStyle w:val="Codetext"/>
        </w:rPr>
        <w:br/>
      </w:r>
      <w:r>
        <w:rPr>
          <w:rStyle w:val="Code"/>
        </w:rPr>
        <w:t xml:space="preserve">  &lt;l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"B1"</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hr</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ī</w:t>
      </w:r>
      <w:r>
        <w:rPr>
          <w:rStyle w:val="Code"/>
        </w:rPr>
        <w:t>&lt;/supplied&gt;</w:t>
      </w:r>
      <w:r>
        <w:rPr>
          <w:rStyle w:val="Codetext"/>
        </w:rPr>
        <w:t>kāntikīrttikamalābhir ajasrayuktas</w:t>
      </w:r>
      <w:r>
        <w:rPr>
          <w:rStyle w:val="Code"/>
        </w:rPr>
        <w:t>&lt;/l&gt;</w:t>
      </w:r>
      <w:r>
        <w:rPr>
          <w:rStyle w:val="Codetext"/>
        </w:rPr>
        <w:br/>
      </w:r>
      <w:r>
        <w:rPr>
          <w:rStyle w:val="Code"/>
        </w:rPr>
        <w:t xml:space="preserve">  &lt;l </w:t>
      </w:r>
      <w:r>
        <w:rPr>
          <w:rStyle w:val="Codeattribute"/>
        </w:rPr>
        <w:t>n</w:t>
      </w:r>
      <w:r>
        <w:rPr>
          <w:rStyle w:val="Code"/>
        </w:rPr>
        <w:t>=</w:t>
      </w:r>
      <w:r>
        <w:rPr>
          <w:rStyle w:val="Codevalue"/>
        </w:rPr>
        <w:t>"b"</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sastrīkatām adhigato pi tapasvivr̥ttiḥ</w:t>
      </w:r>
      <w:r>
        <w:rPr>
          <w:rStyle w:val="Code"/>
        </w:rPr>
        <w:t>&lt;/l&gt;</w:t>
      </w:r>
      <w:r>
        <w:rPr>
          <w:rStyle w:val="Codetext"/>
        </w:rPr>
        <w:br/>
      </w:r>
      <w:r>
        <w:rPr>
          <w:rStyle w:val="Code"/>
        </w:rPr>
        <w:t xml:space="preserve">  &lt;l </w:t>
      </w:r>
      <w:r>
        <w:rPr>
          <w:rStyle w:val="Codeattribute"/>
        </w:rPr>
        <w:t>n</w:t>
      </w:r>
      <w:r>
        <w:rPr>
          <w:rStyle w:val="Code"/>
        </w:rPr>
        <w:t>=</w:t>
      </w:r>
      <w:r>
        <w:rPr>
          <w:rStyle w:val="Codevalue"/>
        </w:rPr>
        <w:t>"c"</w:t>
      </w:r>
      <w:r>
        <w:rPr>
          <w:rStyle w:val="Code"/>
        </w:rPr>
        <w:t xml:space="preserve"> </w:t>
      </w:r>
      <w:r>
        <w:rPr>
          <w:rStyle w:val="Codeattribute"/>
        </w:rPr>
        <w:t>enjamb</w:t>
      </w:r>
      <w:r>
        <w:rPr>
          <w:rStyle w:val="Code"/>
        </w:rPr>
        <w:t>=</w:t>
      </w:r>
      <w:r>
        <w:rPr>
          <w:rStyle w:val="Codevalue"/>
        </w:rPr>
        <w:t>"yes"</w:t>
      </w:r>
      <w:r>
        <w:rPr>
          <w:rStyle w:val="Code"/>
        </w:rPr>
        <w:t xml:space="preserve">&gt;&lt;lb </w:t>
      </w:r>
      <w:r>
        <w:rPr>
          <w:rStyle w:val="Codeattribute"/>
        </w:rPr>
        <w:t>n</w:t>
      </w:r>
      <w:r>
        <w:rPr>
          <w:rStyle w:val="Code"/>
        </w:rPr>
        <w:t>=</w:t>
      </w:r>
      <w:r>
        <w:rPr>
          <w:rStyle w:val="Codevalue"/>
        </w:rPr>
        <w:t>"B2"</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bhūbhr̥cchironi</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hitapādatalo dyugāmi</w:t>
      </w:r>
      <w:r>
        <w:rPr>
          <w:rStyle w:val="Code"/>
        </w:rPr>
        <w:t>&lt;/l&gt;</w:t>
      </w:r>
      <w:r>
        <w:rPr>
          <w:rStyle w:val="Codetext"/>
        </w:rPr>
        <w:br/>
      </w:r>
      <w:r>
        <w:rPr>
          <w:rStyle w:val="Code"/>
        </w:rPr>
        <w:t xml:space="preserve">  &lt;l </w:t>
      </w:r>
      <w:r>
        <w:rPr>
          <w:rStyle w:val="Codeattribute"/>
        </w:rPr>
        <w:t>n</w:t>
      </w:r>
      <w:r>
        <w:rPr>
          <w:rStyle w:val="Code"/>
        </w:rPr>
        <w:t>=</w:t>
      </w:r>
      <w:r>
        <w:rPr>
          <w:rStyle w:val="Codevalue"/>
        </w:rPr>
        <w:t>"d"</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dr̥ṣṭi</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r vvisandhir apareṇa karodyato yaḥ</w:t>
      </w:r>
      <w:r>
        <w:rPr>
          <w:rStyle w:val="Code"/>
        </w:rPr>
        <w:t>&lt;/l&gt;</w:t>
      </w:r>
      <w:r>
        <w:rPr>
          <w:rStyle w:val="Codetext"/>
        </w:rPr>
        <w:br/>
      </w:r>
      <w:r>
        <w:rPr>
          <w:rStyle w:val="Code"/>
        </w:rPr>
        <w:t>&lt;/lg&gt;</w:t>
      </w:r>
      <w:r>
        <w:rPr>
          <w:rStyle w:val="Codetext"/>
        </w:rPr>
        <w:br/>
      </w:r>
      <w:r>
        <w:rPr>
          <w:rStyle w:val="Code"/>
        </w:rPr>
        <w:t xml:space="preserve">&lt;lg </w:t>
      </w:r>
      <w:r>
        <w:rPr>
          <w:rStyle w:val="Codeattribute"/>
        </w:rPr>
        <w:t>n</w:t>
      </w:r>
      <w:r>
        <w:rPr>
          <w:rStyle w:val="Code"/>
        </w:rPr>
        <w:t>=</w:t>
      </w:r>
      <w:r>
        <w:rPr>
          <w:rStyle w:val="Codevalue"/>
        </w:rPr>
        <w:t>"26"</w:t>
      </w:r>
      <w:r>
        <w:rPr>
          <w:rStyle w:val="Code"/>
        </w:rPr>
        <w:t xml:space="preserve"> </w:t>
      </w:r>
      <w:r>
        <w:rPr>
          <w:rStyle w:val="Codeattribute"/>
        </w:rPr>
        <w:t>met</w:t>
      </w:r>
      <w:r>
        <w:rPr>
          <w:rStyle w:val="Code"/>
        </w:rPr>
        <w:t>=</w:t>
      </w:r>
      <w:r>
        <w:rPr>
          <w:rStyle w:val="Codevalue"/>
        </w:rPr>
        <w:t>"vasantatilakā"</w:t>
      </w:r>
      <w:r>
        <w:rPr>
          <w:rStyle w:val="Code"/>
        </w:rPr>
        <w:t>&gt;</w:t>
      </w:r>
      <w:r>
        <w:rPr>
          <w:rStyle w:val="Codetext"/>
        </w:rPr>
        <w:br/>
      </w:r>
      <w:r>
        <w:rPr>
          <w:rStyle w:val="Code"/>
        </w:rPr>
        <w:t xml:space="preserve">  &lt;l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"B3"</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Aurvvānalo janitatāpatayā nu yasya</w:t>
      </w:r>
      <w:r>
        <w:rPr>
          <w:rStyle w:val="Code"/>
        </w:rPr>
        <w:t>&lt;/l&gt;</w:t>
      </w:r>
      <w:r>
        <w:rPr>
          <w:rStyle w:val="Codetext"/>
        </w:rPr>
        <w:br/>
      </w:r>
      <w:r>
        <w:rPr>
          <w:rStyle w:val="Code"/>
        </w:rPr>
        <w:t xml:space="preserve">  &lt;l </w:t>
      </w:r>
      <w:r>
        <w:rPr>
          <w:rStyle w:val="Codeattribute"/>
        </w:rPr>
        <w:t>n</w:t>
      </w:r>
      <w:r>
        <w:rPr>
          <w:rStyle w:val="Code"/>
        </w:rPr>
        <w:t>=</w:t>
      </w:r>
      <w:r>
        <w:rPr>
          <w:rStyle w:val="Codevalue"/>
        </w:rPr>
        <w:t>"b"</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tejonalena hr̥daye ripumāninīnām·</w:t>
      </w:r>
      <w:r>
        <w:rPr>
          <w:rStyle w:val="Code"/>
        </w:rPr>
        <w:t>&lt;/l&gt;</w:t>
      </w:r>
      <w:r>
        <w:rPr>
          <w:rStyle w:val="Codetext"/>
        </w:rPr>
        <w:br/>
      </w:r>
      <w:r>
        <w:rPr>
          <w:rStyle w:val="Code"/>
        </w:rPr>
        <w:t xml:space="preserve">  &lt;l </w:t>
      </w:r>
      <w:r>
        <w:rPr>
          <w:rStyle w:val="Codeattribute"/>
        </w:rPr>
        <w:t>n</w:t>
      </w:r>
      <w:r>
        <w:rPr>
          <w:rStyle w:val="Code"/>
        </w:rPr>
        <w:t>=</w:t>
      </w:r>
      <w:r>
        <w:rPr>
          <w:rStyle w:val="Codevalue"/>
        </w:rPr>
        <w:t>"c"</w:t>
      </w:r>
      <w:r>
        <w:rPr>
          <w:rStyle w:val="Code"/>
        </w:rPr>
        <w:t xml:space="preserve">&gt;&lt;lb </w:t>
      </w:r>
      <w:r>
        <w:rPr>
          <w:rStyle w:val="Codeattribute"/>
        </w:rPr>
        <w:t>n</w:t>
      </w:r>
      <w:r>
        <w:rPr>
          <w:rStyle w:val="Code"/>
        </w:rPr>
        <w:t>=</w:t>
      </w:r>
      <w:r>
        <w:rPr>
          <w:rStyle w:val="Codevalue"/>
        </w:rPr>
        <w:t>"B4"</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śokātigāḍhajaladhau nitarān nimajjya</w:t>
      </w:r>
      <w:r>
        <w:rPr>
          <w:rStyle w:val="Code"/>
        </w:rPr>
        <w:t>&lt;/l&gt;</w:t>
      </w:r>
      <w:r>
        <w:rPr>
          <w:rStyle w:val="Codetext"/>
        </w:rPr>
        <w:br/>
      </w:r>
      <w:r>
        <w:rPr>
          <w:rStyle w:val="Code"/>
        </w:rPr>
        <w:t xml:space="preserve">  &lt;l </w:t>
      </w:r>
      <w:r>
        <w:rPr>
          <w:rStyle w:val="Codeattribute"/>
        </w:rPr>
        <w:t>n</w:t>
      </w:r>
      <w:r>
        <w:rPr>
          <w:rStyle w:val="Code"/>
        </w:rPr>
        <w:t>=</w:t>
      </w:r>
      <w:r>
        <w:rPr>
          <w:rStyle w:val="Codevalue"/>
        </w:rPr>
        <w:t>"d"</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netrair amocayad anantaraphenilāmbhaḥ</w:t>
      </w:r>
      <w:r>
        <w:rPr>
          <w:rStyle w:val="Code"/>
        </w:rPr>
        <w:t>&lt;/l&gt;</w:t>
      </w:r>
      <w:r>
        <w:rPr>
          <w:rStyle w:val="Codetext"/>
        </w:rPr>
        <w:br/>
      </w:r>
      <w:r>
        <w:rPr>
          <w:rStyle w:val="Code"/>
        </w:rPr>
        <w:t>&lt;/lg&gt;</w:t>
      </w:r>
    </w:p>
    <w:p>
      <w:pPr>
        <w:pStyle w:val="Cmsor1"/>
        <w:numPr>
          <w:ilvl w:val="0"/>
          <w:numId w:val="7"/>
        </w:numPr>
      </w:pPr>
      <w:bookmarkStart w:id="1062" w:name="_jalh6cgsei8" w:colFirst="0" w:colLast="0"/>
      <w:bookmarkStart w:id="1063" w:name="_Ref43990834"/>
      <w:bookmarkEnd w:id="1056"/>
      <w:bookmarkEnd w:id="1062"/>
      <w:r>
        <w:lastRenderedPageBreak/>
        <w:t>Titling conventions</w:t>
      </w:r>
      <w:bookmarkEnd w:id="1063"/>
    </w:p>
    <w:p>
      <w:r>
        <w:t>When assigning a title to the inscription you are encoding, it is in general recommended that you try to remain faithful to established names for inscriptions that have been edited before. In cases where established names in a corpus follow significantly varying models, so that the need for some harmonisation is felt, the team member</w:t>
      </w:r>
      <w:r>
        <w:rPr>
          <w:noProof/>
        </w:rPr>
        <w:t>(</w:t>
      </w:r>
      <w:r>
        <w:t>s) responsible for the corpus in question has/have the option to design a new system and apply it rigorously to all members of the corpus in question. New inscriptions should, as a rule, be named on the analogy of established names within the same corpus. In all cases, variant names applied to the inscription in question in previous publications shall be recorded as per §</w:t>
      </w:r>
      <w:r>
        <w:fldChar w:fldCharType="begin"/>
      </w:r>
      <w:r>
        <w:instrText xml:space="preserve"> REF _Ref233986980 \r \h </w:instrText>
      </w:r>
      <w:r>
        <w:fldChar w:fldCharType="separate"/>
      </w:r>
      <w:r>
        <w:t>15.1.1.1</w:t>
      </w:r>
      <w:r>
        <w:fldChar w:fldCharType="end"/>
      </w:r>
      <w:r>
        <w:t>.</w:t>
      </w:r>
    </w:p>
    <w:p>
      <w:pPr>
        <w:pStyle w:val="Normlbehzs"/>
      </w:pPr>
      <w:r>
        <w:t xml:space="preserve">When creating new titles, it is recommended </w:t>
      </w:r>
      <w:r>
        <w:rPr>
          <w:noProof/>
        </w:rPr>
        <w:t>(</w:t>
      </w:r>
      <w:r>
        <w:t>but not mandatory) that you compose your title by combining the following elements, in this order.</w:t>
      </w:r>
    </w:p>
    <w:p>
      <w:pPr>
        <w:numPr>
          <w:ilvl w:val="0"/>
          <w:numId w:val="5"/>
        </w:numPr>
        <w:ind w:left="284" w:hanging="284"/>
      </w:pPr>
      <w:r>
        <w:rPr>
          <w:b/>
          <w:bCs/>
        </w:rPr>
        <w:t>place</w:t>
      </w:r>
      <w:r>
        <w:t xml:space="preserve">: start your title with a place name, using </w:t>
      </w:r>
      <w:r>
        <w:rPr>
          <w:noProof/>
        </w:rPr>
        <w:t>(</w:t>
      </w:r>
      <w:r>
        <w:t>if possible) one of the following options</w:t>
      </w:r>
    </w:p>
    <w:p>
      <w:pPr>
        <w:numPr>
          <w:ilvl w:val="1"/>
          <w:numId w:val="6"/>
        </w:numPr>
        <w:ind w:left="567" w:hanging="283"/>
      </w:pPr>
      <w:r>
        <w:t>internal: attempt to identify the name of the place</w:t>
      </w:r>
      <w:r>
        <w:rPr>
          <w:noProof/>
        </w:rPr>
        <w:t>(</w:t>
      </w:r>
      <w:r>
        <w:t xml:space="preserve">s) that is </w:t>
      </w:r>
      <w:r>
        <w:rPr>
          <w:noProof/>
        </w:rPr>
        <w:t>(</w:t>
      </w:r>
      <w:r>
        <w:t>or are) most fundamentally concerned by the transaction recorded in the inscription</w:t>
      </w:r>
    </w:p>
    <w:p>
      <w:pPr>
        <w:pStyle w:val="Lista4"/>
      </w:pPr>
      <w:r>
        <w:t>resort to a less important but more distinctive internal toponym if the toponym resulting from the above test is insufficiently distinctive</w:t>
      </w:r>
    </w:p>
    <w:p>
      <w:pPr>
        <w:pStyle w:val="Lista4"/>
      </w:pPr>
      <w:r>
        <w:t xml:space="preserve">if you are dealing with Indonesian inscriptions, represent the internal toponym free of diacritics, in EYD spelling </w:t>
      </w:r>
      <w:r>
        <w:rPr>
          <w:noProof/>
        </w:rPr>
        <w:t>(</w:t>
      </w:r>
      <w:r>
        <w:t xml:space="preserve">e.g., </w:t>
      </w:r>
      <w:proofErr w:type="spellStart"/>
      <w:r>
        <w:t>Sobhamerta</w:t>
      </w:r>
      <w:proofErr w:type="spellEnd"/>
      <w:r>
        <w:t xml:space="preserve"> for </w:t>
      </w:r>
      <w:r>
        <w:rPr>
          <w:rStyle w:val="Foreign"/>
        </w:rPr>
        <w:t>śobhāmr̥ta</w:t>
      </w:r>
      <w:r>
        <w:t xml:space="preserve">), and for further guidance, see </w:t>
      </w:r>
      <w:proofErr w:type="spellStart"/>
      <w:r>
        <w:t>Damais</w:t>
      </w:r>
      <w:proofErr w:type="spellEnd"/>
      <w:r>
        <w:t xml:space="preserve"> 1952: 6-9</w:t>
      </w:r>
    </w:p>
    <w:p>
      <w:pPr>
        <w:numPr>
          <w:ilvl w:val="1"/>
          <w:numId w:val="6"/>
        </w:numPr>
        <w:ind w:left="567" w:hanging="283"/>
      </w:pPr>
      <w:r>
        <w:t>based on provenance: use the name of the findspot, e.g. “Nalanda”</w:t>
      </w:r>
    </w:p>
    <w:p>
      <w:pPr>
        <w:pStyle w:val="Lista4"/>
      </w:pPr>
      <w:r>
        <w:t>provenance-based places may, if necessary, be complemented with the specification of a topographic feature or a monument, e.g. “rock”, “cliff”, “victory pillar”, “Cave 16”, “</w:t>
      </w:r>
      <w:proofErr w:type="spellStart"/>
      <w:r>
        <w:t>Vedānteśvara</w:t>
      </w:r>
      <w:proofErr w:type="spellEnd"/>
      <w:r>
        <w:t xml:space="preserve"> temple pillars”, etc.</w:t>
      </w:r>
    </w:p>
    <w:p>
      <w:pPr>
        <w:numPr>
          <w:ilvl w:val="1"/>
          <w:numId w:val="6"/>
        </w:numPr>
        <w:ind w:left="567" w:hanging="283"/>
      </w:pPr>
      <w:r>
        <w:t>based on custody: a reference to the place or institution where the support is currently kept, e.g. “BBRAS”</w:t>
      </w:r>
    </w:p>
    <w:p>
      <w:pPr>
        <w:pStyle w:val="Lista4"/>
      </w:pPr>
      <w:r>
        <w:t>place names based on custody should only be employed if neither a provenance-based, nor an internal place name is available</w:t>
      </w:r>
    </w:p>
    <w:p>
      <w:pPr>
        <w:numPr>
          <w:ilvl w:val="0"/>
          <w:numId w:val="5"/>
        </w:numPr>
        <w:ind w:left="284" w:hanging="284"/>
      </w:pPr>
      <w:r>
        <w:rPr>
          <w:b/>
          <w:bCs/>
        </w:rPr>
        <w:t>artifact type or document type</w:t>
      </w:r>
      <w:r>
        <w:t>: add a word or two describing the nature of the support or the text, using the cover term “inscription” only if no more satisfactory term can be found.</w:t>
      </w:r>
    </w:p>
    <w:p>
      <w:pPr>
        <w:pStyle w:val="Lista3"/>
      </w:pPr>
      <w:r>
        <w:t xml:space="preserve">use document type </w:t>
      </w:r>
      <w:r>
        <w:rPr>
          <w:noProof/>
        </w:rPr>
        <w:t>(</w:t>
      </w:r>
      <w:r>
        <w:t>e.g., “grant”, “dedication” or “dedicatory inscription”, “foundation”, “label”, “graffito”, “eulogy”) if the place name used in the title is an internal toponym</w:t>
      </w:r>
    </w:p>
    <w:p>
      <w:pPr>
        <w:pStyle w:val="Lista4"/>
      </w:pPr>
      <w:r>
        <w:t>e.g. “</w:t>
      </w:r>
      <w:proofErr w:type="spellStart"/>
      <w:r>
        <w:t>Raktamālā</w:t>
      </w:r>
      <w:proofErr w:type="spellEnd"/>
      <w:r>
        <w:t xml:space="preserve"> grant”</w:t>
      </w:r>
    </w:p>
    <w:p>
      <w:pPr>
        <w:pStyle w:val="Lista3"/>
      </w:pPr>
      <w:r>
        <w:t xml:space="preserve">use artifact type </w:t>
      </w:r>
      <w:r>
        <w:rPr>
          <w:noProof/>
        </w:rPr>
        <w:t>(</w:t>
      </w:r>
      <w:r>
        <w:t>e.g., “plate”, “stele”, “slab”, “pillar”, etc.) if the place name used in the title is based on provenance or custody</w:t>
      </w:r>
    </w:p>
    <w:p>
      <w:pPr>
        <w:pStyle w:val="Lista4"/>
      </w:pPr>
      <w:r>
        <w:t>e.g. “Nalanda plates”, “British Museum pillar”</w:t>
      </w:r>
    </w:p>
    <w:p>
      <w:pPr>
        <w:numPr>
          <w:ilvl w:val="0"/>
          <w:numId w:val="5"/>
        </w:numPr>
        <w:ind w:left="284" w:hanging="284"/>
      </w:pPr>
      <w:r>
        <w:rPr>
          <w:b/>
          <w:bCs/>
        </w:rPr>
        <w:t>the principal protagonist</w:t>
      </w:r>
      <w:r>
        <w:t xml:space="preserve"> of the inscription, if named in the text</w:t>
      </w:r>
    </w:p>
    <w:p>
      <w:pPr>
        <w:pStyle w:val="Lista3"/>
      </w:pPr>
      <w:r>
        <w:t>this is usually the person who issued/commissioned the inscription and/or the work commemorated in it, but may be another named person, such as the reigning ruler if the commissioner is another person who is not named</w:t>
      </w:r>
    </w:p>
    <w:p>
      <w:pPr>
        <w:pStyle w:val="Lista3"/>
      </w:pPr>
      <w:r>
        <w:t>preferably, use “of” before the name of the issuer</w:t>
      </w:r>
    </w:p>
    <w:p>
      <w:pPr>
        <w:pStyle w:val="Lista3"/>
      </w:pPr>
      <w:r>
        <w:t>preferably, use “of the time of” before the name of a reigning ruler who is not the protagonist</w:t>
      </w:r>
    </w:p>
    <w:p>
      <w:pPr>
        <w:numPr>
          <w:ilvl w:val="0"/>
          <w:numId w:val="5"/>
        </w:numPr>
        <w:ind w:left="284" w:hanging="284"/>
      </w:pPr>
      <w:r>
        <w:rPr>
          <w:b/>
          <w:bCs/>
        </w:rPr>
        <w:t>supplementary details</w:t>
      </w:r>
      <w:r>
        <w:t>: after the above elements, add further information whenever necessary for disambiguation, potentially including:</w:t>
      </w:r>
    </w:p>
    <w:p>
      <w:pPr>
        <w:pStyle w:val="Lista3"/>
      </w:pPr>
      <w:r>
        <w:t>calendrical or regnal year, if mentioned within the text</w:t>
      </w:r>
    </w:p>
    <w:p>
      <w:pPr>
        <w:pStyle w:val="Lista4"/>
      </w:pPr>
      <w:r>
        <w:t>optionally including further dating specifics noted in the text, if necessary for disambiguation, e.g. month and day in the case of several charters of the same provenance, same king, same year, and where a title based on the content does not work</w:t>
      </w:r>
    </w:p>
    <w:p>
      <w:pPr>
        <w:pStyle w:val="Lista4"/>
      </w:pPr>
      <w:r>
        <w:t>optionally using “undetermined year” if a year is mentioned in the text, but is lost or illegible</w:t>
      </w:r>
    </w:p>
    <w:p>
      <w:pPr>
        <w:pStyle w:val="Lista3"/>
      </w:pPr>
      <w:r>
        <w:t>any additional distinction, e.g.</w:t>
      </w:r>
    </w:p>
    <w:p>
      <w:pPr>
        <w:pStyle w:val="Lista4"/>
      </w:pPr>
      <w:r>
        <w:t>“Set 1” and “Set 2” to distinguish two sets of copper plates with the same provenance, issued by the same ruler on the same date</w:t>
      </w:r>
    </w:p>
    <w:p>
      <w:pPr>
        <w:pStyle w:val="Lista4"/>
      </w:pPr>
      <w:r>
        <w:lastRenderedPageBreak/>
        <w:t>“north column” and “south column” to distinguish two copies of an inscription engraved in duplicate</w:t>
      </w:r>
    </w:p>
    <w:p>
      <w:pPr>
        <w:pStyle w:val="Lista"/>
      </w:pPr>
      <w:r>
        <w:t>the above items may be listed with commas or connected to one another by short English phrases as seems most suitable</w:t>
      </w:r>
    </w:p>
    <w:p>
      <w:pPr>
        <w:pStyle w:val="Lista"/>
      </w:pPr>
      <w:r>
        <w:t>some examples of titles composed or elaborated along the above lines:</w:t>
      </w:r>
    </w:p>
    <w:p>
      <w:pPr>
        <w:pStyle w:val="Lista2"/>
      </w:pPr>
      <w:r>
        <w:t xml:space="preserve">Nalanda plate of Samudragupta </w:t>
      </w:r>
      <w:r>
        <w:rPr>
          <w:noProof/>
        </w:rPr>
        <w:t>(</w:t>
      </w:r>
      <w:r>
        <w:t>provenance, type and issuing ruler)</w:t>
      </w:r>
    </w:p>
    <w:p>
      <w:pPr>
        <w:pStyle w:val="Lista2"/>
      </w:pPr>
      <w:proofErr w:type="spellStart"/>
      <w:r>
        <w:t>Raktamālā</w:t>
      </w:r>
      <w:proofErr w:type="spellEnd"/>
      <w:r>
        <w:t xml:space="preserve"> grant of the time of </w:t>
      </w:r>
      <w:proofErr w:type="spellStart"/>
      <w:r>
        <w:t>Budhagupta</w:t>
      </w:r>
      <w:proofErr w:type="spellEnd"/>
      <w:r>
        <w:t xml:space="preserve">, year 159 </w:t>
      </w:r>
      <w:r>
        <w:rPr>
          <w:noProof/>
        </w:rPr>
        <w:t>(</w:t>
      </w:r>
      <w:r>
        <w:t>internal place, type, reigning ruler, date)</w:t>
      </w:r>
    </w:p>
    <w:p>
      <w:pPr>
        <w:pStyle w:val="Lista2"/>
      </w:pPr>
      <w:proofErr w:type="spellStart"/>
      <w:r>
        <w:t>Vallam</w:t>
      </w:r>
      <w:proofErr w:type="spellEnd"/>
      <w:r>
        <w:t xml:space="preserve">, </w:t>
      </w:r>
      <w:proofErr w:type="spellStart"/>
      <w:r>
        <w:t>Vedānteśvara</w:t>
      </w:r>
      <w:proofErr w:type="spellEnd"/>
      <w:r>
        <w:t xml:space="preserve"> temple pillars, foundation by </w:t>
      </w:r>
      <w:proofErr w:type="spellStart"/>
      <w:r>
        <w:t>Kantacēṉaṉ</w:t>
      </w:r>
      <w:proofErr w:type="spellEnd"/>
      <w:r>
        <w:t xml:space="preserve"> of the time of </w:t>
      </w:r>
      <w:proofErr w:type="spellStart"/>
      <w:r>
        <w:t>Mahendravarman</w:t>
      </w:r>
      <w:proofErr w:type="spellEnd"/>
      <w:r>
        <w:t xml:space="preserve"> I </w:t>
      </w:r>
      <w:r>
        <w:rPr>
          <w:noProof/>
        </w:rPr>
        <w:t>(</w:t>
      </w:r>
      <w:r>
        <w:t>provenance with monument details, type of inscription, issuing person, reigning ruler)</w:t>
      </w:r>
    </w:p>
    <w:p>
      <w:pPr>
        <w:pStyle w:val="Lista2"/>
      </w:pPr>
      <w:proofErr w:type="spellStart"/>
      <w:r>
        <w:t>Uttiramērūr</w:t>
      </w:r>
      <w:proofErr w:type="spellEnd"/>
      <w:r>
        <w:t xml:space="preserve">, </w:t>
      </w:r>
      <w:proofErr w:type="spellStart"/>
      <w:r>
        <w:t>Sundaravaradaperumāḷ</w:t>
      </w:r>
      <w:proofErr w:type="spellEnd"/>
      <w:r>
        <w:t xml:space="preserve"> temple, southern wall of </w:t>
      </w:r>
      <w:r>
        <w:rPr>
          <w:rStyle w:val="Foreign"/>
        </w:rPr>
        <w:t>vimāna</w:t>
      </w:r>
      <w:r>
        <w:t xml:space="preserve">, donation of the time of Nandivarman II, year 16 </w:t>
      </w:r>
      <w:r>
        <w:rPr>
          <w:noProof/>
        </w:rPr>
        <w:t>(</w:t>
      </w:r>
      <w:r>
        <w:t>provenance with monument details, additional specification of location, type, reigning ruler, regnal year)</w:t>
      </w:r>
    </w:p>
    <w:p>
      <w:pPr>
        <w:pStyle w:val="Lista2"/>
      </w:pPr>
      <w:proofErr w:type="spellStart"/>
      <w:r>
        <w:t>Uttiramērūr</w:t>
      </w:r>
      <w:proofErr w:type="spellEnd"/>
      <w:r>
        <w:t xml:space="preserve">, </w:t>
      </w:r>
      <w:proofErr w:type="spellStart"/>
      <w:r>
        <w:t>Vaikuṇṭhaperumāḷ</w:t>
      </w:r>
      <w:proofErr w:type="spellEnd"/>
      <w:r>
        <w:t xml:space="preserve"> temple, larger platform, southern base, inscription of the time of </w:t>
      </w:r>
      <w:proofErr w:type="spellStart"/>
      <w:r>
        <w:t>Dantivarman</w:t>
      </w:r>
      <w:proofErr w:type="spellEnd"/>
      <w:r>
        <w:t xml:space="preserve">, year 8, larger platform, southern base </w:t>
      </w:r>
      <w:r>
        <w:rPr>
          <w:noProof/>
        </w:rPr>
        <w:t>(</w:t>
      </w:r>
      <w:r>
        <w:t>provenance with monument details, additional specification of location, no clear text type, reigning ruler, regnal year)</w:t>
      </w:r>
    </w:p>
    <w:p>
      <w:pPr>
        <w:pStyle w:val="Lista2"/>
      </w:pPr>
      <w:proofErr w:type="spellStart"/>
      <w:r>
        <w:t>Gunung</w:t>
      </w:r>
      <w:proofErr w:type="spellEnd"/>
      <w:r>
        <w:t xml:space="preserve"> </w:t>
      </w:r>
      <w:proofErr w:type="spellStart"/>
      <w:r>
        <w:t>Wukir</w:t>
      </w:r>
      <w:proofErr w:type="spellEnd"/>
      <w:r>
        <w:t xml:space="preserve"> stele of </w:t>
      </w:r>
      <w:proofErr w:type="spellStart"/>
      <w:r>
        <w:t>Sañjaya</w:t>
      </w:r>
      <w:proofErr w:type="spellEnd"/>
    </w:p>
    <w:p>
      <w:pPr>
        <w:pStyle w:val="Lista2"/>
      </w:pPr>
      <w:proofErr w:type="spellStart"/>
      <w:r>
        <w:t>Hampran</w:t>
      </w:r>
      <w:proofErr w:type="spellEnd"/>
      <w:r>
        <w:t xml:space="preserve"> dedication of </w:t>
      </w:r>
      <w:proofErr w:type="spellStart"/>
      <w:r>
        <w:t>Bhānu</w:t>
      </w:r>
      <w:proofErr w:type="spellEnd"/>
    </w:p>
    <w:p>
      <w:pPr>
        <w:pStyle w:val="Cmsor1"/>
        <w:numPr>
          <w:ilvl w:val="0"/>
          <w:numId w:val="7"/>
        </w:numPr>
      </w:pPr>
      <w:bookmarkStart w:id="1064" w:name="_fkfiw4gv3nvf" w:colFirst="0" w:colLast="0"/>
      <w:bookmarkEnd w:id="1064"/>
      <w:r>
        <w:lastRenderedPageBreak/>
        <w:t>Creating DHARMA editions from other editions</w:t>
      </w:r>
    </w:p>
    <w:p>
      <w:pPr>
        <w:pStyle w:val="Cmsor2"/>
        <w:numPr>
          <w:ilvl w:val="1"/>
          <w:numId w:val="7"/>
        </w:numPr>
      </w:pPr>
      <w:r>
        <w:t>Converting CII/EI markup conventions to EpiDoc</w:t>
      </w:r>
    </w:p>
    <w:p>
      <w:pPr>
        <w:rPr>
          <w:lang w:eastAsia="en-US" w:bidi="ar-SA"/>
        </w:rPr>
      </w:pPr>
      <w:r>
        <w:rPr>
          <w:lang w:eastAsia="en-US" w:bidi="ar-SA"/>
        </w:rPr>
        <w:t>The instructions in this Appendix explain how the character-based markup used in most printed epigraphic editions of Indic texts correspond to our encoding scheme. Guidelines for adopting previously published translations are given in §</w:t>
      </w:r>
      <w:r>
        <w:rPr>
          <w:lang w:eastAsia="en-US" w:bidi="ar-SA"/>
        </w:rPr>
        <w:fldChar w:fldCharType="begin"/>
      </w:r>
      <w:r>
        <w:rPr>
          <w:lang w:eastAsia="en-US" w:bidi="ar-SA"/>
        </w:rPr>
        <w:instrText xml:space="preserve"> REF _Ref43990725 \r \h </w:instrText>
      </w:r>
      <w:r>
        <w:rPr>
          <w:lang w:eastAsia="en-US" w:bidi="ar-SA"/>
        </w:rPr>
      </w:r>
      <w:r>
        <w:rPr>
          <w:lang w:eastAsia="en-US" w:bidi="ar-SA"/>
        </w:rPr>
        <w:fldChar w:fldCharType="separate"/>
      </w:r>
      <w:r>
        <w:rPr>
          <w:lang w:eastAsia="en-US" w:bidi="ar-SA"/>
        </w:rPr>
        <w:t>11.5</w:t>
      </w:r>
      <w:r>
        <w:rPr>
          <w:lang w:eastAsia="en-US" w:bidi="ar-SA"/>
        </w:rPr>
        <w:fldChar w:fldCharType="end"/>
      </w:r>
      <w:r>
        <w:rPr>
          <w:lang w:eastAsia="en-US" w:bidi="ar-SA"/>
        </w:rPr>
        <w:t>.</w:t>
      </w:r>
    </w:p>
    <w:p>
      <w:pPr>
        <w:pStyle w:val="Lista"/>
      </w:pPr>
      <w:r>
        <w:t>word segmentation</w:t>
      </w:r>
    </w:p>
    <w:p>
      <w:pPr>
        <w:pStyle w:val="Lista2"/>
      </w:pPr>
      <w:r>
        <w:rPr>
          <w:b/>
          <w:bCs/>
        </w:rPr>
        <w:t>spaces</w:t>
      </w:r>
      <w:r>
        <w:t xml:space="preserve"> </w:t>
      </w:r>
      <w:r>
        <w:rPr>
          <w:noProof/>
        </w:rPr>
        <w:t>(</w:t>
      </w:r>
      <w:r>
        <w:t>indicating non-compound word separation) remain spaces</w:t>
      </w:r>
    </w:p>
    <w:p>
      <w:pPr>
        <w:pStyle w:val="Lista2"/>
      </w:pPr>
      <w:r>
        <w:rPr>
          <w:b/>
          <w:bCs/>
        </w:rPr>
        <w:t>hyphens</w:t>
      </w:r>
    </w:p>
    <w:p>
      <w:pPr>
        <w:pStyle w:val="Lista3"/>
      </w:pPr>
      <w:r>
        <w:t xml:space="preserve">used for compound segmentation between words fused in vowel sandhi </w:t>
      </w:r>
      <w:r>
        <w:rPr>
          <w:noProof/>
        </w:rPr>
        <w:t>(</w:t>
      </w:r>
      <w:r>
        <w:t xml:space="preserve">e.g. </w:t>
      </w:r>
      <w:r>
        <w:rPr>
          <w:rStyle w:val="Foreign"/>
        </w:rPr>
        <w:t>parākkram-āṅka</w:t>
      </w:r>
      <w:r>
        <w:t xml:space="preserve"> = </w:t>
      </w:r>
      <w:proofErr w:type="spellStart"/>
      <w:r>
        <w:rPr>
          <w:rStyle w:val="Foreign"/>
        </w:rPr>
        <w:t>parākkrama</w:t>
      </w:r>
      <w:r>
        <w:t>+</w:t>
      </w:r>
      <w:r>
        <w:rPr>
          <w:rStyle w:val="Foreign"/>
        </w:rPr>
        <w:t>aṅka</w:t>
      </w:r>
      <w:proofErr w:type="spellEnd"/>
      <w:r>
        <w:t xml:space="preserve">) are discarded </w:t>
      </w:r>
      <w:r>
        <w:rPr>
          <w:noProof/>
        </w:rPr>
        <w:t>(</w:t>
      </w:r>
      <w:r>
        <w:rPr>
          <w:rStyle w:val="Foreign"/>
        </w:rPr>
        <w:t>parākkramāṅka</w:t>
      </w:r>
      <w:r>
        <w:t>)</w:t>
      </w:r>
    </w:p>
    <w:p>
      <w:pPr>
        <w:pStyle w:val="Lista3"/>
      </w:pPr>
      <w:r>
        <w:t>used for compound segmentation and not affected by sandhi fusion are optionally retained as per TG §7.3.5</w:t>
      </w:r>
    </w:p>
    <w:p>
      <w:pPr>
        <w:pStyle w:val="Lista3"/>
      </w:pPr>
      <w:r>
        <w:t xml:space="preserve">inserted at the ends of printed lines </w:t>
      </w:r>
      <w:r>
        <w:rPr>
          <w:noProof/>
        </w:rPr>
        <w:t>(</w:t>
      </w:r>
      <w:r>
        <w:t>when an epigraphic line is too long to fit in one printed line) are normally discarded</w:t>
      </w:r>
    </w:p>
    <w:p>
      <w:pPr>
        <w:pStyle w:val="Lista4"/>
      </w:pPr>
      <w:r>
        <w:t>if they also serve for compound segmentation, they may be optionally retained as above</w:t>
      </w:r>
    </w:p>
    <w:p>
      <w:pPr>
        <w:pStyle w:val="Lista3"/>
      </w:pPr>
      <w:r>
        <w:t xml:space="preserve">inserted at the ends of epigraphic lines </w:t>
      </w:r>
      <w:r>
        <w:rPr>
          <w:noProof/>
        </w:rPr>
        <w:t>(</w:t>
      </w:r>
      <w:r>
        <w:t xml:space="preserve">when a line end is not the end of a word) are to be converted into markup by adding </w:t>
      </w:r>
      <w:r>
        <w:rPr>
          <w:rStyle w:val="Codeattribute"/>
        </w:rPr>
        <w:t>@break</w:t>
      </w:r>
      <w:r>
        <w:rPr>
          <w:rStyle w:val="Code"/>
        </w:rPr>
        <w:t>=</w:t>
      </w:r>
      <w:r>
        <w:rPr>
          <w:rStyle w:val="Codevalue"/>
        </w:rPr>
        <w:t>"no"</w:t>
      </w:r>
      <w:r>
        <w:t xml:space="preserve"> to the following </w:t>
      </w:r>
      <w:r>
        <w:rPr>
          <w:rStyle w:val="Code"/>
        </w:rPr>
        <w:t>&lt;lb&gt;</w:t>
      </w:r>
      <w:r>
        <w:t xml:space="preserve"> element</w:t>
      </w:r>
    </w:p>
    <w:p>
      <w:pPr>
        <w:pStyle w:val="Lista4"/>
      </w:pPr>
      <w:r>
        <w:t>if such a hyphen also serves for compound segmentation, optionally retain the hyphen, but move it after the line beginning tag</w:t>
      </w:r>
    </w:p>
    <w:p>
      <w:pPr>
        <w:pStyle w:val="Lista2"/>
      </w:pPr>
      <w:r>
        <w:rPr>
          <w:b/>
          <w:bCs/>
        </w:rPr>
        <w:t>double hyphens</w:t>
      </w:r>
      <w:r>
        <w:t xml:space="preserve"> </w:t>
      </w:r>
      <w:r>
        <w:rPr>
          <w:noProof/>
        </w:rPr>
        <w:t>(</w:t>
      </w:r>
      <w:r>
        <w:t>or equals signs)</w:t>
      </w:r>
      <w:r>
        <w:rPr>
          <w:rStyle w:val="Lbjegyzet-hivatkozs"/>
        </w:rPr>
        <w:footnoteReference w:id="45"/>
      </w:r>
      <w:r>
        <w:t xml:space="preserve"> normally become spaces</w:t>
      </w:r>
    </w:p>
    <w:p>
      <w:pPr>
        <w:pStyle w:val="Lista3"/>
      </w:pPr>
      <w:r>
        <w:t xml:space="preserve">but when used between words fused in vowel </w:t>
      </w:r>
      <w:r>
        <w:rPr>
          <w:rStyle w:val="Foreign"/>
        </w:rPr>
        <w:t>saṁdhi</w:t>
      </w:r>
      <w:r>
        <w:t xml:space="preserve"> </w:t>
      </w:r>
      <w:r>
        <w:rPr>
          <w:noProof/>
        </w:rPr>
        <w:t>(</w:t>
      </w:r>
      <w:r>
        <w:t xml:space="preserve">e.g. </w:t>
      </w:r>
      <w:r>
        <w:rPr>
          <w:rStyle w:val="Foreign"/>
        </w:rPr>
        <w:t>c=āpi</w:t>
      </w:r>
      <w:r>
        <w:t>), they are discarded</w:t>
      </w:r>
    </w:p>
    <w:p>
      <w:pPr>
        <w:pStyle w:val="Lista"/>
      </w:pPr>
      <w:r>
        <w:rPr>
          <w:b/>
          <w:bCs/>
        </w:rPr>
        <w:t xml:space="preserve">round parentheses </w:t>
      </w:r>
      <w:r>
        <w:rPr>
          <w:b/>
          <w:bCs/>
          <w:noProof/>
        </w:rPr>
        <w:t>(</w:t>
      </w:r>
      <w:r>
        <w:rPr>
          <w:b/>
          <w:bCs/>
        </w:rPr>
        <w:t>)</w:t>
      </w:r>
    </w:p>
    <w:p>
      <w:pPr>
        <w:pStyle w:val="Lista2"/>
      </w:pPr>
      <w:r>
        <w:t>with only text inside, to mark an editorial correction of the text preceding the parenthetical text</w:t>
      </w:r>
    </w:p>
    <w:p>
      <w:pPr>
        <w:pStyle w:val="Lista3"/>
      </w:pPr>
      <w:r>
        <w:t xml:space="preserve">the corresponding markup in EpiDoc is correction or normalisation by substitution </w:t>
      </w:r>
      <w:r>
        <w:rPr>
          <w:noProof/>
        </w:rPr>
        <w:t>(</w:t>
      </w:r>
      <w:r>
        <w:t>§</w:t>
      </w:r>
      <w:r>
        <w:fldChar w:fldCharType="begin"/>
      </w:r>
      <w:r>
        <w:instrText xml:space="preserve"> REF _Ref228885848 \r \h </w:instrText>
      </w:r>
      <w:r>
        <w:fldChar w:fldCharType="separate"/>
      </w:r>
      <w:r>
        <w:t>7.5.1.2</w:t>
      </w:r>
      <w:r>
        <w:fldChar w:fldCharType="end"/>
      </w:r>
      <w:r>
        <w:t>)</w:t>
      </w:r>
    </w:p>
    <w:p>
      <w:pPr>
        <w:pStyle w:val="Lista3"/>
      </w:pPr>
      <w:r>
        <w:t xml:space="preserve">the scope of the correction is normally the same number of </w:t>
      </w:r>
      <w:proofErr w:type="spellStart"/>
      <w:r>
        <w:rPr>
          <w:rStyle w:val="Foreign"/>
        </w:rPr>
        <w:t>akṣara</w:t>
      </w:r>
      <w:r>
        <w:t>s</w:t>
      </w:r>
      <w:proofErr w:type="spellEnd"/>
      <w:r>
        <w:t xml:space="preserve"> as there are within the parentheses </w:t>
      </w:r>
      <w:r>
        <w:rPr>
          <w:noProof/>
        </w:rPr>
        <w:t>(</w:t>
      </w:r>
      <w:r>
        <w:t xml:space="preserve">in most cases, exactly one </w:t>
      </w:r>
      <w:r>
        <w:rPr>
          <w:rStyle w:val="Foreign"/>
        </w:rPr>
        <w:t>akṣara</w:t>
      </w:r>
      <w:r>
        <w:t>)</w:t>
      </w:r>
    </w:p>
    <w:p>
      <w:pPr>
        <w:pStyle w:val="Lista4"/>
      </w:pPr>
      <w:r>
        <w:t xml:space="preserve">but if only part of an </w:t>
      </w:r>
      <w:r>
        <w:rPr>
          <w:rStyle w:val="Foreign"/>
        </w:rPr>
        <w:t>akṣara</w:t>
      </w:r>
      <w:r>
        <w:t xml:space="preserve"> is actually corrected, encode substitution only for the relevant graphemes</w:t>
      </w:r>
    </w:p>
    <w:p>
      <w:pPr>
        <w:pStyle w:val="Lista2"/>
      </w:pPr>
      <w:r>
        <w:t xml:space="preserve">with a question mark inside, </w:t>
      </w:r>
      <w:r>
        <w:rPr>
          <w:noProof/>
        </w:rPr>
        <w:t>(</w:t>
      </w:r>
      <w:r>
        <w:t xml:space="preserve">?) to flag the preceding text </w:t>
      </w:r>
      <w:r>
        <w:rPr>
          <w:noProof/>
        </w:rPr>
        <w:t>(</w:t>
      </w:r>
      <w:r>
        <w:t xml:space="preserve">usually one </w:t>
      </w:r>
      <w:r>
        <w:rPr>
          <w:rStyle w:val="Foreign"/>
        </w:rPr>
        <w:t>akṣara</w:t>
      </w:r>
      <w:r>
        <w:t>) as very uncertainly read</w:t>
      </w:r>
    </w:p>
    <w:p>
      <w:pPr>
        <w:pStyle w:val="Lista3"/>
      </w:pPr>
      <w:r>
        <w:t xml:space="preserve">in our terms, this is unclear with low certainty </w:t>
      </w:r>
      <w:r>
        <w:rPr>
          <w:noProof/>
        </w:rPr>
        <w:t>(</w:t>
      </w:r>
      <w:r>
        <w:t>§</w:t>
      </w:r>
      <w:r>
        <w:fldChar w:fldCharType="begin"/>
      </w:r>
      <w:r>
        <w:instrText xml:space="preserve"> REF _Ref43987867 \w \h  \* MERGEFORMAT </w:instrText>
      </w:r>
      <w:r>
        <w:fldChar w:fldCharType="separate"/>
      </w:r>
      <w:r>
        <w:t>6.3.1.3</w:t>
      </w:r>
      <w:r>
        <w:fldChar w:fldCharType="end"/>
      </w:r>
      <w:r>
        <w:t>)</w:t>
      </w:r>
    </w:p>
    <w:p>
      <w:pPr>
        <w:pStyle w:val="Lista2"/>
      </w:pPr>
      <w:r>
        <w:t>with text and a question mark inside, used in some publications as follows:</w:t>
      </w:r>
    </w:p>
    <w:p>
      <w:pPr>
        <w:pStyle w:val="Lista3"/>
      </w:pPr>
      <w:r>
        <w:rPr>
          <w:noProof/>
        </w:rPr>
        <w:t>(</w:t>
      </w:r>
      <w:r>
        <w:t>?</w:t>
      </w:r>
      <w:proofErr w:type="spellStart"/>
      <w:r>
        <w:t>abc</w:t>
      </w:r>
      <w:proofErr w:type="spellEnd"/>
      <w:r>
        <w:t xml:space="preserve">), with the question mark before the text, to indicate a possible alternative reading </w:t>
      </w:r>
      <w:r>
        <w:rPr>
          <w:noProof/>
        </w:rPr>
        <w:t>(</w:t>
      </w:r>
      <w:r>
        <w:t>§</w:t>
      </w:r>
      <w:r>
        <w:fldChar w:fldCharType="begin"/>
      </w:r>
      <w:r>
        <w:instrText xml:space="preserve"> REF _Ref43987339 \w \h  \* MERGEFORMAT </w:instrText>
      </w:r>
      <w:r>
        <w:fldChar w:fldCharType="separate"/>
      </w:r>
      <w:r>
        <w:t>6.3.2</w:t>
      </w:r>
      <w:r>
        <w:fldChar w:fldCharType="end"/>
      </w:r>
      <w:r>
        <w:t>)</w:t>
      </w:r>
    </w:p>
    <w:p>
      <w:pPr>
        <w:pStyle w:val="Lista3"/>
      </w:pPr>
      <w:r>
        <w:rPr>
          <w:noProof/>
        </w:rPr>
        <w:t>(</w:t>
      </w:r>
      <w:proofErr w:type="spellStart"/>
      <w:r>
        <w:t>abc</w:t>
      </w:r>
      <w:proofErr w:type="spellEnd"/>
      <w:r>
        <w:t xml:space="preserve">?), with the question mark after the text, to indicate a tentative emendation </w:t>
      </w:r>
      <w:r>
        <w:rPr>
          <w:noProof/>
        </w:rPr>
        <w:t>(</w:t>
      </w:r>
      <w:r>
        <w:t>which we do not encode as such; the tentativeness of an emendation encoded as per §</w:t>
      </w:r>
      <w:r>
        <w:fldChar w:fldCharType="begin"/>
      </w:r>
      <w:r>
        <w:instrText xml:space="preserve"> REF _Ref228872858 \r \h </w:instrText>
      </w:r>
      <w:r>
        <w:fldChar w:fldCharType="separate"/>
      </w:r>
      <w:r>
        <w:t>7.5</w:t>
      </w:r>
      <w:r>
        <w:fldChar w:fldCharType="end"/>
      </w:r>
      <w:r>
        <w:t xml:space="preserve"> may be indicated in an apparatus note)</w:t>
      </w:r>
    </w:p>
    <w:p>
      <w:pPr>
        <w:pStyle w:val="Lista"/>
      </w:pPr>
      <w:r>
        <w:rPr>
          <w:b/>
          <w:bCs/>
        </w:rPr>
        <w:t>square brackets []</w:t>
      </w:r>
    </w:p>
    <w:p>
      <w:pPr>
        <w:pStyle w:val="Lista2"/>
      </w:pPr>
      <w:r>
        <w:t>1. wrapping “letters which are much damaged and nearly illegible in the original”</w:t>
      </w:r>
    </w:p>
    <w:p>
      <w:pPr>
        <w:pStyle w:val="Lista3"/>
      </w:pPr>
      <w:r>
        <w:t xml:space="preserve">this normally corresponds to our “unclear” category </w:t>
      </w:r>
      <w:r>
        <w:rPr>
          <w:noProof/>
        </w:rPr>
        <w:t>(</w:t>
      </w:r>
      <w:r>
        <w:t>§</w:t>
      </w:r>
      <w:r>
        <w:fldChar w:fldCharType="begin"/>
      </w:r>
      <w:r>
        <w:instrText xml:space="preserve"> REF _Ref232089485 \r \h </w:instrText>
      </w:r>
      <w:r>
        <w:fldChar w:fldCharType="separate"/>
      </w:r>
      <w:r>
        <w:t>6.3.1</w:t>
      </w:r>
      <w:r>
        <w:fldChar w:fldCharType="end"/>
      </w:r>
      <w:r>
        <w:t>), in some cases with low certainty</w:t>
      </w:r>
    </w:p>
    <w:p>
      <w:pPr>
        <w:pStyle w:val="Lista2"/>
      </w:pPr>
      <w:r>
        <w:t>2. wrapping “letters … which, being wholly illegible, can be supplied with certainty”</w:t>
      </w:r>
    </w:p>
    <w:p>
      <w:pPr>
        <w:pStyle w:val="Lista3"/>
      </w:pPr>
      <w:r>
        <w:t xml:space="preserve">i.e. normally “supplied” in our terminology </w:t>
      </w:r>
      <w:r>
        <w:rPr>
          <w:noProof/>
        </w:rPr>
        <w:t>(</w:t>
      </w:r>
      <w:r>
        <w:t>§</w:t>
      </w:r>
      <w:r>
        <w:fldChar w:fldCharType="begin"/>
      </w:r>
      <w:r>
        <w:instrText xml:space="preserve"> REF _Ref228459751 \r \h </w:instrText>
      </w:r>
      <w:r>
        <w:fldChar w:fldCharType="separate"/>
      </w:r>
      <w:r>
        <w:t>6.4</w:t>
      </w:r>
      <w:r>
        <w:fldChar w:fldCharType="end"/>
      </w:r>
      <w:r>
        <w:t>)</w:t>
      </w:r>
    </w:p>
    <w:p>
      <w:pPr>
        <w:pStyle w:val="Lista3"/>
      </w:pPr>
      <w:r>
        <w:t>it is usually not possible to distinguish 2 from 1 without studying a facsimile of the inscription; if you cannot do this and you are only transcribing a printed edition to EpiDoc, encode both as unclear</w:t>
      </w:r>
    </w:p>
    <w:p>
      <w:pPr>
        <w:pStyle w:val="Lista2"/>
      </w:pPr>
      <w:r>
        <w:lastRenderedPageBreak/>
        <w:t>3. containing text followed by a question mark, [</w:t>
      </w:r>
      <w:proofErr w:type="spellStart"/>
      <w:r>
        <w:t>abc</w:t>
      </w:r>
      <w:proofErr w:type="spellEnd"/>
      <w:r>
        <w:t>?] is used by some editors to indicate tentatively or conjecturally read text</w:t>
      </w:r>
    </w:p>
    <w:p>
      <w:pPr>
        <w:pStyle w:val="Lista3"/>
      </w:pPr>
      <w:r>
        <w:t xml:space="preserve">this usually corresponds to </w:t>
      </w:r>
      <w:r>
        <w:rPr>
          <w:rStyle w:val="Code"/>
        </w:rPr>
        <w:t>&lt;unclear&gt;</w:t>
      </w:r>
      <w:r>
        <w:t xml:space="preserve"> with low certainty </w:t>
      </w:r>
      <w:r>
        <w:rPr>
          <w:noProof/>
        </w:rPr>
        <w:t>(</w:t>
      </w:r>
      <w:r>
        <w:t>§</w:t>
      </w:r>
      <w:r>
        <w:fldChar w:fldCharType="begin"/>
      </w:r>
      <w:r>
        <w:instrText xml:space="preserve"> REF _Ref43987867 \r \h  \* MERGEFORMAT </w:instrText>
      </w:r>
      <w:r>
        <w:fldChar w:fldCharType="separate"/>
      </w:r>
      <w:r>
        <w:t>6.3.1.3</w:t>
      </w:r>
      <w:r>
        <w:fldChar w:fldCharType="end"/>
      </w:r>
      <w:r>
        <w:t>)</w:t>
      </w:r>
    </w:p>
    <w:p>
      <w:pPr>
        <w:pStyle w:val="Lista2"/>
      </w:pPr>
      <w:r>
        <w:t>4. containing text followed by an asterisk, [</w:t>
      </w:r>
      <w:proofErr w:type="spellStart"/>
      <w:r>
        <w:t>abc</w:t>
      </w:r>
      <w:proofErr w:type="spellEnd"/>
      <w:r>
        <w:t>*] in principle means editorial restoration of characters omitted by the original scribe, but in the actual practice of some editors it seems to be used for function 2 above</w:t>
      </w:r>
    </w:p>
    <w:p>
      <w:pPr>
        <w:pStyle w:val="Lista3"/>
      </w:pPr>
      <w:r>
        <w:t>for the editorial restitution of omission, see §</w:t>
      </w:r>
      <w:r>
        <w:fldChar w:fldCharType="begin"/>
      </w:r>
      <w:r>
        <w:instrText xml:space="preserve"> REF _Ref229056324 \r \h </w:instrText>
      </w:r>
      <w:r>
        <w:fldChar w:fldCharType="separate"/>
      </w:r>
      <w:r>
        <w:t>7.5.3</w:t>
      </w:r>
      <w:r>
        <w:fldChar w:fldCharType="end"/>
      </w:r>
      <w:r>
        <w:t xml:space="preserve"> </w:t>
      </w:r>
    </w:p>
    <w:p>
      <w:pPr>
        <w:pStyle w:val="Lista4"/>
      </w:pPr>
      <w:r>
        <w:t xml:space="preserve">note that earlier editors usually supply punctuation marks and numbers in stanzas, which you should not do </w:t>
      </w:r>
      <w:r>
        <w:rPr>
          <w:noProof/>
        </w:rPr>
        <w:t>(</w:t>
      </w:r>
      <w:r>
        <w:t>§</w:t>
      </w:r>
      <w:r>
        <w:fldChar w:fldCharType="begin"/>
      </w:r>
      <w:r>
        <w:instrText xml:space="preserve"> REF _Ref229060537 \r \h </w:instrText>
      </w:r>
      <w:r>
        <w:fldChar w:fldCharType="separate"/>
      </w:r>
      <w:r>
        <w:t>7.8.3</w:t>
      </w:r>
      <w:r>
        <w:fldChar w:fldCharType="end"/>
      </w:r>
      <w:r>
        <w:t>)</w:t>
      </w:r>
    </w:p>
    <w:p>
      <w:pPr>
        <w:pStyle w:val="Lista3"/>
      </w:pPr>
      <w:r>
        <w:t>if possible, look at a facsimile to check whether this editorial markup stands for a scribal omission or for lost and supplied text; if this is not possible, assume that square brackets with an asterisk stand for scribal omission</w:t>
      </w:r>
    </w:p>
    <w:p>
      <w:pPr>
        <w:pStyle w:val="Lista2"/>
      </w:pPr>
      <w:r>
        <w:t>5. prosodic notation in square brackets indicates a lacuna of known metre, to be marked up as per §</w:t>
      </w:r>
      <w:r>
        <w:fldChar w:fldCharType="begin"/>
      </w:r>
      <w:r>
        <w:instrText xml:space="preserve"> REF _Ref228275301 \r \h </w:instrText>
      </w:r>
      <w:r>
        <w:fldChar w:fldCharType="separate"/>
      </w:r>
      <w:r>
        <w:t>6.5.2.3</w:t>
      </w:r>
      <w:r>
        <w:fldChar w:fldCharType="end"/>
      </w:r>
    </w:p>
    <w:p>
      <w:pPr>
        <w:pStyle w:val="Lista"/>
      </w:pPr>
      <w:r>
        <w:t>plain transliterated text</w:t>
      </w:r>
    </w:p>
    <w:p>
      <w:pPr>
        <w:pStyle w:val="Lista2"/>
      </w:pPr>
      <w:r>
        <w:t>bear in mind that unclear markup in EpiDoc should be used when the interpretation of a character would be ambiguous without its context, i.e. more frequently than in most earlier printed editions</w:t>
      </w:r>
    </w:p>
    <w:p>
      <w:pPr>
        <w:pStyle w:val="Lista2"/>
      </w:pPr>
      <w:r>
        <w:t xml:space="preserve">the same applies, to a lesser degree, to restorations: if a character </w:t>
      </w:r>
      <w:r>
        <w:rPr>
          <w:noProof/>
        </w:rPr>
        <w:t>(</w:t>
      </w:r>
      <w:r>
        <w:t>or component) is completely indistinct in a good facsimile or the original support, feel free to mark it up as supplied even if the print edition shows it as merely unclear or clearly read</w:t>
      </w:r>
    </w:p>
    <w:p>
      <w:pPr>
        <w:pStyle w:val="Lista"/>
      </w:pPr>
      <w:r>
        <w:t>dots or other signs indicating lacunae</w:t>
      </w:r>
    </w:p>
    <w:p>
      <w:pPr>
        <w:pStyle w:val="Lista2"/>
      </w:pPr>
      <w:r>
        <w:t xml:space="preserve">CII normally uses dots for lacunae, roughly indicating their size by the rule of “two dots correspond to one </w:t>
      </w:r>
      <w:r>
        <w:rPr>
          <w:rStyle w:val="Foreign"/>
        </w:rPr>
        <w:t>akṣara</w:t>
      </w:r>
      <w:r>
        <w:t xml:space="preserve">” </w:t>
      </w:r>
      <w:r>
        <w:rPr>
          <w:noProof/>
        </w:rPr>
        <w:t>(</w:t>
      </w:r>
      <w:r>
        <w:t>single dots may mean a lost vowel or a lost consonant)</w:t>
      </w:r>
    </w:p>
    <w:p>
      <w:pPr>
        <w:pStyle w:val="Lista2"/>
      </w:pPr>
      <w:r>
        <w:t xml:space="preserve">other editors may use asterisks or underscores, each corresponding to an </w:t>
      </w:r>
      <w:r>
        <w:rPr>
          <w:rStyle w:val="Foreign"/>
        </w:rPr>
        <w:t>akṣara</w:t>
      </w:r>
      <w:r>
        <w:t>, though this correspondence may be extremely inaccurate in some editions</w:t>
      </w:r>
    </w:p>
    <w:p>
      <w:pPr>
        <w:pStyle w:val="Lista2"/>
      </w:pPr>
      <w:r>
        <w:t>see §</w:t>
      </w:r>
      <w:r>
        <w:fldChar w:fldCharType="begin"/>
      </w:r>
      <w:r>
        <w:instrText xml:space="preserve"> REF _Ref228460110 \r \h </w:instrText>
      </w:r>
      <w:r>
        <w:fldChar w:fldCharType="separate"/>
      </w:r>
      <w:r>
        <w:t>6.5</w:t>
      </w:r>
      <w:r>
        <w:fldChar w:fldCharType="end"/>
      </w:r>
      <w:r>
        <w:t xml:space="preserve"> about handling lacunae in EpiDoc</w:t>
      </w:r>
    </w:p>
    <w:p>
      <w:pPr>
        <w:pStyle w:val="Cmsor2"/>
        <w:numPr>
          <w:ilvl w:val="1"/>
          <w:numId w:val="7"/>
        </w:numPr>
      </w:pPr>
      <w:r>
        <w:t>Assimilating Pre-existing Corpora into DHARMA</w:t>
      </w:r>
    </w:p>
    <w:p>
      <w:pPr>
        <w:pStyle w:val="Cmsor3"/>
        <w:numPr>
          <w:ilvl w:val="2"/>
          <w:numId w:val="7"/>
        </w:numPr>
      </w:pPr>
      <w:bookmarkStart w:id="1065" w:name="_Toc242976746"/>
      <w:r>
        <w:t>Crediting the previous digital editor(s)</w:t>
      </w:r>
      <w:bookmarkEnd w:id="1065"/>
    </w:p>
    <w:p>
      <w:r>
        <w:t>As per §</w:t>
      </w:r>
      <w:r>
        <w:fldChar w:fldCharType="begin"/>
      </w:r>
      <w:r>
        <w:instrText xml:space="preserve"> REF _Ref240273632 \r \h </w:instrText>
      </w:r>
      <w:r>
        <w:fldChar w:fldCharType="separate"/>
      </w:r>
      <w:r>
        <w:t>15.1.2</w:t>
      </w:r>
      <w:r>
        <w:fldChar w:fldCharType="end"/>
      </w:r>
      <w:r>
        <w:t>, the responsibility statement in the TEI header need only mention the people who have worked on the current DHARMA edition. Credit to the creator of a pre-existing digital edition shall be given in the form of free text in the epigraphic lemma (§</w:t>
      </w:r>
      <w:r>
        <w:fldChar w:fldCharType="begin"/>
      </w:r>
      <w:r>
        <w:instrText xml:space="preserve"> REF _Ref233623221 \r \h </w:instrText>
      </w:r>
      <w:r>
        <w:fldChar w:fldCharType="separate"/>
      </w:r>
      <w:r>
        <w:t>13.2</w:t>
      </w:r>
      <w:r>
        <w:fldChar w:fldCharType="end"/>
      </w:r>
      <w:r>
        <w:t>) in the same way as for pre-existing printed editions.</w:t>
      </w:r>
    </w:p>
    <w:p>
      <w:pPr>
        <w:pStyle w:val="Lista"/>
      </w:pPr>
      <w:r>
        <w:t>if you use an unencoded e-text as a starting point for your edition, choose at your discretion whether or not to mention the creator of the e-text, based on the amount and quality of work that had gone into it</w:t>
      </w:r>
    </w:p>
    <w:p>
      <w:pPr>
        <w:pStyle w:val="Lista"/>
      </w:pPr>
      <w:r>
        <w:t>the same part of the epigraphic lemma should also mention whether you, as the creator of the DHARMA edition, have only updated the encoding to the DHARMA standard or also revised the edition</w:t>
      </w:r>
    </w:p>
    <w:p>
      <w:pPr>
        <w:pStyle w:val="Cmsor3"/>
        <w:numPr>
          <w:ilvl w:val="2"/>
          <w:numId w:val="7"/>
        </w:numPr>
      </w:pPr>
      <w:bookmarkStart w:id="1066" w:name="_Toc242976747"/>
      <w:r>
        <w:t>Referring to the ingested digital edition</w:t>
      </w:r>
      <w:bookmarkEnd w:id="1066"/>
    </w:p>
    <w:p>
      <w:r>
        <w:t>The preferred manner of referring to digital editions encoded before or outside the DHARMA project and reused for a DHARMA edition is to create a Zotero entry (item type: dataset) for a long-term archival version of the corpus in question (such as one stored on Zenodo), and then to refer to specific editions as “items” (§</w:t>
      </w:r>
      <w:r>
        <w:fldChar w:fldCharType="begin"/>
      </w:r>
      <w:r>
        <w:instrText xml:space="preserve"> REF _Ref233811283 \r \h </w:instrText>
      </w:r>
      <w:r>
        <w:fldChar w:fldCharType="separate"/>
      </w:r>
      <w:r>
        <w:t>14.6.1.2</w:t>
      </w:r>
      <w:r>
        <w:fldChar w:fldCharType="end"/>
      </w:r>
      <w:r>
        <w:t>) within that corpus. This ensures that the ingested edition can still be accessed at a future time, and be accessed exactly in the form in which it was used as a starting point for a DHARMA edition. Conversely, project websites where digital editions were originally published may become defunct or evolve over time. That said, feel free to deviate from this recommendation after considering the nature and foreseeable future of the digital edition you are ingesting.</w:t>
      </w:r>
    </w:p>
    <w:p>
      <w:pPr>
        <w:pStyle w:val="Lista"/>
        <w:rPr>
          <w:rStyle w:val="Code"/>
          <w:rFonts w:ascii="Gentium" w:hAnsi="Gentium" w:cs="Tiro Devanagari Sanskrit"/>
          <w:noProof w:val="0"/>
          <w:color w:val="auto"/>
          <w:shd w:val="clear" w:color="auto" w:fill="auto"/>
        </w:rPr>
      </w:pPr>
      <w:r>
        <w:t xml:space="preserve">an encoded example of the preferred form of reference: </w:t>
      </w:r>
      <w:r>
        <w:rPr>
          <w:rStyle w:val="Code"/>
        </w:rPr>
        <w:t xml:space="preserve">&lt;bibl&gt;&lt;ptr </w:t>
      </w:r>
      <w:r>
        <w:rPr>
          <w:rStyle w:val="Codeattribute"/>
        </w:rPr>
        <w:t>target=</w:t>
      </w:r>
      <w:r>
        <w:rPr>
          <w:rStyle w:val="Codevalue"/>
        </w:rPr>
        <w:t>"bib:Balogh2019_03"</w:t>
      </w:r>
      <w:r>
        <w:rPr>
          <w:rStyle w:val="Code"/>
        </w:rPr>
        <w:t xml:space="preserve">/&gt;&lt;citedRange </w:t>
      </w:r>
      <w:r>
        <w:rPr>
          <w:rStyle w:val="Codeattribute"/>
        </w:rPr>
        <w:t>unit=</w:t>
      </w:r>
      <w:r>
        <w:rPr>
          <w:rStyle w:val="Codevalue"/>
        </w:rPr>
        <w:t>"item"</w:t>
      </w:r>
      <w:r>
        <w:rPr>
          <w:rStyle w:val="Code"/>
        </w:rPr>
        <w:t>&gt;</w:t>
      </w:r>
      <w:r>
        <w:rPr>
          <w:rStyle w:val="Codetext"/>
        </w:rPr>
        <w:t>IN00070</w:t>
      </w:r>
      <w:r>
        <w:rPr>
          <w:rStyle w:val="Code"/>
        </w:rPr>
        <w:t>&lt;/citedRange&gt;&lt;/bibl&gt;</w:t>
      </w:r>
    </w:p>
    <w:p>
      <w:pPr>
        <w:pStyle w:val="Lista"/>
      </w:pPr>
      <w:r>
        <w:lastRenderedPageBreak/>
        <w:t>such a reference shall be included in the primary bibliography of the DHARMA edition with a siglum (§</w:t>
      </w:r>
      <w:r>
        <w:fldChar w:fldCharType="begin"/>
      </w:r>
      <w:r>
        <w:instrText xml:space="preserve"> REF _Ref233625904 \r \h </w:instrText>
      </w:r>
      <w:r>
        <w:fldChar w:fldCharType="separate"/>
      </w:r>
      <w:r>
        <w:t>13.3.3</w:t>
      </w:r>
      <w:r>
        <w:fldChar w:fldCharType="end"/>
      </w:r>
      <w:r>
        <w:t>) that allows citing its readings in the apparatus if applicable</w:t>
      </w:r>
    </w:p>
    <w:p>
      <w:pPr>
        <w:pStyle w:val="Lista2"/>
      </w:pPr>
      <w:r>
        <w:t>whether or not you cite readings of the earlier digital edition in your apparatus shall be decided on a case by case basis depending on</w:t>
      </w:r>
    </w:p>
    <w:p>
      <w:pPr>
        <w:pStyle w:val="Lista3"/>
      </w:pPr>
      <w:r>
        <w:t>how you judge the extent of intellectual contribution of the earlier editor to the edition</w:t>
      </w:r>
    </w:p>
    <w:p>
      <w:pPr>
        <w:pStyle w:val="Lista4"/>
      </w:pPr>
      <w:r>
        <w:t>if the earlier digital edition is just a “digital facsimile” of a printed edition, then preferably cite the readings from that printed edition instead</w:t>
      </w:r>
    </w:p>
    <w:p>
      <w:pPr>
        <w:pStyle w:val="Lista3"/>
      </w:pPr>
      <w:r>
        <w:t>and on whether or not you collaborate with the earlier editor in creating the DHARMA edition</w:t>
      </w:r>
    </w:p>
    <w:p>
      <w:pPr>
        <w:pStyle w:val="Lista4"/>
      </w:pPr>
      <w:r>
        <w:t>if the earlier editor is one of the creators of the current DHARMA edition, then citing to earlier readings by the same person is usually not essential</w:t>
      </w:r>
    </w:p>
    <w:p>
      <w:pPr>
        <w:pStyle w:val="Cmsor3"/>
        <w:numPr>
          <w:ilvl w:val="2"/>
          <w:numId w:val="7"/>
        </w:numPr>
      </w:pPr>
      <w:bookmarkStart w:id="1067" w:name="_Toc242976748"/>
      <w:r>
        <w:t>Manual revision of the encoding</w:t>
      </w:r>
      <w:bookmarkEnd w:id="1067"/>
    </w:p>
    <w:p>
      <w:pPr>
        <w:pStyle w:val="Lista"/>
      </w:pPr>
      <w:r>
        <w:t>what kind of revision is necessary depends on the specific encoding conventions of the ingested document, but in general you will probably need to pay attention to the following details</w:t>
      </w:r>
    </w:p>
    <w:p>
      <w:pPr>
        <w:pStyle w:val="Lista2"/>
      </w:pPr>
      <w:r>
        <w:t>check editorial punctuation (§6.3.6) and change as desired or remove where not applicable (e.g. at the ends of stanzas and hemistichs)</w:t>
      </w:r>
    </w:p>
    <w:p>
      <w:pPr>
        <w:pStyle w:val="Lista2"/>
      </w:pPr>
      <w:r>
        <w:t>check encoded spaces (§4.3) and supply as applicable</w:t>
      </w:r>
    </w:p>
    <w:p>
      <w:pPr>
        <w:pStyle w:val="Lista2"/>
      </w:pPr>
      <w:r>
        <w:t>encode abbreviations (§</w:t>
      </w:r>
      <w:r>
        <w:fldChar w:fldCharType="begin"/>
      </w:r>
      <w:r>
        <w:instrText xml:space="preserve"> REF _Ref232002201 \r \h </w:instrText>
      </w:r>
      <w:r>
        <w:fldChar w:fldCharType="separate"/>
      </w:r>
      <w:r>
        <w:t>9.2</w:t>
      </w:r>
      <w:r>
        <w:fldChar w:fldCharType="end"/>
      </w:r>
      <w:r>
        <w:t>) as desired and applicable</w:t>
      </w:r>
    </w:p>
    <w:p>
      <w:pPr>
        <w:pStyle w:val="Lista2"/>
      </w:pPr>
      <w:r>
        <w:t xml:space="preserve">check editorial </w:t>
      </w:r>
      <w:proofErr w:type="spellStart"/>
      <w:r>
        <w:rPr>
          <w:rStyle w:val="Foreign"/>
        </w:rPr>
        <w:t>avagraha</w:t>
      </w:r>
      <w:r>
        <w:t>s</w:t>
      </w:r>
      <w:proofErr w:type="spellEnd"/>
      <w:r>
        <w:t xml:space="preserve"> (§6.3.7) and supply as desired</w:t>
      </w:r>
    </w:p>
    <w:p>
      <w:pPr>
        <w:pStyle w:val="Lista"/>
      </w:pPr>
      <w:r>
        <w:t xml:space="preserve">any </w:t>
      </w:r>
      <w:r>
        <w:rPr>
          <w:rStyle w:val="Code"/>
        </w:rPr>
        <w:t>&lt;revisionDesc&gt;</w:t>
      </w:r>
      <w:r>
        <w:t xml:space="preserve"> content present in the ingested document shall be deleted and replaced with a single </w:t>
      </w:r>
      <w:r>
        <w:rPr>
          <w:rStyle w:val="Code"/>
        </w:rPr>
        <w:t>&lt;change&gt;</w:t>
      </w:r>
      <w:r>
        <w:t xml:space="preserve"> element for the creation of the DHARMA edition as per §</w:t>
      </w:r>
      <w:r>
        <w:fldChar w:fldCharType="begin"/>
      </w:r>
      <w:r>
        <w:instrText xml:space="preserve"> REF _Ref240276652 \r \h </w:instrText>
      </w:r>
      <w:r>
        <w:fldChar w:fldCharType="separate"/>
      </w:r>
      <w:r>
        <w:t>15.3</w:t>
      </w:r>
      <w:r>
        <w:fldChar w:fldCharType="end"/>
      </w:r>
    </w:p>
    <w:p>
      <w:pPr>
        <w:pStyle w:val="Lista2"/>
      </w:pPr>
      <w:r>
        <w:t xml:space="preserve">if the revision of the encoding takes place in steps separated by time, add further </w:t>
      </w:r>
      <w:r>
        <w:rPr>
          <w:rStyle w:val="Code"/>
        </w:rPr>
        <w:t>&lt;change&gt;</w:t>
      </w:r>
      <w:r>
        <w:t xml:space="preserve"> elements as applicable</w:t>
      </w:r>
    </w:p>
    <w:p/>
    <w:p/>
    <w:p>
      <w:pPr>
        <w:pStyle w:val="Cmsor1"/>
        <w:numPr>
          <w:ilvl w:val="0"/>
          <w:numId w:val="0"/>
        </w:numPr>
      </w:pPr>
      <w:bookmarkStart w:id="1068" w:name="_td0xcb1s1fvx" w:colFirst="0" w:colLast="0"/>
      <w:bookmarkEnd w:id="1068"/>
      <w:r>
        <w:lastRenderedPageBreak/>
        <w:t>References</w:t>
      </w:r>
    </w:p>
    <w:p>
      <w:pPr>
        <w:pStyle w:val="Irodalomjegyzk"/>
      </w:pPr>
      <w:r>
        <w:t xml:space="preserve">Apte, </w:t>
      </w:r>
      <w:proofErr w:type="spellStart"/>
      <w:r>
        <w:t>Vaman</w:t>
      </w:r>
      <w:proofErr w:type="spellEnd"/>
      <w:r>
        <w:t xml:space="preserve"> Shivaram. 1957. </w:t>
      </w:r>
      <w:r>
        <w:rPr>
          <w:rStyle w:val="Foreign"/>
        </w:rPr>
        <w:t>Revised and enlarged edition of Prin. V. S. Apte’s The practical Sanskrit-English dictionary</w:t>
      </w:r>
      <w:r>
        <w:t xml:space="preserve">. Edited by P. K. </w:t>
      </w:r>
      <w:proofErr w:type="spellStart"/>
      <w:r>
        <w:t>Gode</w:t>
      </w:r>
      <w:proofErr w:type="spellEnd"/>
      <w:r>
        <w:t xml:space="preserve"> and C. G. </w:t>
      </w:r>
      <w:proofErr w:type="spellStart"/>
      <w:r>
        <w:t>Karve</w:t>
      </w:r>
      <w:proofErr w:type="spellEnd"/>
      <w:r>
        <w:t xml:space="preserve">. Poona: Prasad </w:t>
      </w:r>
      <w:proofErr w:type="spellStart"/>
      <w:r>
        <w:t>Prakashan</w:t>
      </w:r>
      <w:proofErr w:type="spellEnd"/>
      <w:r>
        <w:t>.</w:t>
      </w:r>
    </w:p>
    <w:p>
      <w:pPr>
        <w:pStyle w:val="Irodalomjegyzk"/>
      </w:pPr>
      <w:r>
        <w:t xml:space="preserve">Arnold, Edward Vernon. 1905. </w:t>
      </w:r>
      <w:r>
        <w:rPr>
          <w:rStyle w:val="Foreign"/>
        </w:rPr>
        <w:t>Vedic Metre in Its Historical Development</w:t>
      </w:r>
      <w:r>
        <w:t>. Cambridge: Cambridge University Press.</w:t>
      </w:r>
    </w:p>
    <w:p>
      <w:pPr>
        <w:pStyle w:val="Irodalomjegyzk"/>
      </w:pPr>
      <w:r>
        <w:t xml:space="preserve">Birnbaum, David J. 2015. </w:t>
      </w:r>
      <w:r>
        <w:rPr>
          <w:rStyle w:val="Foreign"/>
        </w:rPr>
        <w:t>What is XML and why should humanists care? An even gentler introduction to XML</w:t>
      </w:r>
      <w:r>
        <w:t xml:space="preserve">. </w:t>
      </w:r>
      <w:hyperlink r:id="rId87" w:history="1">
        <w:r>
          <w:rPr>
            <w:rStyle w:val="Hiperhivatkozs"/>
          </w:rPr>
          <w:t>http://dh.obdurodon.org/what-is-xml.xhtml</w:t>
        </w:r>
      </w:hyperlink>
      <w:r>
        <w:rPr>
          <w:rStyle w:val="Hiperhivatkozs"/>
        </w:rPr>
        <w:t xml:space="preserve"> </w:t>
      </w:r>
    </w:p>
    <w:p>
      <w:pPr>
        <w:pStyle w:val="Irodalomjegyzk"/>
      </w:pPr>
      <w:r>
        <w:t xml:space="preserve">Bodard, Gabriel. 2010. ‘EpiDoc: Epigraphic Documents in XML for Publication and Interchange’. In </w:t>
      </w:r>
      <w:r>
        <w:rPr>
          <w:rStyle w:val="Foreign"/>
        </w:rPr>
        <w:t>Latin on Stone: Epigraphic Research and Electronic Archives</w:t>
      </w:r>
      <w:r>
        <w:t xml:space="preserve">, edited by Francisca </w:t>
      </w:r>
      <w:proofErr w:type="spellStart"/>
      <w:r>
        <w:t>Feraudi-Gruénais</w:t>
      </w:r>
      <w:proofErr w:type="spellEnd"/>
      <w:r>
        <w:t xml:space="preserve">, 101–18. Lanham: Lexington Books. </w:t>
      </w:r>
      <w:hyperlink r:id="rId88" w:history="1">
        <w:r>
          <w:rPr>
            <w:rStyle w:val="Hiperhivatkozs"/>
          </w:rPr>
          <w:t>https://blog.stoa.org/files/2010/09/Chapter05_EpiDoc_Bodard.pdf</w:t>
        </w:r>
      </w:hyperlink>
    </w:p>
    <w:p>
      <w:pPr>
        <w:pStyle w:val="Irodalomjegyzk"/>
      </w:pPr>
      <w:proofErr w:type="spellStart"/>
      <w:r>
        <w:t>Colebrooke</w:t>
      </w:r>
      <w:proofErr w:type="spellEnd"/>
      <w:r>
        <w:t xml:space="preserve">, Henry Thomas. 1873. </w:t>
      </w:r>
      <w:r>
        <w:rPr>
          <w:rStyle w:val="Foreign"/>
        </w:rPr>
        <w:t>Miscellaneous Essays</w:t>
      </w:r>
      <w:r>
        <w:t xml:space="preserve">. Vol. 3. London: </w:t>
      </w:r>
      <w:proofErr w:type="spellStart"/>
      <w:r>
        <w:t>Trübner</w:t>
      </w:r>
      <w:proofErr w:type="spellEnd"/>
      <w:r>
        <w:t>.</w:t>
      </w:r>
    </w:p>
    <w:p>
      <w:pPr>
        <w:pStyle w:val="Irodalomjegyzk"/>
      </w:pPr>
      <w:proofErr w:type="spellStart"/>
      <w:r>
        <w:t>Damais</w:t>
      </w:r>
      <w:proofErr w:type="spellEnd"/>
      <w:r>
        <w:t xml:space="preserve">, Louis-Charles. 1952. ‘Études </w:t>
      </w:r>
      <w:proofErr w:type="spellStart"/>
      <w:r>
        <w:t>d’épigraphie</w:t>
      </w:r>
      <w:proofErr w:type="spellEnd"/>
      <w:r>
        <w:t xml:space="preserve"> </w:t>
      </w:r>
      <w:proofErr w:type="spellStart"/>
      <w:r>
        <w:t>indonésienne</w:t>
      </w:r>
      <w:proofErr w:type="spellEnd"/>
      <w:r>
        <w:t xml:space="preserve">, III: </w:t>
      </w:r>
      <w:proofErr w:type="spellStart"/>
      <w:r>
        <w:t>liste</w:t>
      </w:r>
      <w:proofErr w:type="spellEnd"/>
      <w:r>
        <w:t xml:space="preserve"> des </w:t>
      </w:r>
      <w:proofErr w:type="spellStart"/>
      <w:r>
        <w:t>principales</w:t>
      </w:r>
      <w:proofErr w:type="spellEnd"/>
      <w:r>
        <w:t xml:space="preserve"> inscriptions </w:t>
      </w:r>
      <w:proofErr w:type="spellStart"/>
      <w:r>
        <w:t>datées</w:t>
      </w:r>
      <w:proofErr w:type="spellEnd"/>
      <w:r>
        <w:t xml:space="preserve"> de </w:t>
      </w:r>
      <w:proofErr w:type="spellStart"/>
      <w:r>
        <w:t>l’Indonésie</w:t>
      </w:r>
      <w:proofErr w:type="spellEnd"/>
      <w:r>
        <w:t xml:space="preserve">’. Bulletin de </w:t>
      </w:r>
      <w:proofErr w:type="spellStart"/>
      <w:r>
        <w:t>l’École</w:t>
      </w:r>
      <w:proofErr w:type="spellEnd"/>
      <w:r>
        <w:t xml:space="preserve"> </w:t>
      </w:r>
      <w:proofErr w:type="spellStart"/>
      <w:r>
        <w:t>française</w:t>
      </w:r>
      <w:proofErr w:type="spellEnd"/>
      <w:r>
        <w:t xml:space="preserve"> </w:t>
      </w:r>
      <w:proofErr w:type="spellStart"/>
      <w:r>
        <w:t>d’Extrême</w:t>
      </w:r>
      <w:proofErr w:type="spellEnd"/>
      <w:r>
        <w:t xml:space="preserve">-Orient 46 </w:t>
      </w:r>
      <w:r>
        <w:rPr>
          <w:noProof/>
        </w:rPr>
        <w:t>(</w:t>
      </w:r>
      <w:r>
        <w:t>1): 1–105.</w:t>
      </w:r>
    </w:p>
    <w:p>
      <w:pPr>
        <w:pStyle w:val="Irodalomjegyzk"/>
      </w:pPr>
      <w:r>
        <w:t xml:space="preserve">Fleet, John Faithfull. 1888. </w:t>
      </w:r>
      <w:r>
        <w:rPr>
          <w:rStyle w:val="Foreign"/>
        </w:rPr>
        <w:t>Inscriptions of the Early Gupta Kings and Their Successors</w:t>
      </w:r>
      <w:r>
        <w:t>. Corpus Inscriptionum Indicarum, III. Calcutta: Superintendent of Government Printing.</w:t>
      </w:r>
    </w:p>
    <w:p>
      <w:pPr>
        <w:pStyle w:val="Irodalomjegyzk"/>
      </w:pPr>
      <w:r>
        <w:t xml:space="preserve">Griffiths, Arlo, and Axelle Janiak. 2023. ‘DHARMA Encoding Guide for Critical Editions’. Paris: École </w:t>
      </w:r>
      <w:proofErr w:type="spellStart"/>
      <w:r>
        <w:t>française</w:t>
      </w:r>
      <w:proofErr w:type="spellEnd"/>
      <w:r>
        <w:t xml:space="preserve"> </w:t>
      </w:r>
      <w:proofErr w:type="spellStart"/>
      <w:r>
        <w:t>d’Extrême</w:t>
      </w:r>
      <w:proofErr w:type="spellEnd"/>
      <w:r>
        <w:t xml:space="preserve">-Orient ; CASE - Centre Asie du Sud-Est ; CESAH - Centre </w:t>
      </w:r>
      <w:proofErr w:type="spellStart"/>
      <w:r>
        <w:t>d’études</w:t>
      </w:r>
      <w:proofErr w:type="spellEnd"/>
      <w:r>
        <w:t xml:space="preserve"> </w:t>
      </w:r>
      <w:proofErr w:type="spellStart"/>
      <w:r>
        <w:t>sud</w:t>
      </w:r>
      <w:proofErr w:type="spellEnd"/>
      <w:r>
        <w:t xml:space="preserve"> </w:t>
      </w:r>
      <w:proofErr w:type="spellStart"/>
      <w:r>
        <w:t>asiatiques</w:t>
      </w:r>
      <w:proofErr w:type="spellEnd"/>
      <w:r>
        <w:t xml:space="preserve"> et </w:t>
      </w:r>
      <w:proofErr w:type="spellStart"/>
      <w:r>
        <w:t>himalayennes</w:t>
      </w:r>
      <w:proofErr w:type="spellEnd"/>
      <w:r>
        <w:t>.</w:t>
      </w:r>
    </w:p>
    <w:p>
      <w:pPr>
        <w:pStyle w:val="Irodalomjegyzk"/>
      </w:pPr>
      <w:r>
        <w:t xml:space="preserve">Pollock, Sheldon. 1977. </w:t>
      </w:r>
      <w:r>
        <w:rPr>
          <w:rStyle w:val="Foreign"/>
        </w:rPr>
        <w:t>Aspects of Versification in Sanskrit Lyric Poetry</w:t>
      </w:r>
      <w:r>
        <w:t>. American Oriental Society.</w:t>
      </w:r>
    </w:p>
    <w:p>
      <w:pPr>
        <w:pStyle w:val="Irodalomjegyzk"/>
      </w:pPr>
      <w:r>
        <w:rPr>
          <w:noProof/>
        </w:rPr>
        <w:t>Roueché</w:t>
      </w:r>
      <w:r>
        <w:t xml:space="preserve">, Charlotte and Julia Flanders. n. d. </w:t>
      </w:r>
      <w:r>
        <w:rPr>
          <w:rStyle w:val="Foreign"/>
        </w:rPr>
        <w:t>The Gentle Introduction to Mark-up for Epigraphers</w:t>
      </w:r>
      <w:r>
        <w:t xml:space="preserve">, </w:t>
      </w:r>
      <w:hyperlink r:id="rId89" w:history="1">
        <w:r>
          <w:rPr>
            <w:rStyle w:val="Hiperhivatkozs"/>
          </w:rPr>
          <w:t>https://epidoc.stoa.org/gl/latest/intro-eps.html</w:t>
        </w:r>
      </w:hyperlink>
    </w:p>
    <w:p>
      <w:pPr>
        <w:pStyle w:val="Irodalomjegyzk"/>
      </w:pPr>
      <w:r>
        <w:t xml:space="preserve">Salomon, Richard. 1998. </w:t>
      </w:r>
      <w:r>
        <w:rPr>
          <w:rStyle w:val="Foreign"/>
        </w:rPr>
        <w:t>Indian Epigraphy: A Guide to the Study of Inscriptions in Sanskrit, Prakrit, and the Other Indo-Aryan Languages.</w:t>
      </w:r>
      <w:r>
        <w:t xml:space="preserve"> New York, Oxford: Oxford University Press.</w:t>
      </w:r>
    </w:p>
    <w:p>
      <w:pPr>
        <w:pStyle w:val="Irodalomjegyzk"/>
      </w:pPr>
      <w:r>
        <w:rPr>
          <w:noProof/>
        </w:rPr>
        <w:t>Tanselle</w:t>
      </w:r>
      <w:r>
        <w:t xml:space="preserve">, George Thomas. 1989. </w:t>
      </w:r>
      <w:r>
        <w:rPr>
          <w:i/>
          <w:iCs/>
        </w:rPr>
        <w:t>A Rationale of Textual Criticism</w:t>
      </w:r>
      <w:r>
        <w:t>. Philadelphia: University of Pennsylvania Press.</w:t>
      </w:r>
    </w:p>
    <w:p>
      <w:pPr>
        <w:pStyle w:val="Irodalomjegyzk"/>
      </w:pPr>
      <w:r>
        <w:t xml:space="preserve">TEI Consortium, eds. 2023. </w:t>
      </w:r>
      <w:r>
        <w:rPr>
          <w:i/>
          <w:iCs/>
        </w:rPr>
        <w:t>TEI P5: Guidelines for Electronic Text Encoding and Interchange.</w:t>
      </w:r>
      <w:r>
        <w:t xml:space="preserve"> Version 4.6.0, last updated 4 April 2023, accessed November-December 2023. TEI Consortium. </w:t>
      </w:r>
      <w:hyperlink r:id="rId90" w:history="1">
        <w:r>
          <w:rPr>
            <w:rStyle w:val="Hiperhivatkozs"/>
          </w:rPr>
          <w:t>http://www.tei-c.org/Guidelines/P5/</w:t>
        </w:r>
      </w:hyperlink>
      <w:r>
        <w:t xml:space="preserve"> </w:t>
      </w:r>
    </w:p>
    <w:p>
      <w:pPr>
        <w:pStyle w:val="Irodalomjegyzk"/>
      </w:pPr>
      <w:proofErr w:type="spellStart"/>
      <w:r>
        <w:t>Velankar</w:t>
      </w:r>
      <w:proofErr w:type="spellEnd"/>
      <w:r>
        <w:t xml:space="preserve">, Hari </w:t>
      </w:r>
      <w:proofErr w:type="spellStart"/>
      <w:r>
        <w:t>Damodar</w:t>
      </w:r>
      <w:proofErr w:type="spellEnd"/>
      <w:r>
        <w:t xml:space="preserve">. 1949. </w:t>
      </w:r>
      <w:r>
        <w:rPr>
          <w:rStyle w:val="Foreign"/>
        </w:rPr>
        <w:t>Jayadāman A Collection of Ancient Texts on Sanskrit Prosody and a Classified List of Sanskrit Metres with an Alphabetical Index</w:t>
      </w:r>
      <w:r>
        <w:t xml:space="preserve">. </w:t>
      </w:r>
      <w:proofErr w:type="spellStart"/>
      <w:r>
        <w:t>Haritoṣamālā</w:t>
      </w:r>
      <w:proofErr w:type="spellEnd"/>
      <w:r>
        <w:t xml:space="preserve"> 1. Bombay: </w:t>
      </w:r>
      <w:proofErr w:type="spellStart"/>
      <w:r>
        <w:t>Haritosha</w:t>
      </w:r>
      <w:proofErr w:type="spellEnd"/>
      <w:r>
        <w:t xml:space="preserve"> Samiti.</w:t>
      </w:r>
    </w:p>
    <w:p>
      <w:pPr>
        <w:pStyle w:val="Irodalomjegyzk"/>
      </w:pPr>
      <w:r>
        <w:t xml:space="preserve">Warder, Anthony Kennedy. 1967. </w:t>
      </w:r>
      <w:r>
        <w:rPr>
          <w:i/>
          <w:iCs/>
        </w:rPr>
        <w:t>Pali Metre: A Contribution to the History of Indian Literature.</w:t>
      </w:r>
      <w:r>
        <w:t xml:space="preserve"> London: The Pali Text Society.</w:t>
      </w:r>
    </w:p>
    <w:sectPr>
      <w:footerReference w:type="even" r:id="rId91"/>
      <w:footerReference w:type="default" r:id="rId92"/>
      <w:pgSz w:w="11906" w:h="16838" w:code="9"/>
      <w:pgMar w:top="1134" w:right="1134" w:bottom="1134" w:left="1134" w:header="709" w:footer="709"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line="240" w:lineRule="auto"/>
      </w:pPr>
      <w:r>
        <w:separator/>
      </w:r>
    </w:p>
  </w:endnote>
  <w:endnote w:type="continuationSeparator" w:id="0">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entium Plus">
    <w:altName w:val="Calibri"/>
    <w:panose1 w:val="02000503060000020004"/>
    <w:charset w:val="00"/>
    <w:family w:val="auto"/>
    <w:pitch w:val="variable"/>
    <w:sig w:usb0="E00003FF" w:usb1="5200E1FF" w:usb2="0A000029" w:usb3="00000000" w:csb0="0000019F" w:csb1="00000000"/>
  </w:font>
  <w:font w:name="Arial Unicode MS">
    <w:panose1 w:val="020B0604020202020204"/>
    <w:charset w:val="80"/>
    <w:family w:val="swiss"/>
    <w:pitch w:val="variable"/>
    <w:sig w:usb0="F7FFAFFF" w:usb1="E9DFFFFF" w:usb2="0000003F" w:usb3="00000000" w:csb0="003F01FF" w:csb1="00000000"/>
  </w:font>
  <w:font w:name="Gentium">
    <w:panose1 w:val="02000503060000020004"/>
    <w:charset w:val="00"/>
    <w:family w:val="auto"/>
    <w:pitch w:val="variable"/>
    <w:sig w:usb0="E00003FF" w:usb1="5200E5FF" w:usb2="0A000029" w:usb3="00000000" w:csb0="0000019F" w:csb1="00000000"/>
    <w:embedRegular r:id="rId1" w:fontKey="{3346582E-2455-42A6-A2D1-AFF8D6BD93E5}"/>
    <w:embedBold r:id="rId2" w:fontKey="{302B26E9-3576-43FD-9194-7EEA5B576DC5}"/>
    <w:embedItalic r:id="rId3" w:fontKey="{4522FC08-0577-4B0B-A836-90F71F2825D4}"/>
    <w:embedBoldItalic r:id="rId4" w:fontKey="{EADE43F5-D7D3-4C07-B2A2-04A0F9237719}"/>
  </w:font>
  <w:font w:name="Cambria">
    <w:panose1 w:val="02040503050406030204"/>
    <w:charset w:val="00"/>
    <w:family w:val="roman"/>
    <w:pitch w:val="variable"/>
    <w:sig w:usb0="E00006FF" w:usb1="420024FF" w:usb2="02000000" w:usb3="00000000" w:csb0="0000019F" w:csb1="00000000"/>
    <w:embedRegular r:id="rId5" w:subsetted="1" w:fontKey="{046C3A75-48DC-4D79-9D6D-8F4F0FD2E0D9}"/>
  </w:font>
  <w:font w:name="Tiro Devanagari Sanskrit">
    <w:altName w:val="Mangal"/>
    <w:panose1 w:val="02000000000000000000"/>
    <w:charset w:val="00"/>
    <w:family w:val="auto"/>
    <w:pitch w:val="variable"/>
    <w:sig w:usb0="00008003" w:usb1="00000000" w:usb2="00000000" w:usb3="00000000" w:csb0="00000001" w:csb1="00000000"/>
    <w:embedRegular r:id="rId6" w:fontKey="{872EC06B-7186-4700-B5F6-C360A7707BAF}"/>
    <w:embedBold r:id="rId7" w:fontKey="{34F1711E-18AE-4084-A96C-EE0456975D63}"/>
    <w:embedItalic r:id="rId8" w:fontKey="{9E64585B-1BCD-4FF3-BA70-A165072214B7}"/>
    <w:embedBoldItalic r:id="rId9" w:fontKey="{5DEA47EE-09CA-47E2-83B8-8388295B5A2E}"/>
  </w:font>
  <w:font w:name="Calibri">
    <w:panose1 w:val="020F0502020204030204"/>
    <w:charset w:val="00"/>
    <w:family w:val="swiss"/>
    <w:pitch w:val="variable"/>
    <w:sig w:usb0="E4002EFF" w:usb1="C200247B" w:usb2="00000009" w:usb3="00000000" w:csb0="000001FF" w:csb1="00000000"/>
    <w:embedRegular r:id="rId10" w:fontKey="{7F0BE442-6C0E-4BF1-8768-3E0FE9BE5BB0}"/>
    <w:embedBold r:id="rId11" w:fontKey="{3CA6EE09-70B6-47AC-BD76-E6D2DA453CBB}"/>
    <w:embedItalic r:id="rId12" w:fontKey="{3F4640E7-F673-437A-80CA-568B559029B0}"/>
    <w:embedBoldItalic r:id="rId13" w:fontKey="{1D5D02F9-C7E6-4EA3-AF47-550AD161BF6D}"/>
  </w:font>
  <w:font w:name="Tahoma">
    <w:panose1 w:val="020B0604030504040204"/>
    <w:charset w:val="EE"/>
    <w:family w:val="swiss"/>
    <w:pitch w:val="variable"/>
    <w:sig w:usb0="E1002EFF" w:usb1="C000605B" w:usb2="00000029" w:usb3="00000000" w:csb0="000101FF" w:csb1="00000000"/>
  </w:font>
  <w:font w:name="Murty Sanskrit">
    <w:altName w:val="Mangal"/>
    <w:panose1 w:val="01000000000000000000"/>
    <w:charset w:val="00"/>
    <w:family w:val="modern"/>
    <w:notTrueType/>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embedRegular r:id="rId14" w:fontKey="{08784292-B71C-4D7F-9517-4E191D93A866}"/>
    <w:embedBold r:id="rId15" w:fontKey="{0B6CADC4-2487-4FFE-959C-FB704C936662}"/>
    <w:embedItalic r:id="rId16" w:fontKey="{FF9DD1B8-C3A1-426A-ABA2-57815A9E947C}"/>
  </w:font>
  <w:font w:name="Tiro Kannada">
    <w:panose1 w:val="02000000000000000000"/>
    <w:charset w:val="00"/>
    <w:family w:val="auto"/>
    <w:pitch w:val="variable"/>
    <w:sig w:usb0="A040806F" w:usb1="0000200A" w:usb2="00000000" w:usb3="00000000" w:csb0="00000001" w:csb1="00000000"/>
  </w:font>
  <w:font w:name="Tiro Tamil">
    <w:panose1 w:val="02000000000000000000"/>
    <w:charset w:val="00"/>
    <w:family w:val="auto"/>
    <w:pitch w:val="variable"/>
    <w:sig w:usb0="A010806F" w:usb1="0000200A" w:usb2="00000000" w:usb3="00000000" w:csb0="00000001" w:csb1="00000000"/>
    <w:embedRegular r:id="rId17" w:subsetted="1" w:fontKey="{8DA21E16-7E40-4877-89F0-566C9D264F9A}"/>
  </w:font>
  <w:font w:name="Noto Sans Balinese">
    <w:panose1 w:val="020B0502040504020204"/>
    <w:charset w:val="00"/>
    <w:family w:val="swiss"/>
    <w:pitch w:val="variable"/>
    <w:sig w:usb0="00000003" w:usb1="00000000" w:usb2="00000000" w:usb3="00000000" w:csb0="00000001" w:csb1="00000000"/>
  </w:font>
  <w:font w:name="Leelawadee UI">
    <w:panose1 w:val="020B0502040204020203"/>
    <w:charset w:val="00"/>
    <w:family w:val="swiss"/>
    <w:pitch w:val="variable"/>
    <w:sig w:usb0="A3000003" w:usb1="00000000" w:usb2="00010000" w:usb3="00000000" w:csb0="00010101" w:csb1="00000000"/>
  </w:font>
  <w:font w:name="Segoe UI Historic">
    <w:panose1 w:val="020B0502040204020203"/>
    <w:charset w:val="00"/>
    <w:family w:val="swiss"/>
    <w:pitch w:val="variable"/>
    <w:sig w:usb0="800001EF" w:usb1="02000002" w:usb2="0060C080" w:usb3="00000000" w:csb0="00000001" w:csb1="00000000"/>
    <w:embedRegular r:id="rId18" w:fontKey="{302B79D3-BA43-4FA5-A6D6-31D8BA3F28A1}"/>
  </w:font>
  <w:font w:name="DaunPenh">
    <w:charset w:val="00"/>
    <w:family w:val="auto"/>
    <w:pitch w:val="variable"/>
    <w:sig w:usb0="80000003" w:usb1="00000000" w:usb2="00010000" w:usb3="00000000" w:csb0="00000001" w:csb1="00000000"/>
  </w:font>
  <w:font w:name="Cardo">
    <w:panose1 w:val="02020600000000000000"/>
    <w:charset w:val="00"/>
    <w:family w:val="roman"/>
    <w:pitch w:val="variable"/>
    <w:sig w:usb0="E40008FF" w:usb1="5201E0FB" w:usb2="04608000" w:usb3="00000000" w:csb0="000000BB" w:csb1="00000000"/>
    <w:embedRegular r:id="rId19" w:subsetted="1" w:fontKey="{5CCAD0FE-C08F-48E1-80AD-2FF675BDC3A6}"/>
  </w:font>
  <w:font w:name="Mangal">
    <w:panose1 w:val="00000400000000000000"/>
    <w:charset w:val="00"/>
    <w:family w:val="roman"/>
    <w:pitch w:val="variable"/>
    <w:sig w:usb0="00008003" w:usb1="00000000" w:usb2="00000000" w:usb3="00000000" w:csb0="00000001" w:csb1="00000000"/>
    <w:embedRegular r:id="rId20" w:subsetted="1" w:fontKey="{4FD49F28-1F4C-43F8-B120-C71CC6131010}"/>
  </w:font>
  <w:font w:name="Noto Sans Grantha">
    <w:panose1 w:val="020B0502040504020204"/>
    <w:charset w:val="00"/>
    <w:family w:val="swiss"/>
    <w:notTrueType/>
    <w:pitch w:val="variable"/>
    <w:sig w:usb0="80108003" w:usb1="02002004" w:usb2="00000000" w:usb3="00000000" w:csb0="00000001" w:csb1="00000000"/>
  </w:font>
  <w:font w:name="Myanmar Text">
    <w:panose1 w:val="020B0502040204020203"/>
    <w:charset w:val="00"/>
    <w:family w:val="swiss"/>
    <w:pitch w:val="variable"/>
    <w:sig w:usb0="80000003" w:usb1="00000000" w:usb2="00000400" w:usb3="00000000" w:csb0="00000001" w:csb1="00000000"/>
  </w:font>
  <w:font w:name="Uttara">
    <w:panose1 w:val="02000000000000000000"/>
    <w:charset w:val="00"/>
    <w:family w:val="auto"/>
    <w:pitch w:val="variable"/>
    <w:sig w:usb0="A00082EF" w:usb1="5000214B" w:usb2="00000000" w:usb3="00000000" w:csb0="00000197" w:csb1="00000000"/>
    <w:embedRegular r:id="rId21" w:subsetted="1" w:fontKey="{B644EA18-1FA2-4EA6-974E-8FDCD3891257}"/>
  </w:font>
  <w:font w:name="Tiro Telugu">
    <w:panose1 w:val="02000000000000000000"/>
    <w:charset w:val="00"/>
    <w:family w:val="auto"/>
    <w:pitch w:val="variable"/>
    <w:sig w:usb0="A020006F" w:usb1="0000200A" w:usb2="00000000" w:usb3="00000000" w:csb0="00000001" w:csb1="00000000"/>
  </w:font>
  <w:font w:name="Nirmala UI">
    <w:panose1 w:val="020B0502040204020203"/>
    <w:charset w:val="00"/>
    <w:family w:val="swiss"/>
    <w:pitch w:val="variable"/>
    <w:sig w:usb0="80FF8023" w:usb1="0200004A" w:usb2="00000200" w:usb3="00000000" w:csb0="00000001" w:csb1="00000000"/>
    <w:embedRegular r:id="rId22" w:subsetted="1" w:fontKey="{3134145E-AA76-4BB5-ADB8-E2DE3E387D2D}"/>
  </w:font>
  <w:font w:name="Javanese Text">
    <w:panose1 w:val="02000000000000000000"/>
    <w:charset w:val="00"/>
    <w:family w:val="auto"/>
    <w:pitch w:val="variable"/>
    <w:sig w:usb0="80000003" w:usb1="00002000" w:usb2="00000000" w:usb3="00000000" w:csb0="00000001" w:csb1="00000000"/>
  </w:font>
  <w:font w:name="Satisar Sharada">
    <w:panose1 w:val="02000600000000000000"/>
    <w:charset w:val="00"/>
    <w:family w:val="auto"/>
    <w:pitch w:val="variable"/>
    <w:sig w:usb0="00000003" w:usb1="02000000" w:usb2="00000000" w:usb3="00000000" w:csb0="00000001" w:csb1="00000000"/>
  </w:font>
  <w:font w:name="Raavi">
    <w:panose1 w:val="02000500000000000000"/>
    <w:charset w:val="00"/>
    <w:family w:val="swiss"/>
    <w:pitch w:val="variable"/>
    <w:sig w:usb0="0002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embedRegular r:id="rId23" w:subsetted="1" w:fontKey="{DE862A84-0408-41E3-A2FA-3851E121FE96}"/>
  </w:font>
  <w:font w:name="Cambria Math">
    <w:panose1 w:val="02040503050406030204"/>
    <w:charset w:val="00"/>
    <w:family w:val="roman"/>
    <w:pitch w:val="variable"/>
    <w:sig w:usb0="E00006FF" w:usb1="420024FF" w:usb2="02000000" w:usb3="00000000" w:csb0="0000019F" w:csb1="00000000"/>
    <w:embedRegular r:id="rId24" w:fontKey="{5FFE4651-D835-41A2-AA91-204D444A4C1A}"/>
    <w:embedItalic r:id="rId25" w:fontKey="{1A3594D3-9EC2-4EFE-AE32-E07D7314543C}"/>
  </w:font>
  <w:font w:name="Noto Serif">
    <w:panose1 w:val="02020502060505020204"/>
    <w:charset w:val="00"/>
    <w:family w:val="roman"/>
    <w:pitch w:val="variable"/>
    <w:sig w:usb0="E00002FF" w:usb1="4000201F" w:usb2="08000029" w:usb3="00000000" w:csb0="0000019F" w:csb1="00000000"/>
  </w:font>
  <w:font w:name="Noto Sans">
    <w:panose1 w:val="020B0502040504020204"/>
    <w:charset w:val="00"/>
    <w:family w:val="swiss"/>
    <w:pitch w:val="variable"/>
    <w:sig w:usb0="E00002FF" w:usb1="4000201F" w:usb2="08000029" w:usb3="00000000" w:csb0="0000019F" w:csb1="00000000"/>
  </w:font>
  <w:font w:name="Old English Text MT">
    <w:panose1 w:val="03040902040508030806"/>
    <w:charset w:val="00"/>
    <w:family w:val="script"/>
    <w:pitch w:val="variable"/>
    <w:sig w:usb0="00000003" w:usb1="00000000" w:usb2="00000000" w:usb3="00000000" w:csb0="00000001" w:csb1="00000000"/>
    <w:embedRegular r:id="rId26" w:subsetted="1" w:fontKey="{404C4F0A-3D77-41A6-B12F-B2B8300085DF}"/>
  </w:font>
  <w:font w:name="Arial">
    <w:panose1 w:val="020B0604020202020204"/>
    <w:charset w:val="00"/>
    <w:family w:val="swiss"/>
    <w:pitch w:val="variable"/>
    <w:sig w:usb0="E0002EFF" w:usb1="C000785B" w:usb2="00000009" w:usb3="00000000" w:csb0="000001FF" w:csb1="00000000"/>
  </w:font>
  <w:font w:name="Latha">
    <w:panose1 w:val="02000400000000000000"/>
    <w:charset w:val="00"/>
    <w:family w:val="swiss"/>
    <w:pitch w:val="variable"/>
    <w:sig w:usb0="00100003" w:usb1="00000000" w:usb2="00000000" w:usb3="00000000" w:csb0="00000001" w:csb1="00000000"/>
  </w:font>
  <w:font w:name="Kokila">
    <w:panose1 w:val="020B0604020202020204"/>
    <w:charset w:val="00"/>
    <w:family w:val="swiss"/>
    <w:pitch w:val="variable"/>
    <w:sig w:usb0="00008003" w:usb1="00000000" w:usb2="00000000" w:usb3="00000000" w:csb0="00000001" w:csb1="00000000"/>
    <w:embedRegular r:id="rId27" w:subsetted="1" w:fontKey="{B2047EDC-AEC2-41E4-B3DC-62FC68F01D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llb"/>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jc w:val="right"/>
    </w:pPr>
    <w:r>
      <w:rPr>
        <w:sz w:val="20"/>
        <w:szCs w:val="20"/>
      </w:rPr>
      <w:t xml:space="preserv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line="240" w:lineRule="auto"/>
      </w:pPr>
      <w:r>
        <w:separator/>
      </w:r>
    </w:p>
  </w:footnote>
  <w:footnote w:type="continuationSeparator" w:id="0">
    <w:p>
      <w:pPr>
        <w:spacing w:line="240" w:lineRule="auto"/>
      </w:pPr>
      <w:r>
        <w:continuationSeparator/>
      </w:r>
    </w:p>
  </w:footnote>
  <w:footnote w:id="1">
    <w:p>
      <w:pPr>
        <w:pStyle w:val="Lbjegyzetszveg"/>
      </w:pPr>
      <w:r>
        <w:rPr>
          <w:rStyle w:val="Lbjegyzet-hivatkozs"/>
        </w:rPr>
        <w:tab/>
      </w:r>
      <w:r>
        <w:rPr>
          <w:rStyle w:val="Lbjegyzet-hivatkozs"/>
        </w:rPr>
        <w:footnoteRef/>
      </w:r>
      <w:r>
        <w:tab/>
      </w:r>
      <w:hyperlink r:id="rId1" w:history="1">
        <w:r>
          <w:rPr>
            <w:rStyle w:val="Hiperhivatkozs"/>
          </w:rPr>
          <w:t>https://docs.google.com/document/d/1hjWrrwRZQp4hmEqw4jBhhqoXdwJvRlw3EWboJteOPw0</w:t>
        </w:r>
      </w:hyperlink>
    </w:p>
  </w:footnote>
  <w:footnote w:id="2">
    <w:p>
      <w:pPr>
        <w:pStyle w:val="Lbjegyzetszveg"/>
      </w:pPr>
      <w:r>
        <w:tab/>
      </w:r>
      <w:r>
        <w:rPr>
          <w:rStyle w:val="Lbjegyzet-hivatkozs"/>
        </w:rPr>
        <w:footnoteRef/>
      </w:r>
      <w:r>
        <w:tab/>
      </w:r>
      <w:hyperlink r:id="rId2" w:history="1">
        <w:r>
          <w:rPr>
            <w:rStyle w:val="Hiperhivatkozs"/>
          </w:rPr>
          <w:t>https://epidoc.stoa.org/gl/latest/</w:t>
        </w:r>
      </w:hyperlink>
    </w:p>
  </w:footnote>
  <w:footnote w:id="3">
    <w:p>
      <w:pPr>
        <w:pStyle w:val="Lbjegyzetszveg"/>
      </w:pPr>
      <w:r>
        <w:tab/>
      </w:r>
      <w:r>
        <w:rPr>
          <w:rStyle w:val="Lbjegyzet-hivatkozs"/>
        </w:rPr>
        <w:footnoteRef/>
      </w:r>
      <w:r>
        <w:tab/>
      </w:r>
      <w:hyperlink r:id="rId3" w:history="1">
        <w:r>
          <w:rPr>
            <w:rStyle w:val="Hiperhivatkozs"/>
          </w:rPr>
          <w:t>https://tei-c.org/release/doc/tei-p5-doc/en/html/index.html</w:t>
        </w:r>
      </w:hyperlink>
    </w:p>
  </w:footnote>
  <w:footnote w:id="4">
    <w:p>
      <w:pPr>
        <w:pStyle w:val="Lbjegyzetszveg"/>
      </w:pPr>
      <w:r>
        <w:tab/>
      </w:r>
      <w:r>
        <w:rPr>
          <w:rStyle w:val="Lbjegyzet-hivatkozs"/>
        </w:rPr>
        <w:footnoteRef/>
      </w:r>
      <w:r>
        <w:tab/>
        <w:t>TEI Consortium (2023, §v).</w:t>
      </w:r>
    </w:p>
  </w:footnote>
  <w:footnote w:id="5">
    <w:p>
      <w:pPr>
        <w:pStyle w:val="Lbjegyzetszveg"/>
      </w:pPr>
      <w:r>
        <w:tab/>
      </w:r>
      <w:r>
        <w:rPr>
          <w:rStyle w:val="Lbjegyzet-hivatkozs"/>
        </w:rPr>
        <w:footnoteRef/>
      </w:r>
      <w:r>
        <w:tab/>
        <w:t xml:space="preserve">The use of single quote marks </w:t>
      </w:r>
      <w:r>
        <w:rPr>
          <w:noProof/>
        </w:rPr>
        <w:t>(</w:t>
      </w:r>
      <w:r>
        <w:t>' apostrophe) is also permitted by the XML standard. However, for the sake of consistency, we shall always use double quote marks.</w:t>
      </w:r>
    </w:p>
  </w:footnote>
  <w:footnote w:id="6">
    <w:p>
      <w:pPr>
        <w:pStyle w:val="Lbjegyzetszveg"/>
      </w:pPr>
      <w:r>
        <w:tab/>
      </w:r>
      <w:r>
        <w:rPr>
          <w:rStyle w:val="Lbjegyzet-hivatkozs"/>
        </w:rPr>
        <w:footnoteRef/>
      </w:r>
      <w:r>
        <w:tab/>
        <w:t xml:space="preserve">In Oxygen, press CTRL + SHIFT + , </w:t>
      </w:r>
      <w:r>
        <w:rPr>
          <w:noProof/>
        </w:rPr>
        <w:t>(</w:t>
      </w:r>
      <w:r>
        <w:t>comma) to turn selected text into a comment or to uncomment text around the cursor.</w:t>
      </w:r>
    </w:p>
  </w:footnote>
  <w:footnote w:id="7">
    <w:p>
      <w:pPr>
        <w:pStyle w:val="Lbjegyzetszveg"/>
      </w:pPr>
      <w:r>
        <w:tab/>
      </w:r>
      <w:r>
        <w:rPr>
          <w:rStyle w:val="Lbjegyzet-hivatkozs"/>
        </w:rPr>
        <w:footnoteRef/>
      </w:r>
      <w:r>
        <w:t xml:space="preserve"> </w:t>
      </w:r>
      <w:r>
        <w:tab/>
      </w:r>
      <w:hyperlink r:id="rId4" w:history="1">
        <w:r>
          <w:rPr>
            <w:rStyle w:val="Hiperhivatkozs"/>
          </w:rPr>
          <w:t>https://github.com/erc-dharma/project-documentation/blob/master/templates/inscriptions/DHARMA_INSencodingTemplate.xml</w:t>
        </w:r>
      </w:hyperlink>
      <w:r>
        <w:t xml:space="preserve"> </w:t>
      </w:r>
    </w:p>
  </w:footnote>
  <w:footnote w:id="8">
    <w:p>
      <w:pPr>
        <w:pStyle w:val="Lbjegyzetszveg"/>
      </w:pPr>
      <w:r>
        <w:tab/>
      </w:r>
      <w:r>
        <w:rPr>
          <w:rStyle w:val="Lbjegyzet-hivatkozs"/>
        </w:rPr>
        <w:footnoteRef/>
      </w:r>
      <w:r>
        <w:tab/>
        <w:t>Outside the edition, paragraphs may also contain block quotes which in turn may contain stanzas and lines as per §</w:t>
      </w:r>
      <w:r>
        <w:fldChar w:fldCharType="begin"/>
      </w:r>
      <w:r>
        <w:instrText xml:space="preserve"> REF _Ref233793283 \r \h </w:instrText>
      </w:r>
      <w:r>
        <w:fldChar w:fldCharType="separate"/>
      </w:r>
      <w:r>
        <w:t>14.3.3</w:t>
      </w:r>
      <w:r>
        <w:fldChar w:fldCharType="end"/>
      </w:r>
      <w:r>
        <w:t>.</w:t>
      </w:r>
    </w:p>
  </w:footnote>
  <w:footnote w:id="9">
    <w:p>
      <w:pPr>
        <w:pStyle w:val="Lbjegyzetszveg"/>
      </w:pPr>
      <w:r>
        <w:tab/>
      </w:r>
      <w:r>
        <w:rPr>
          <w:rStyle w:val="Lbjegyzet-hivatkozs"/>
        </w:rPr>
        <w:footnoteRef/>
      </w:r>
      <w:r>
        <w:tab/>
        <w:t xml:space="preserve">See the TG, especially TG §7.3.2 on editorial segmentation interacting with </w:t>
      </w:r>
      <w:r>
        <w:rPr>
          <w:rStyle w:val="Foreign"/>
        </w:rPr>
        <w:t>akṣara</w:t>
      </w:r>
      <w:r>
        <w:rPr>
          <w:rStyle w:val="Foreign"/>
          <w:i w:val="0"/>
          <w:iCs w:val="0"/>
        </w:rPr>
        <w:t>s</w:t>
      </w:r>
      <w:r>
        <w:t xml:space="preserve">. </w:t>
      </w:r>
    </w:p>
  </w:footnote>
  <w:footnote w:id="10">
    <w:p>
      <w:pPr>
        <w:pStyle w:val="Lbjegyzetszveg"/>
      </w:pPr>
      <w:r>
        <w:tab/>
      </w:r>
      <w:r>
        <w:rPr>
          <w:rStyle w:val="Lbjegyzet-hivatkozs"/>
        </w:rPr>
        <w:footnoteRef/>
      </w:r>
      <w:r>
        <w:tab/>
        <w:t xml:space="preserve">DHARMA_prosodicPatterns_v01.xml in our Project Documentation GitHub repository, displayed at </w:t>
      </w:r>
      <w:hyperlink r:id="rId5" w:history="1">
        <w:r>
          <w:rPr>
            <w:rStyle w:val="Hiperhivatkozs"/>
          </w:rPr>
          <w:t>https://dharmalekha.info/prosody</w:t>
        </w:r>
      </w:hyperlink>
    </w:p>
  </w:footnote>
  <w:footnote w:id="11">
    <w:p>
      <w:pPr>
        <w:pStyle w:val="Lbjegyzetszveg"/>
      </w:pPr>
      <w:r>
        <w:tab/>
      </w:r>
      <w:r>
        <w:rPr>
          <w:rStyle w:val="Lbjegyzet-hivatkozs"/>
        </w:rPr>
        <w:footnoteRef/>
      </w:r>
      <w:r>
        <w:tab/>
        <w:t xml:space="preserve">The seeming contradiction between the element’s name and the fact that it indicates uncertainty is that this element would normally take the attribute </w:t>
      </w:r>
      <w:r>
        <w:rPr>
          <w:rStyle w:val="Codeattribute"/>
        </w:rPr>
        <w:t>@cert</w:t>
      </w:r>
      <w:r>
        <w:t xml:space="preserve"> to indicate a degree of certainty. However, in EpiDoc and thus in our encoding practice, </w:t>
      </w:r>
      <w:r>
        <w:rPr>
          <w:rStyle w:val="Code"/>
        </w:rPr>
        <w:t>&lt;certainty&gt;</w:t>
      </w:r>
      <w:r>
        <w:t xml:space="preserve"> is only used for indicating uncertainty, and is by default understood to mean </w:t>
      </w:r>
      <w:r>
        <w:rPr>
          <w:rStyle w:val="Code"/>
        </w:rPr>
        <w:t xml:space="preserve">&lt;certainty </w:t>
      </w:r>
      <w:r>
        <w:rPr>
          <w:rStyle w:val="Codeattribute"/>
        </w:rPr>
        <w:t>cert=</w:t>
      </w:r>
      <w:r>
        <w:rPr>
          <w:rStyle w:val="Codevalue"/>
        </w:rPr>
        <w:t>"low"</w:t>
      </w:r>
      <w:r>
        <w:rPr>
          <w:rStyle w:val="Code"/>
        </w:rPr>
        <w:t>&gt;</w:t>
      </w:r>
      <w:r>
        <w:t>.</w:t>
      </w:r>
    </w:p>
  </w:footnote>
  <w:footnote w:id="12">
    <w:p>
      <w:pPr>
        <w:pStyle w:val="Lbjegyzetszveg"/>
      </w:pPr>
      <w:r>
        <w:tab/>
      </w:r>
      <w:r>
        <w:rPr>
          <w:rStyle w:val="Lbjegyzet-hivatkozs"/>
        </w:rPr>
        <w:footnoteRef/>
      </w:r>
      <w:r>
        <w:tab/>
        <w:t xml:space="preserve">The TEI element </w:t>
      </w:r>
      <w:r>
        <w:rPr>
          <w:rStyle w:val="Code"/>
        </w:rPr>
        <w:t>&lt;caesura&gt;</w:t>
      </w:r>
      <w:r>
        <w:t xml:space="preserve"> does not take the attribute </w:t>
      </w:r>
      <w:r>
        <w:rPr>
          <w:rStyle w:val="Codeattribute"/>
        </w:rPr>
        <w:t>@break</w:t>
      </w:r>
      <w:r>
        <w:t xml:space="preserve"> </w:t>
      </w:r>
      <w:r>
        <w:rPr>
          <w:noProof/>
        </w:rPr>
        <w:t>(</w:t>
      </w:r>
      <w:r>
        <w:t xml:space="preserve">nor </w:t>
      </w:r>
      <w:r>
        <w:rPr>
          <w:rStyle w:val="Codeattribute"/>
        </w:rPr>
        <w:t>@type</w:t>
      </w:r>
      <w:r>
        <w:t xml:space="preserve">). Since our use of conventional metre names leaves open the possibility to automatically determine the location of caesuras at the prescribed points, the only reason why we might want to encode them is to facilitate research on non-standard caesuras and </w:t>
      </w:r>
      <w:r>
        <w:rPr>
          <w:rStyle w:val="Foreign"/>
        </w:rPr>
        <w:t>yatibhaṅga</w:t>
      </w:r>
      <w:r>
        <w:t xml:space="preserve">, hence our suggestion to use </w:t>
      </w:r>
      <w:r>
        <w:rPr>
          <w:rStyle w:val="Code"/>
        </w:rPr>
        <w:t>&lt;milestone&gt;</w:t>
      </w:r>
      <w:r>
        <w:t xml:space="preserve"> instead.</w:t>
      </w:r>
    </w:p>
  </w:footnote>
  <w:footnote w:id="13">
    <w:p>
      <w:pPr>
        <w:pStyle w:val="Lbjegyzetszveg"/>
      </w:pPr>
      <w:r>
        <w:tab/>
      </w:r>
      <w:r>
        <w:rPr>
          <w:rStyle w:val="Lbjegyzet-hivatkozs"/>
        </w:rPr>
        <w:footnoteRef/>
      </w:r>
      <w:r>
        <w:tab/>
        <w:t xml:space="preserve">This follows and generalises the EpiDoc convention “Any </w:t>
      </w:r>
      <w:r>
        <w:rPr>
          <w:rStyle w:val="Codeattribute"/>
        </w:rPr>
        <w:t>@rend</w:t>
      </w:r>
      <w:r>
        <w:t xml:space="preserve"> or numbering attributes on … </w:t>
      </w:r>
      <w:r>
        <w:rPr>
          <w:rStyle w:val="Code"/>
        </w:rPr>
        <w:t>&lt;lb&gt;</w:t>
      </w:r>
      <w:r>
        <w:t xml:space="preserve"> refer to all text between the current and the following line-break” </w:t>
      </w:r>
      <w:r>
        <w:rPr>
          <w:noProof/>
        </w:rPr>
        <w:t>(</w:t>
      </w:r>
      <w:hyperlink r:id="rId6" w:history="1">
        <w:r>
          <w:rPr>
            <w:rStyle w:val="Hiperhivatkozs"/>
            <w:noProof/>
          </w:rPr>
          <w:t>https://epidoc.stoa.org/gl/latest/trans-linebreak.html</w:t>
        </w:r>
      </w:hyperlink>
      <w:r>
        <w:t>).</w:t>
      </w:r>
    </w:p>
  </w:footnote>
  <w:footnote w:id="14">
    <w:p>
      <w:pPr>
        <w:pStyle w:val="Lbjegyzetszveg"/>
      </w:pPr>
      <w:r>
        <w:tab/>
      </w:r>
      <w:r>
        <w:rPr>
          <w:rStyle w:val="Lbjegyzet-hivatkozs"/>
        </w:rPr>
        <w:footnoteRef/>
      </w:r>
      <w:r>
        <w:tab/>
        <w:t xml:space="preserve">In addition to the kinds of milestone discussed here, our project also employs </w:t>
      </w:r>
      <w:r>
        <w:rPr>
          <w:rStyle w:val="Code"/>
        </w:rPr>
        <w:t>&lt;milestone/&gt;</w:t>
      </w:r>
      <w:r>
        <w:t xml:space="preserve"> elements for a few other purposes (§</w:t>
      </w:r>
      <w:r>
        <w:fldChar w:fldCharType="begin"/>
      </w:r>
      <w:r>
        <w:instrText xml:space="preserve"> REF _Ref224729838 \r \h </w:instrText>
      </w:r>
      <w:r>
        <w:fldChar w:fldCharType="separate"/>
      </w:r>
      <w:r>
        <w:t>3.3.4.3</w:t>
      </w:r>
      <w:r>
        <w:fldChar w:fldCharType="end"/>
      </w:r>
      <w:r>
        <w:t>, §</w:t>
      </w:r>
      <w:r>
        <w:fldChar w:fldCharType="begin"/>
      </w:r>
      <w:r>
        <w:instrText xml:space="preserve"> REF _Ref182309743 \r \h </w:instrText>
      </w:r>
      <w:r>
        <w:fldChar w:fldCharType="separate"/>
      </w:r>
      <w:r>
        <w:t>11.3</w:t>
      </w:r>
      <w:r>
        <w:fldChar w:fldCharType="end"/>
      </w:r>
      <w:r>
        <w:t>).</w:t>
      </w:r>
    </w:p>
  </w:footnote>
  <w:footnote w:id="15">
    <w:p>
      <w:pPr>
        <w:pStyle w:val="Lbjegyzetszveg"/>
      </w:pPr>
      <w:r>
        <w:tab/>
      </w:r>
      <w:r>
        <w:rPr>
          <w:rStyle w:val="Lbjegyzet-hivatkozs"/>
        </w:rPr>
        <w:footnoteRef/>
      </w:r>
      <w:r>
        <w:tab/>
        <w:t>It is possible in TEI to encode uncertainty regarding the location of an element in a machine-readable way, but we foresee no gain from doing so that would compensate for the resulting increase of encoding complexity.</w:t>
      </w:r>
    </w:p>
  </w:footnote>
  <w:footnote w:id="16">
    <w:p>
      <w:pPr>
        <w:pStyle w:val="Lbjegyzetszveg"/>
      </w:pPr>
      <w:r>
        <w:tab/>
      </w:r>
      <w:r>
        <w:rPr>
          <w:rStyle w:val="Lbjegyzet-hivatkozs"/>
        </w:rPr>
        <w:footnoteRef/>
      </w:r>
      <w:r>
        <w:tab/>
        <w:t xml:space="preserve">In rare cases it is possible for a page or zone beginning not to be followed by a line beginning </w:t>
      </w:r>
      <w:r>
        <w:rPr>
          <w:noProof/>
        </w:rPr>
        <w:t>(</w:t>
      </w:r>
      <w:r>
        <w:t>e.g. when a medial plate of a set is lost, but the page structure is reconstructed for it, §</w:t>
      </w:r>
      <w:r>
        <w:fldChar w:fldCharType="begin"/>
      </w:r>
      <w:r>
        <w:instrText xml:space="preserve"> REF _Ref149918878 \r \h </w:instrText>
      </w:r>
      <w:r>
        <w:fldChar w:fldCharType="separate"/>
      </w:r>
      <w:r>
        <w:t>6.5.5.3</w:t>
      </w:r>
      <w:r>
        <w:fldChar w:fldCharType="end"/>
      </w:r>
      <w:r>
        <w:t>).</w:t>
      </w:r>
    </w:p>
  </w:footnote>
  <w:footnote w:id="17">
    <w:p>
      <w:pPr>
        <w:pStyle w:val="Lbjegyzetszveg"/>
      </w:pPr>
      <w:r>
        <w:tab/>
      </w:r>
      <w:r>
        <w:rPr>
          <w:rStyle w:val="Lbjegyzet-hivatkozs"/>
        </w:rPr>
        <w:footnoteRef/>
      </w:r>
      <w:r>
        <w:tab/>
        <w:t xml:space="preserve">The single exception applies again to massive medial lacunae </w:t>
      </w:r>
      <w:r>
        <w:rPr>
          <w:noProof/>
        </w:rPr>
        <w:t>(</w:t>
      </w:r>
      <w:r>
        <w:t>§</w:t>
      </w:r>
      <w:r>
        <w:fldChar w:fldCharType="begin"/>
      </w:r>
      <w:r>
        <w:instrText xml:space="preserve"> REF _Ref43981711 \w \h  \* MERGEFORMAT </w:instrText>
      </w:r>
      <w:r>
        <w:fldChar w:fldCharType="separate"/>
      </w:r>
      <w:r>
        <w:t>6.5.4</w:t>
      </w:r>
      <w:r>
        <w:fldChar w:fldCharType="end"/>
      </w:r>
      <w:r>
        <w:t>), where reconstructed structural milestones may be placed outside block-level containers.</w:t>
      </w:r>
    </w:p>
  </w:footnote>
  <w:footnote w:id="18">
    <w:p>
      <w:pPr>
        <w:pStyle w:val="Lbjegyzetszveg"/>
      </w:pPr>
      <w:r>
        <w:tab/>
      </w:r>
      <w:r>
        <w:rPr>
          <w:rStyle w:val="Lbjegyzet-hivatkozs"/>
        </w:rPr>
        <w:footnoteRef/>
      </w:r>
      <w:r>
        <w:tab/>
        <w:t>This will not be the case if you follow the numbering schemes recommended by this Guide, but other numbering schemes are permitted for all partition types when there is good reason for their use.</w:t>
      </w:r>
    </w:p>
  </w:footnote>
  <w:footnote w:id="19">
    <w:p>
      <w:pPr>
        <w:pStyle w:val="Lbjegyzetszveg"/>
      </w:pPr>
      <w:r>
        <w:tab/>
      </w:r>
      <w:r>
        <w:rPr>
          <w:rStyle w:val="Lbjegyzet-hivatkozs"/>
        </w:rPr>
        <w:footnoteRef/>
      </w:r>
      <w:r>
        <w:tab/>
        <w:t xml:space="preserve">We must resort to this compromise because the internal logic of EpiDoc does not permit </w:t>
      </w:r>
      <w:r>
        <w:rPr>
          <w:rFonts w:ascii="Consolas" w:eastAsia="Consolas" w:hAnsi="Consolas" w:cs="Consolas"/>
          <w:color w:val="000080"/>
          <w:shd w:val="clear" w:color="auto" w:fill="F8F8F8"/>
        </w:rPr>
        <w:t>&lt;space&gt;</w:t>
      </w:r>
      <w:r>
        <w:t xml:space="preserve"> or </w:t>
      </w:r>
      <w:r>
        <w:rPr>
          <w:rFonts w:ascii="Consolas" w:eastAsia="Consolas" w:hAnsi="Consolas" w:cs="Consolas"/>
          <w:color w:val="000080"/>
          <w:shd w:val="clear" w:color="auto" w:fill="F8F8F8"/>
        </w:rPr>
        <w:t>&lt;lb&gt;</w:t>
      </w:r>
      <w:r>
        <w:t xml:space="preserve"> elements inside </w:t>
      </w:r>
      <w:r>
        <w:rPr>
          <w:rFonts w:ascii="Consolas" w:eastAsia="Consolas" w:hAnsi="Consolas" w:cs="Consolas"/>
          <w:color w:val="000080"/>
          <w:shd w:val="clear" w:color="auto" w:fill="F8F8F8"/>
        </w:rPr>
        <w:t>&lt;unclear&gt;</w:t>
      </w:r>
      <w:r>
        <w:t>, so it is not possible to encode alternative readings which include an interruption, even if the location of that interruption with respect to the text is different in the alternatives.</w:t>
      </w:r>
    </w:p>
  </w:footnote>
  <w:footnote w:id="20">
    <w:p>
      <w:pPr>
        <w:pStyle w:val="Lbjegyzetszveg"/>
      </w:pPr>
      <w:r>
        <w:tab/>
      </w:r>
      <w:r>
        <w:rPr>
          <w:rStyle w:val="Lbjegyzet-hivatkozs"/>
        </w:rPr>
        <w:footnoteRef/>
      </w:r>
      <w:r>
        <w:tab/>
      </w:r>
      <w:hyperlink r:id="rId7" w:history="1">
        <w:r>
          <w:rPr>
            <w:rStyle w:val="Hiperhivatkozs"/>
          </w:rPr>
          <w:t>https://en.wiktionary.org/wiki/gaiji</w:t>
        </w:r>
      </w:hyperlink>
      <w:r>
        <w:t xml:space="preserve"> </w:t>
      </w:r>
    </w:p>
  </w:footnote>
  <w:footnote w:id="21">
    <w:p>
      <w:pPr>
        <w:pStyle w:val="Lbjegyzetszveg"/>
      </w:pPr>
      <w:r>
        <w:tab/>
      </w:r>
      <w:r>
        <w:rPr>
          <w:rStyle w:val="Lbjegyzet-hivatkozs"/>
        </w:rPr>
        <w:footnoteRef/>
      </w:r>
      <w:r>
        <w:tab/>
      </w:r>
      <w:r>
        <w:rPr>
          <w:lang w:eastAsia="en-US" w:bidi="ar-SA"/>
        </w:rPr>
        <w:t>The management of symbols has changed radically from earlier DHARMA practice, so project members are requested to read this section attentively.</w:t>
      </w:r>
    </w:p>
  </w:footnote>
  <w:footnote w:id="22">
    <w:p>
      <w:pPr>
        <w:pStyle w:val="Lbjegyzetszveg"/>
      </w:pPr>
      <w:r>
        <w:tab/>
      </w:r>
      <w:r>
        <w:rPr>
          <w:rStyle w:val="Lbjegyzet-hivatkozs"/>
        </w:rPr>
        <w:footnoteRef/>
      </w:r>
      <w:r>
        <w:tab/>
      </w:r>
      <w:hyperlink r:id="rId8" w:history="1">
        <w:r>
          <w:rPr>
            <w:rStyle w:val="Hiperhivatkozs"/>
          </w:rPr>
          <w:t>https://en.wiktionary.org/wiki/gaiji</w:t>
        </w:r>
      </w:hyperlink>
      <w:r>
        <w:t xml:space="preserve"> </w:t>
      </w:r>
    </w:p>
  </w:footnote>
  <w:footnote w:id="23">
    <w:p>
      <w:pPr>
        <w:pStyle w:val="Lbjegyzetszveg"/>
      </w:pPr>
      <w:r>
        <w:tab/>
      </w:r>
      <w:r>
        <w:rPr>
          <w:rStyle w:val="Lbjegyzet-hivatkozs"/>
        </w:rPr>
        <w:footnoteRef/>
      </w:r>
      <w:r>
        <w:tab/>
        <w:t xml:space="preserve">In addition to these values, </w:t>
      </w:r>
      <w:r>
        <w:rPr>
          <w:rStyle w:val="Codevalue"/>
        </w:rPr>
        <w:t>"numeral"</w:t>
      </w:r>
      <w:r>
        <w:t xml:space="preserve"> is used for numeral glyphs that cannot be represented in transliteration with a single Arabic digit, as per §</w:t>
      </w:r>
      <w:r>
        <w:fldChar w:fldCharType="begin"/>
      </w:r>
      <w:r>
        <w:instrText xml:space="preserve"> REF _Ref225950738 \r \h </w:instrText>
      </w:r>
      <w:r>
        <w:fldChar w:fldCharType="separate"/>
      </w:r>
      <w:r>
        <w:t>5.3.1</w:t>
      </w:r>
      <w:r>
        <w:fldChar w:fldCharType="end"/>
      </w:r>
      <w:r>
        <w:t xml:space="preserve">. The DHARMA schema also allows the value </w:t>
      </w:r>
      <w:r>
        <w:rPr>
          <w:rStyle w:val="Codevalue"/>
        </w:rPr>
        <w:t>"phonographic"</w:t>
      </w:r>
      <w:r>
        <w:t>, which is not used in our present encoding practice, but is included as a provision for the future when it might become desirable to use encoding to classify alternative shapes (graphetic allographs) of phonographic glyphs.</w:t>
      </w:r>
    </w:p>
  </w:footnote>
  <w:footnote w:id="24">
    <w:p>
      <w:pPr>
        <w:pStyle w:val="Lbjegyzetszveg"/>
      </w:pPr>
      <w:r>
        <w:tab/>
      </w:r>
      <w:r>
        <w:rPr>
          <w:rStyle w:val="Lbjegyzet-hivatkozs"/>
        </w:rPr>
        <w:footnoteRef/>
      </w:r>
      <w:r>
        <w:tab/>
        <w:t xml:space="preserve">To view the file rendered for display, visit </w:t>
      </w:r>
      <w:hyperlink r:id="rId9" w:history="1">
        <w:r>
          <w:rPr>
            <w:rStyle w:val="Hiperhivatkozs"/>
          </w:rPr>
          <w:t>https://dharmalekha.info/glyphs</w:t>
        </w:r>
      </w:hyperlink>
      <w:r>
        <w:t>. To view and, if necessary, edit the raw XML, go to DHARMA_glyphTaxonomy.xml in the project-documentation repository.</w:t>
      </w:r>
    </w:p>
  </w:footnote>
  <w:footnote w:id="25">
    <w:p>
      <w:pPr>
        <w:pStyle w:val="Lbjegyzetszveg"/>
      </w:pPr>
      <w:r>
        <w:tab/>
      </w:r>
      <w:r>
        <w:rPr>
          <w:rStyle w:val="Lbjegyzet-hivatkozs"/>
        </w:rPr>
        <w:footnoteRef/>
      </w:r>
      <w:r>
        <w:tab/>
      </w:r>
      <w:hyperlink r:id="rId10" w:anchor="PHSP" w:history="1">
        <w:r>
          <w:rPr>
            <w:rStyle w:val="Hiperhivatkozs"/>
          </w:rPr>
          <w:t>https://www.tei-c.org/release/doc/tei-p5-doc/en/html/PH.html#PHSP</w:t>
        </w:r>
      </w:hyperlink>
    </w:p>
  </w:footnote>
  <w:footnote w:id="26">
    <w:p>
      <w:pPr>
        <w:pStyle w:val="Lbjegyzetszveg"/>
        <w:rPr>
          <w:b/>
          <w:bCs/>
        </w:rPr>
      </w:pPr>
      <w:r>
        <w:tab/>
      </w:r>
      <w:r>
        <w:rPr>
          <w:rStyle w:val="Lbjegyzet-hivatkozs"/>
        </w:rPr>
        <w:footnoteRef/>
      </w:r>
      <w:r>
        <w:tab/>
        <w:t xml:space="preserve">In fact, the tradition of Indic epigraphic editions is also quite in line with the EpiDoc approach. Even in the </w:t>
      </w:r>
      <w:r>
        <w:rPr>
          <w:rStyle w:val="Foreign"/>
        </w:rPr>
        <w:t>Corpus inscriptionum indicarum</w:t>
      </w:r>
      <w:r>
        <w:t xml:space="preserve">, Fleet </w:t>
      </w:r>
      <w:r>
        <w:rPr>
          <w:noProof/>
        </w:rPr>
        <w:t>(</w:t>
      </w:r>
      <w:r>
        <w:t>1888,194) uses the same editorial markup for “letters which are much damaged and nearly illegible in the original, or which, being wholly illegible, can be supplied with certainty.”</w:t>
      </w:r>
    </w:p>
  </w:footnote>
  <w:footnote w:id="27">
    <w:p>
      <w:pPr>
        <w:pStyle w:val="Lbjegyzetszveg"/>
      </w:pPr>
      <w:r>
        <w:tab/>
      </w:r>
      <w:r>
        <w:rPr>
          <w:rStyle w:val="Lbjegyzet-hivatkozs"/>
        </w:rPr>
        <w:footnoteRef/>
      </w:r>
      <w:r>
        <w:tab/>
      </w:r>
      <w:hyperlink r:id="rId11" w:history="1">
        <w:r>
          <w:rPr>
            <w:rStyle w:val="Hiperhivatkozs"/>
          </w:rPr>
          <w:t>https://epidoc.stoa.org/gl/latest/trans-ambiguous.html</w:t>
        </w:r>
      </w:hyperlink>
      <w:r>
        <w:t xml:space="preserve"> </w:t>
      </w:r>
    </w:p>
  </w:footnote>
  <w:footnote w:id="28">
    <w:p>
      <w:pPr>
        <w:pStyle w:val="Lbjegyzetszveg"/>
      </w:pPr>
      <w:r>
        <w:tab/>
      </w:r>
      <w:r>
        <w:rPr>
          <w:rStyle w:val="Lbjegyzet-hivatkozs"/>
        </w:rPr>
        <w:footnoteRef/>
      </w:r>
      <w:r>
        <w:tab/>
        <w:t xml:space="preserve">In the interest of preserving your sanity, it is advised that you avoid encoding the full spectrum of possibilities, </w:t>
      </w:r>
      <w:r>
        <w:rPr>
          <w:rFonts w:ascii="Consolas" w:eastAsia="Consolas" w:hAnsi="Consolas" w:cs="Consolas"/>
          <w:color w:val="333333"/>
          <w:shd w:val="clear" w:color="auto" w:fill="F8F8F8"/>
        </w:rPr>
        <w:t>k</w:t>
      </w:r>
      <w:r>
        <w:rPr>
          <w:rFonts w:ascii="Consolas" w:eastAsia="Consolas" w:hAnsi="Consolas" w:cs="Consolas"/>
          <w:color w:val="000080"/>
          <w:shd w:val="clear" w:color="auto" w:fill="F8F8F8"/>
        </w:rPr>
        <w:t>&lt;choice&gt;&lt;unclear&gt;</w:t>
      </w:r>
      <w:r>
        <w:rPr>
          <w:rFonts w:ascii="Consolas" w:eastAsia="Consolas" w:hAnsi="Consolas" w:cs="Consolas"/>
          <w:color w:val="333333"/>
          <w:shd w:val="clear" w:color="auto" w:fill="F8F8F8"/>
        </w:rPr>
        <w:t>ā</w:t>
      </w:r>
      <w:r>
        <w:rPr>
          <w:rFonts w:ascii="Consolas" w:eastAsia="Consolas" w:hAnsi="Consolas" w:cs="Consolas"/>
          <w:color w:val="000080"/>
          <w:shd w:val="clear" w:color="auto" w:fill="F8F8F8"/>
        </w:rPr>
        <w:t>&lt;/unclear&gt;&lt;unclear&gt;</w:t>
      </w:r>
      <w:r>
        <w:rPr>
          <w:rFonts w:ascii="Consolas" w:eastAsia="Consolas" w:hAnsi="Consolas" w:cs="Consolas"/>
          <w:color w:val="333333"/>
          <w:shd w:val="clear" w:color="auto" w:fill="F8F8F8"/>
        </w:rPr>
        <w:t>ara</w:t>
      </w:r>
      <w:r>
        <w:rPr>
          <w:rFonts w:ascii="Consolas" w:eastAsia="Consolas" w:hAnsi="Consolas" w:cs="Consolas"/>
          <w:color w:val="000080"/>
          <w:shd w:val="clear" w:color="auto" w:fill="F8F8F8"/>
        </w:rPr>
        <w:t>&lt;/unclear&gt;&lt;unclear&gt;</w:t>
      </w:r>
      <w:r>
        <w:rPr>
          <w:rFonts w:ascii="Consolas" w:eastAsia="Consolas" w:hAnsi="Consolas" w:cs="Consolas"/>
          <w:color w:val="333333"/>
          <w:shd w:val="clear" w:color="auto" w:fill="F8F8F8"/>
        </w:rPr>
        <w:t>ar</w:t>
      </w:r>
      <w:r>
        <w:rPr>
          <w:rFonts w:ascii="Consolas" w:eastAsia="Consolas" w:hAnsi="Consolas" w:cs="Consolas"/>
          <w:color w:val="000080"/>
          <w:shd w:val="clear" w:color="auto" w:fill="F8F8F8"/>
        </w:rPr>
        <w:t>&lt;/unclear&gt;&lt;unclear&gt;</w:t>
      </w:r>
      <w:r>
        <w:rPr>
          <w:rFonts w:ascii="Consolas" w:eastAsia="Consolas" w:hAnsi="Consolas" w:cs="Consolas"/>
          <w:color w:val="333333"/>
          <w:shd w:val="clear" w:color="auto" w:fill="F8F8F8"/>
        </w:rPr>
        <w:t>ra</w:t>
      </w:r>
      <w:r>
        <w:rPr>
          <w:rFonts w:ascii="Consolas" w:eastAsia="Consolas" w:hAnsi="Consolas" w:cs="Consolas"/>
          <w:color w:val="000080"/>
          <w:shd w:val="clear" w:color="auto" w:fill="F8F8F8"/>
        </w:rPr>
        <w:t>&lt;/unclear&gt;&lt;/choice&gt;</w:t>
      </w:r>
      <w:r>
        <w:t xml:space="preserve"> unless all are indeed plausible and worth recording.</w:t>
      </w:r>
    </w:p>
  </w:footnote>
  <w:footnote w:id="29">
    <w:p>
      <w:pPr>
        <w:pStyle w:val="Lbjegyzetszveg"/>
      </w:pPr>
      <w:r>
        <w:tab/>
      </w:r>
      <w:r>
        <w:rPr>
          <w:rStyle w:val="Lbjegyzet-hivatkozs"/>
        </w:rPr>
        <w:footnoteRef/>
      </w:r>
      <w:r>
        <w:tab/>
        <w:t>The same element is used in TEI in other situations where text is absent. In our practice, it is put to use when text omitted by the scribe cannot be restored by the editor (§</w:t>
      </w:r>
      <w:r>
        <w:fldChar w:fldCharType="begin"/>
      </w:r>
      <w:r>
        <w:instrText xml:space="preserve"> REF _Ref63674857 \r \h </w:instrText>
      </w:r>
      <w:r>
        <w:fldChar w:fldCharType="separate"/>
      </w:r>
      <w:r>
        <w:t>7.7</w:t>
      </w:r>
      <w:r>
        <w:fldChar w:fldCharType="end"/>
      </w:r>
      <w:r>
        <w:t>) and when the editor omits some text from a critical apparatus (§</w:t>
      </w:r>
      <w:r>
        <w:fldChar w:fldCharType="begin"/>
      </w:r>
      <w:r>
        <w:instrText xml:space="preserve"> REF _Ref61250887 \r \h </w:instrText>
      </w:r>
      <w:r>
        <w:fldChar w:fldCharType="separate"/>
      </w:r>
      <w:r>
        <w:t>10.3</w:t>
      </w:r>
      <w:r>
        <w:fldChar w:fldCharType="end"/>
      </w:r>
      <w:r>
        <w:t>) or a translation (§</w:t>
      </w:r>
      <w:r>
        <w:fldChar w:fldCharType="begin"/>
      </w:r>
      <w:r>
        <w:instrText xml:space="preserve"> REF _Ref43990112 \r \h </w:instrText>
      </w:r>
      <w:r>
        <w:fldChar w:fldCharType="separate"/>
      </w:r>
      <w:r>
        <w:t>11.4.3</w:t>
      </w:r>
      <w:r>
        <w:fldChar w:fldCharType="end"/>
      </w:r>
      <w:r>
        <w:t>).</w:t>
      </w:r>
    </w:p>
  </w:footnote>
  <w:footnote w:id="30">
    <w:p>
      <w:pPr>
        <w:pStyle w:val="Lbjegyzetszveg"/>
      </w:pPr>
      <w:r>
        <w:tab/>
      </w:r>
      <w:r>
        <w:rPr>
          <w:rStyle w:val="Lbjegyzet-hivatkozs"/>
        </w:rPr>
        <w:footnoteRef/>
      </w:r>
      <w:r>
        <w:tab/>
        <w:t xml:space="preserve">The EpiDoc schema permits the use of </w:t>
      </w:r>
      <w:r>
        <w:rPr>
          <w:rStyle w:val="Codeattribute"/>
        </w:rPr>
        <w:t>@extent</w:t>
      </w:r>
      <w:r>
        <w:t xml:space="preserve"> without </w:t>
      </w:r>
      <w:r>
        <w:rPr>
          <w:rStyle w:val="Codeattribute"/>
        </w:rPr>
        <w:t>@unit</w:t>
      </w:r>
      <w:r>
        <w:t>.</w:t>
      </w:r>
    </w:p>
  </w:footnote>
  <w:footnote w:id="31">
    <w:p>
      <w:pPr>
        <w:pStyle w:val="Lbjegyzetszveg"/>
      </w:pPr>
      <w:r>
        <w:tab/>
      </w:r>
      <w:r>
        <w:rPr>
          <w:rStyle w:val="Lbjegyzet-hivatkozs"/>
        </w:rPr>
        <w:footnoteRef/>
      </w:r>
      <w:r>
        <w:tab/>
        <w:t>In Sanskrit quantitative verse, the number of lost syllables may be estimated at 75% of the number of missing morae. Thus, if a 12-mora chunk is missing from a verse line, estimate the length of the lacuna at 9 characters if you have no better indication. This figure is based on a quick statistical look at a small sample; feel free to use a better approximation if you can, and do not worry too much about the accuracy of the character count.</w:t>
      </w:r>
    </w:p>
  </w:footnote>
  <w:footnote w:id="32">
    <w:p>
      <w:pPr>
        <w:pStyle w:val="Lbjegyzetszveg"/>
      </w:pPr>
      <w:r>
        <w:tab/>
      </w:r>
      <w:r>
        <w:rPr>
          <w:rStyle w:val="Lbjegyzet-hivatkozs"/>
        </w:rPr>
        <w:footnoteRef/>
      </w:r>
      <w:r>
        <w:tab/>
        <w:t xml:space="preserve">The explanation for the apparent contradiction between the element’s name and the fact that it indicates uncertainty is that this element would normally take the attribute </w:t>
      </w:r>
      <w:r>
        <w:rPr>
          <w:rStyle w:val="Codeattribute"/>
        </w:rPr>
        <w:t>@cert</w:t>
      </w:r>
      <w:r>
        <w:t xml:space="preserve"> to indicate a degree of certainty. However, in EpiDoc and thus in our encoding practice, </w:t>
      </w:r>
      <w:r>
        <w:rPr>
          <w:rStyle w:val="Code"/>
        </w:rPr>
        <w:t>&lt;certainty&gt;</w:t>
      </w:r>
      <w:r>
        <w:t xml:space="preserve"> is only used for indicating low certainty, and is by default understood to mean </w:t>
      </w:r>
      <w:r>
        <w:rPr>
          <w:rStyle w:val="Code"/>
        </w:rPr>
        <w:t xml:space="preserve">&lt;certainty </w:t>
      </w:r>
      <w:r>
        <w:rPr>
          <w:rStyle w:val="Codeattribute"/>
        </w:rPr>
        <w:t>cert=</w:t>
      </w:r>
      <w:r>
        <w:rPr>
          <w:rStyle w:val="Codevalue"/>
        </w:rPr>
        <w:t>"low"</w:t>
      </w:r>
      <w:r>
        <w:rPr>
          <w:rStyle w:val="Code"/>
        </w:rPr>
        <w:t>&gt;</w:t>
      </w:r>
      <w:r>
        <w:t>.</w:t>
      </w:r>
    </w:p>
  </w:footnote>
  <w:footnote w:id="33">
    <w:p>
      <w:pPr>
        <w:pStyle w:val="Lbjegyzetszveg"/>
      </w:pPr>
      <w:r>
        <w:tab/>
      </w:r>
      <w:r>
        <w:rPr>
          <w:rStyle w:val="Lbjegyzet-hivatkozs"/>
        </w:rPr>
        <w:footnoteRef/>
      </w:r>
      <w:r>
        <w:tab/>
        <w:t>As noted in §</w:t>
      </w:r>
      <w:r>
        <w:fldChar w:fldCharType="begin"/>
      </w:r>
      <w:r>
        <w:instrText xml:space="preserve"> REF _Ref228799393 \r \h </w:instrText>
      </w:r>
      <w:r>
        <w:fldChar w:fldCharType="separate"/>
      </w:r>
      <w:r>
        <w:t>5.6</w:t>
      </w:r>
      <w:r>
        <w:fldChar w:fldCharType="end"/>
      </w:r>
      <w:r>
        <w:t>, ‘scribe’ means any person involved in the creation of a written document before it became an object of modern study.</w:t>
      </w:r>
    </w:p>
  </w:footnote>
  <w:footnote w:id="34">
    <w:p>
      <w:pPr>
        <w:pStyle w:val="Lbjegyzetszveg"/>
      </w:pPr>
      <w:r>
        <w:tab/>
      </w:r>
      <w:r>
        <w:rPr>
          <w:rStyle w:val="Lbjegyzet-hivatkozs"/>
        </w:rPr>
        <w:footnoteRef/>
      </w:r>
      <w:r>
        <w:tab/>
        <w:t xml:space="preserve">For other uses of this element with different values of </w:t>
      </w:r>
      <w:r>
        <w:rPr>
          <w:rStyle w:val="Codeattribute"/>
        </w:rPr>
        <w:t>@reason</w:t>
      </w:r>
      <w:r>
        <w:t>, see §</w:t>
      </w:r>
      <w:r>
        <w:fldChar w:fldCharType="begin"/>
      </w:r>
      <w:r>
        <w:instrText xml:space="preserve"> REF _Ref228864988 \r \h </w:instrText>
      </w:r>
      <w:r>
        <w:fldChar w:fldCharType="separate"/>
      </w:r>
      <w:r>
        <w:t>6.4.1</w:t>
      </w:r>
      <w:r>
        <w:fldChar w:fldCharType="end"/>
      </w:r>
      <w:r>
        <w:t>.</w:t>
      </w:r>
    </w:p>
  </w:footnote>
  <w:footnote w:id="35">
    <w:p>
      <w:pPr>
        <w:pStyle w:val="Lbjegyzetszveg"/>
      </w:pPr>
      <w:r>
        <w:tab/>
      </w:r>
      <w:r>
        <w:rPr>
          <w:rStyle w:val="Lbjegyzet-hivatkozs"/>
        </w:rPr>
        <w:footnoteRef/>
      </w:r>
      <w:r>
        <w:tab/>
      </w:r>
      <w:hyperlink r:id="rId12" w:history="1">
        <w:r>
          <w:rPr>
            <w:rStyle w:val="Hiperhivatkozs"/>
          </w:rPr>
          <w:t>https://opentheso.huma-num.fr/opentheso/?idc=84154&amp;idt=th347</w:t>
        </w:r>
      </w:hyperlink>
    </w:p>
  </w:footnote>
  <w:footnote w:id="36">
    <w:p>
      <w:pPr>
        <w:pStyle w:val="Lbjegyzetszveg"/>
      </w:pPr>
      <w:r>
        <w:tab/>
      </w:r>
      <w:r>
        <w:rPr>
          <w:rStyle w:val="Lbjegyzet-hivatkozs"/>
        </w:rPr>
        <w:footnoteRef/>
      </w:r>
      <w:r>
        <w:tab/>
      </w:r>
      <w:hyperlink r:id="rId13" w:history="1">
        <w:r>
          <w:rPr>
            <w:rStyle w:val="Hiperhivatkozs"/>
          </w:rPr>
          <w:t>https://opentheso.huma-num.fr/opentheso/?idc=84156&amp;idt=th347</w:t>
        </w:r>
      </w:hyperlink>
    </w:p>
  </w:footnote>
  <w:footnote w:id="37">
    <w:p>
      <w:pPr>
        <w:pStyle w:val="Lbjegyzetszveg"/>
      </w:pPr>
      <w:r>
        <w:tab/>
      </w:r>
      <w:r>
        <w:rPr>
          <w:rStyle w:val="Lbjegyzet-hivatkozs"/>
        </w:rPr>
        <w:footnoteRef/>
      </w:r>
      <w:r>
        <w:tab/>
        <w:t>The reason why the attribute is named “new” is presumably the fact that it identifies the hand taking over at the shift. TEI guidelines note that this attribute may be renamed in a subsequent major release.</w:t>
      </w:r>
    </w:p>
  </w:footnote>
  <w:footnote w:id="38">
    <w:p>
      <w:pPr>
        <w:pStyle w:val="Lbjegyzetszveg"/>
      </w:pPr>
      <w:r>
        <w:tab/>
      </w:r>
      <w:r>
        <w:rPr>
          <w:rStyle w:val="Lbjegyzet-hivatkozs"/>
        </w:rPr>
        <w:footnoteRef/>
      </w:r>
      <w:r>
        <w:tab/>
        <w:t xml:space="preserve">Although the TEI guidelines </w:t>
      </w:r>
      <w:r>
        <w:rPr>
          <w:noProof/>
        </w:rPr>
        <w:t>(</w:t>
      </w:r>
      <w:hyperlink r:id="rId14" w:anchor="WDWMEG" w:history="1">
        <w:r>
          <w:rPr>
            <w:rStyle w:val="Hiperhivatkozs"/>
          </w:rPr>
          <w:t>https://www.tei-c.org/release/doc/tei-p5-doc/en/html/WD.html#WDWMEG</w:t>
        </w:r>
      </w:hyperlink>
      <w:r>
        <w:t xml:space="preserve">) recommend the use of </w:t>
      </w:r>
      <w:r>
        <w:rPr>
          <w:rStyle w:val="Codeattribute"/>
        </w:rPr>
        <w:t>@style</w:t>
      </w:r>
      <w:r>
        <w:t xml:space="preserve"> with CSS styling instructions to encode text directionality and orientation, these instructions provide no clear solution for handling case C in the illustration below and handle cases A and B very differently from D. To minimise complexity, we prefer to introduce custom values of </w:t>
      </w:r>
      <w:r>
        <w:rPr>
          <w:rStyle w:val="Codeattribute"/>
        </w:rPr>
        <w:t>@rend</w:t>
      </w:r>
      <w:r>
        <w:t xml:space="preserve"> for this purpose, since our objective is to document the way the original text was written, and not to create machine-actionable code for reproducing the source’s writing mode on screen or in print.</w:t>
      </w:r>
    </w:p>
  </w:footnote>
  <w:footnote w:id="39">
    <w:p>
      <w:pPr>
        <w:pStyle w:val="Lbjegyzetszveg"/>
      </w:pPr>
      <w:r>
        <w:tab/>
      </w:r>
      <w:r>
        <w:rPr>
          <w:rStyle w:val="Lbjegyzet-hivatkozs"/>
        </w:rPr>
        <w:footnoteRef/>
      </w:r>
      <w:r>
        <w:tab/>
      </w:r>
      <w:hyperlink r:id="rId15" w:history="1">
        <w:r>
          <w:rPr>
            <w:rStyle w:val="Hiperhivatkozs"/>
            <w:noProof/>
          </w:rPr>
          <w:t>https://epidoc.stoa.org/gl/latest/trans-numnoncongruent.html</w:t>
        </w:r>
      </w:hyperlink>
    </w:p>
  </w:footnote>
  <w:footnote w:id="40">
    <w:p>
      <w:pPr>
        <w:pStyle w:val="Lbjegyzetszveg"/>
      </w:pPr>
      <w:r>
        <w:tab/>
      </w:r>
      <w:r>
        <w:rPr>
          <w:rStyle w:val="Lbjegyzet-hivatkozs"/>
        </w:rPr>
        <w:footnoteRef/>
      </w:r>
      <w:r>
        <w:tab/>
        <w:t>See §</w:t>
      </w:r>
      <w:r>
        <w:fldChar w:fldCharType="begin"/>
      </w:r>
      <w:r>
        <w:instrText xml:space="preserve"> REF _Ref231978934 \r \h </w:instrText>
      </w:r>
      <w:r>
        <w:fldChar w:fldCharType="separate"/>
      </w:r>
      <w:r>
        <w:t>8.4</w:t>
      </w:r>
      <w:r>
        <w:fldChar w:fldCharType="end"/>
      </w:r>
      <w:r>
        <w:t xml:space="preserve"> about the use of </w:t>
      </w:r>
      <w:r>
        <w:rPr>
          <w:rFonts w:ascii="Consolas" w:eastAsia="Consolas" w:hAnsi="Consolas" w:cs="Consolas"/>
          <w:color w:val="000080"/>
          <w:shd w:val="clear" w:color="auto" w:fill="F8F8F8"/>
        </w:rPr>
        <w:t>&lt;hi&gt;</w:t>
      </w:r>
      <w:r>
        <w:t xml:space="preserve"> in the edition.</w:t>
      </w:r>
    </w:p>
  </w:footnote>
  <w:footnote w:id="41">
    <w:p>
      <w:pPr>
        <w:pStyle w:val="Lbjegyzetszveg"/>
      </w:pPr>
      <w:r>
        <w:tab/>
      </w:r>
      <w:r>
        <w:rPr>
          <w:rStyle w:val="Lbjegyzet-hivatkozs"/>
        </w:rPr>
        <w:footnoteRef/>
      </w:r>
      <w:r>
        <w:tab/>
      </w:r>
      <w:hyperlink r:id="rId16" w:history="1">
        <w:r>
          <w:rPr>
            <w:rStyle w:val="Hiperhivatkozs"/>
          </w:rPr>
          <w:t>https://iso639-3.sil.org/code_tables/639/data</w:t>
        </w:r>
      </w:hyperlink>
      <w:r>
        <w:t xml:space="preserve"> </w:t>
      </w:r>
    </w:p>
  </w:footnote>
  <w:footnote w:id="42">
    <w:p>
      <w:pPr>
        <w:pStyle w:val="Lbjegyzetszveg"/>
        <w:rPr>
          <w:b/>
        </w:rPr>
      </w:pPr>
      <w:r>
        <w:tab/>
      </w:r>
      <w:r>
        <w:rPr>
          <w:rStyle w:val="Lbjegyzet-hivatkozs"/>
        </w:rPr>
        <w:footnoteRef/>
      </w:r>
      <w:r>
        <w:tab/>
      </w:r>
      <w:hyperlink r:id="rId17" w:history="1">
        <w:r>
          <w:rPr>
            <w:rStyle w:val="Hiperhivatkozs"/>
          </w:rPr>
          <w:t>https://en.wikipedia.org/wiki/ISO_15924</w:t>
        </w:r>
      </w:hyperlink>
    </w:p>
  </w:footnote>
  <w:footnote w:id="43">
    <w:p>
      <w:pPr>
        <w:pStyle w:val="Lbjegyzetszveg"/>
      </w:pPr>
      <w:r>
        <w:tab/>
      </w:r>
      <w:r>
        <w:rPr>
          <w:rStyle w:val="Lbjegyzet-hivatkozs"/>
        </w:rPr>
        <w:footnoteRef/>
      </w:r>
      <w:r>
        <w:tab/>
        <w:t xml:space="preserve">See </w:t>
      </w:r>
      <w:hyperlink r:id="rId18" w:history="1">
        <w:r>
          <w:rPr>
            <w:rStyle w:val="Hiperhivatkozs"/>
          </w:rPr>
          <w:t>https://wiki.tei-c.org/index.php/XML_Whitespace</w:t>
        </w:r>
      </w:hyperlink>
      <w:r>
        <w:t xml:space="preserve"> for a more detailed discussion of white space in XML.</w:t>
      </w:r>
    </w:p>
  </w:footnote>
  <w:footnote w:id="44">
    <w:p>
      <w:pPr>
        <w:pStyle w:val="Lbjegyzetszveg"/>
      </w:pPr>
      <w:r>
        <w:tab/>
      </w:r>
      <w:r>
        <w:rPr>
          <w:rStyle w:val="Lbjegyzet-hivatkozs"/>
        </w:rPr>
        <w:footnoteRef/>
      </w:r>
      <w:r>
        <w:tab/>
        <w:t xml:space="preserve">This is not a technical requirement and its violation does not result in your code becoming invalid. However, since in many cases these elements will </w:t>
      </w:r>
      <w:r>
        <w:rPr>
          <w:rStyle w:val="Foreign"/>
        </w:rPr>
        <w:t>have to</w:t>
      </w:r>
      <w:r>
        <w:t xml:space="preserve"> appear within block-level containers, we consider it better practice to always place them so, for consistency’s sake.</w:t>
      </w:r>
    </w:p>
  </w:footnote>
  <w:footnote w:id="45">
    <w:p>
      <w:pPr>
        <w:pStyle w:val="Lbjegyzetszveg"/>
      </w:pPr>
      <w:r>
        <w:tab/>
      </w:r>
      <w:r>
        <w:rPr>
          <w:rStyle w:val="Lbjegyzet-hivatkozs"/>
        </w:rPr>
        <w:footnoteRef/>
      </w:r>
      <w:r>
        <w:tab/>
        <w:t xml:space="preserve">Double hyphens are used in CII convention to indicate non-compound word separation where the end of the first and the beginning of the second word belong to the same </w:t>
      </w:r>
      <w:r>
        <w:rPr>
          <w:rStyle w:val="Foreign"/>
        </w:rPr>
        <w:t>akṣara</w:t>
      </w:r>
      <w:r>
        <w:t xml:space="preserve"> of the original. Their primary function is to distinguish regular </w:t>
      </w:r>
      <w:proofErr w:type="spellStart"/>
      <w:r>
        <w:rPr>
          <w:rStyle w:val="Foreign"/>
        </w:rPr>
        <w:t>akṣara</w:t>
      </w:r>
      <w:r>
        <w:t>s</w:t>
      </w:r>
      <w:proofErr w:type="spellEnd"/>
      <w:r>
        <w:t xml:space="preserve"> from </w:t>
      </w:r>
      <w:r>
        <w:rPr>
          <w:rStyle w:val="Foreign"/>
        </w:rPr>
        <w:t>halanta</w:t>
      </w:r>
      <w:r>
        <w:t xml:space="preserve"> consonants and initial vowels </w:t>
      </w:r>
      <w:r>
        <w:rPr>
          <w:noProof/>
        </w:rPr>
        <w:t>(</w:t>
      </w:r>
      <w:r>
        <w:t xml:space="preserve">e.g. </w:t>
      </w:r>
      <w:r>
        <w:rPr>
          <w:rStyle w:val="ForeignDevanagariScript"/>
          <w:rFonts w:ascii="Kokila" w:hAnsi="Kokila" w:cs="Kokila"/>
        </w:rPr>
        <w:t>तदाहुः</w:t>
      </w:r>
      <w:r>
        <w:t xml:space="preserve"> &gt; </w:t>
      </w:r>
      <w:r>
        <w:rPr>
          <w:rStyle w:val="Foreign"/>
        </w:rPr>
        <w:t>tad=āhuḥ</w:t>
      </w:r>
      <w:r>
        <w:t xml:space="preserve">; </w:t>
      </w:r>
      <w:r>
        <w:rPr>
          <w:rStyle w:val="ForeignDevanagariScript"/>
          <w:rFonts w:ascii="Kokila" w:hAnsi="Kokila" w:cs="Kokila"/>
        </w:rPr>
        <w:t>तद्</w:t>
      </w:r>
      <w:r>
        <w:rPr>
          <w:rStyle w:val="ForeignDevanagariScript"/>
        </w:rPr>
        <w:t xml:space="preserve"> </w:t>
      </w:r>
      <w:r>
        <w:rPr>
          <w:rStyle w:val="ForeignDevanagariScript"/>
          <w:rFonts w:ascii="Kokila" w:hAnsi="Kokila" w:cs="Kokila"/>
        </w:rPr>
        <w:t>आहुः</w:t>
      </w:r>
      <w:r>
        <w:t xml:space="preserve"> &gt; </w:t>
      </w:r>
      <w:r>
        <w:rPr>
          <w:rStyle w:val="Foreign"/>
        </w:rPr>
        <w:t>tad āhuḥ</w:t>
      </w:r>
      <w:r>
        <w:t xml:space="preserve">). We achieve this distinction by means of uppercase characters and explicit </w:t>
      </w:r>
      <w:r>
        <w:rPr>
          <w:rStyle w:val="Foreign"/>
        </w:rPr>
        <w:t>virāma</w:t>
      </w:r>
      <w:r>
        <w:rPr>
          <w:noProof/>
        </w:rPr>
        <w:t xml:space="preserve"> in the transliteration (</w:t>
      </w:r>
      <w:r>
        <w:t xml:space="preserve">e.g. </w:t>
      </w:r>
      <w:r>
        <w:rPr>
          <w:rStyle w:val="ForeignDevanagariScript"/>
          <w:rFonts w:ascii="Kokila" w:hAnsi="Kokila" w:cs="Kokila"/>
        </w:rPr>
        <w:t>तदाहुः</w:t>
      </w:r>
      <w:r>
        <w:t xml:space="preserve"> &gt; </w:t>
      </w:r>
      <w:r>
        <w:rPr>
          <w:rStyle w:val="Foreign"/>
        </w:rPr>
        <w:t>tad āhuḥ</w:t>
      </w:r>
      <w:r>
        <w:t xml:space="preserve">; </w:t>
      </w:r>
      <w:r>
        <w:rPr>
          <w:rStyle w:val="ForeignDevanagariScript"/>
          <w:rFonts w:ascii="Kokila" w:hAnsi="Kokila" w:cs="Kokila"/>
        </w:rPr>
        <w:t>तद्</w:t>
      </w:r>
      <w:r>
        <w:rPr>
          <w:rStyle w:val="ForeignDevanagariScript"/>
        </w:rPr>
        <w:t xml:space="preserve"> </w:t>
      </w:r>
      <w:r>
        <w:rPr>
          <w:rStyle w:val="ForeignDevanagariScript"/>
          <w:rFonts w:ascii="Kokila" w:hAnsi="Kokila" w:cs="Kokila"/>
        </w:rPr>
        <w:t>आहुः</w:t>
      </w:r>
      <w:r>
        <w:t xml:space="preserve"> &gt; </w:t>
      </w:r>
      <w:r>
        <w:rPr>
          <w:rStyle w:val="Foreign"/>
        </w:rPr>
        <w:t>tad· Āhuḥ</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F46E5"/>
    <w:multiLevelType w:val="multilevel"/>
    <w:tmpl w:val="0526F8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20776C2"/>
    <w:multiLevelType w:val="hybridMultilevel"/>
    <w:tmpl w:val="F97A8352"/>
    <w:lvl w:ilvl="0" w:tplc="B96038A8">
      <w:start w:val="1"/>
      <w:numFmt w:val="bullet"/>
      <w:pStyle w:val="TableNote"/>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4A6119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EE60E80"/>
    <w:multiLevelType w:val="hybridMultilevel"/>
    <w:tmpl w:val="9984D74C"/>
    <w:lvl w:ilvl="0" w:tplc="D2AA8480">
      <w:numFmt w:val="bullet"/>
      <w:lvlText w:val="-"/>
      <w:lvlJc w:val="left"/>
      <w:pPr>
        <w:ind w:left="720" w:hanging="360"/>
      </w:pPr>
      <w:rPr>
        <w:rFonts w:ascii="Gentium Plus" w:eastAsia="Arial Unicode MS" w:hAnsi="Gentium Plus" w:cs="Gentium Plu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C0657B"/>
    <w:multiLevelType w:val="multilevel"/>
    <w:tmpl w:val="28ACCB18"/>
    <w:lvl w:ilvl="0">
      <w:start w:val="1"/>
      <w:numFmt w:val="bullet"/>
      <w:pStyle w:val="Lista"/>
      <w:lvlText w:val="–"/>
      <w:lvlJc w:val="left"/>
      <w:pPr>
        <w:ind w:left="170" w:hanging="170"/>
      </w:pPr>
      <w:rPr>
        <w:rFonts w:hint="default"/>
      </w:rPr>
    </w:lvl>
    <w:lvl w:ilvl="1">
      <w:start w:val="1"/>
      <w:numFmt w:val="bullet"/>
      <w:pStyle w:val="Lista2"/>
      <w:lvlText w:val="–"/>
      <w:lvlJc w:val="left"/>
      <w:pPr>
        <w:ind w:left="340" w:hanging="170"/>
      </w:pPr>
      <w:rPr>
        <w:rFonts w:hint="default"/>
      </w:rPr>
    </w:lvl>
    <w:lvl w:ilvl="2">
      <w:start w:val="1"/>
      <w:numFmt w:val="bullet"/>
      <w:pStyle w:val="Lista3"/>
      <w:lvlText w:val="–"/>
      <w:lvlJc w:val="left"/>
      <w:pPr>
        <w:ind w:left="510" w:hanging="170"/>
      </w:pPr>
      <w:rPr>
        <w:rFonts w:hint="default"/>
      </w:rPr>
    </w:lvl>
    <w:lvl w:ilvl="3">
      <w:start w:val="1"/>
      <w:numFmt w:val="bullet"/>
      <w:pStyle w:val="Lista4"/>
      <w:lvlText w:val="–"/>
      <w:lvlJc w:val="left"/>
      <w:pPr>
        <w:ind w:left="680" w:hanging="170"/>
      </w:pPr>
      <w:rPr>
        <w:rFonts w:hint="default"/>
      </w:rPr>
    </w:lvl>
    <w:lvl w:ilvl="4">
      <w:start w:val="1"/>
      <w:numFmt w:val="bullet"/>
      <w:pStyle w:val="Lista5"/>
      <w:lvlText w:val="–"/>
      <w:lvlJc w:val="left"/>
      <w:pPr>
        <w:ind w:left="850" w:hanging="170"/>
      </w:pPr>
      <w:rPr>
        <w:rFonts w:hint="default"/>
      </w:rPr>
    </w:lvl>
    <w:lvl w:ilvl="5">
      <w:start w:val="1"/>
      <w:numFmt w:val="bullet"/>
      <w:lvlText w:val="–"/>
      <w:lvlJc w:val="left"/>
      <w:pPr>
        <w:ind w:left="1020" w:hanging="170"/>
      </w:pPr>
      <w:rPr>
        <w:rFonts w:hint="default"/>
      </w:rPr>
    </w:lvl>
    <w:lvl w:ilvl="6">
      <w:start w:val="1"/>
      <w:numFmt w:val="bullet"/>
      <w:lvlText w:val="–"/>
      <w:lvlJc w:val="left"/>
      <w:pPr>
        <w:ind w:left="1190" w:hanging="170"/>
      </w:pPr>
      <w:rPr>
        <w:rFonts w:hint="default"/>
      </w:rPr>
    </w:lvl>
    <w:lvl w:ilvl="7">
      <w:start w:val="1"/>
      <w:numFmt w:val="bullet"/>
      <w:lvlText w:val="–"/>
      <w:lvlJc w:val="left"/>
      <w:pPr>
        <w:ind w:left="1360" w:hanging="170"/>
      </w:pPr>
      <w:rPr>
        <w:rFonts w:hint="default"/>
      </w:rPr>
    </w:lvl>
    <w:lvl w:ilvl="8">
      <w:start w:val="1"/>
      <w:numFmt w:val="bullet"/>
      <w:lvlText w:val="–"/>
      <w:lvlJc w:val="left"/>
      <w:pPr>
        <w:ind w:left="1530" w:hanging="170"/>
      </w:pPr>
      <w:rPr>
        <w:rFonts w:hint="default"/>
      </w:rPr>
    </w:lvl>
  </w:abstractNum>
  <w:abstractNum w:abstractNumId="5" w15:restartNumberingAfterBreak="0">
    <w:nsid w:val="33C674BD"/>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6" w15:restartNumberingAfterBreak="0">
    <w:nsid w:val="365D43D7"/>
    <w:multiLevelType w:val="hybridMultilevel"/>
    <w:tmpl w:val="C4323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BF2672F"/>
    <w:multiLevelType w:val="multilevel"/>
    <w:tmpl w:val="6DE09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89003F"/>
    <w:multiLevelType w:val="multilevel"/>
    <w:tmpl w:val="C69AAC88"/>
    <w:lvl w:ilvl="0">
      <w:start w:val="1"/>
      <w:numFmt w:val="bullet"/>
      <w:lvlText w:val="–"/>
      <w:lvlJc w:val="left"/>
      <w:pPr>
        <w:ind w:left="170" w:hanging="17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3C769A7"/>
    <w:multiLevelType w:val="multilevel"/>
    <w:tmpl w:val="2A5C878E"/>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suff w:val="space"/>
      <w:lvlText w:val="%1.%2.%3.%4.%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0" w15:restartNumberingAfterBreak="0">
    <w:nsid w:val="595E2359"/>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1" w15:restartNumberingAfterBreak="0">
    <w:nsid w:val="59B66AEB"/>
    <w:multiLevelType w:val="multilevel"/>
    <w:tmpl w:val="ABEE7108"/>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2" w15:restartNumberingAfterBreak="0">
    <w:nsid w:val="6526364B"/>
    <w:multiLevelType w:val="multilevel"/>
    <w:tmpl w:val="ED64D24A"/>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3" w15:restartNumberingAfterBreak="0">
    <w:nsid w:val="6AD70B07"/>
    <w:multiLevelType w:val="multilevel"/>
    <w:tmpl w:val="6DE09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7A456903"/>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num w:numId="1">
    <w:abstractNumId w:val="7"/>
  </w:num>
  <w:num w:numId="2">
    <w:abstractNumId w:val="4"/>
  </w:num>
  <w:num w:numId="3">
    <w:abstractNumId w:val="12"/>
  </w:num>
  <w:num w:numId="4">
    <w:abstractNumId w:val="1"/>
  </w:num>
  <w:num w:numId="5">
    <w:abstractNumId w:val="11"/>
  </w:num>
  <w:num w:numId="6">
    <w:abstractNumId w:val="13"/>
  </w:num>
  <w:num w:numId="7">
    <w:abstractNumId w:val="5"/>
  </w:num>
  <w:num w:numId="8">
    <w:abstractNumId w:val="14"/>
  </w:num>
  <w:num w:numId="9">
    <w:abstractNumId w:val="9"/>
  </w:num>
  <w:num w:numId="10">
    <w:abstractNumId w:val="3"/>
  </w:num>
  <w:num w:numId="11">
    <w:abstractNumId w:val="0"/>
  </w:num>
  <w:num w:numId="12">
    <w:abstractNumId w:val="8"/>
  </w:num>
  <w:num w:numId="13">
    <w:abstractNumId w:val="1"/>
  </w:num>
  <w:num w:numId="14">
    <w:abstractNumId w:val="1"/>
  </w:num>
  <w:num w:numId="15">
    <w:abstractNumId w:val="1"/>
  </w:num>
  <w:num w:numId="16">
    <w:abstractNumId w:val="6"/>
  </w:num>
  <w:num w:numId="17">
    <w:abstractNumId w:val="2"/>
  </w:num>
  <w:num w:numId="18">
    <w:abstractNumId w:val="10"/>
  </w:num>
  <w:num w:numId="19">
    <w:abstractNumId w:val="9"/>
  </w:num>
  <w:num w:numId="20">
    <w:abstractNumId w:val="9"/>
  </w:num>
  <w:num w:numId="21">
    <w:abstractNumId w:val="9"/>
  </w:num>
  <w:num w:numId="22">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saveSubsetFonts/>
  <w:proofState w:spelling="clean"/>
  <w:attachedTemplate r:id="rId1"/>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autoHyphenation/>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avedView" w:val="3"/>
    <w:docVar w:name="varHeight1" w:val="1085"/>
    <w:docVar w:name="varHeight2" w:val="1085"/>
    <w:docVar w:name="varLeft1" w:val="-5"/>
    <w:docVar w:name="varLeft2" w:val="955"/>
    <w:docVar w:name="varNavHeight" w:val="1220"/>
    <w:docVar w:name="varNavLeft" w:val="0"/>
    <w:docVar w:name="varNavPosition" w:val="0"/>
    <w:docVar w:name="varNavTop" w:val="0"/>
    <w:docVar w:name="varNavVisible" w:val="True"/>
    <w:docVar w:name="varNavWidth" w:val="301"/>
    <w:docVar w:name="varPagination1" w:val="True"/>
    <w:docVar w:name="varPagination2" w:val="False"/>
    <w:docVar w:name="varRevCount1" w:val="1"/>
    <w:docVar w:name="varRevCount2" w:val="2"/>
    <w:docVar w:name="varRevShown1_1" w:val="True"/>
    <w:docVar w:name="varRevShown2_1" w:val="True"/>
    <w:docVar w:name="varRevShown2_2" w:val="True"/>
    <w:docVar w:name="varSavedView1" w:val="3"/>
    <w:docVar w:name="varSavedView2" w:val="3"/>
    <w:docVar w:name="varSelStart1" w:val="679211"/>
    <w:docVar w:name="varSelStart2" w:val="635316"/>
    <w:docVar w:name="varTop1" w:val="0"/>
    <w:docVar w:name="varTop2" w:val="0"/>
    <w:docVar w:name="varWidth1" w:val="1446"/>
    <w:docVar w:name="varWidth2" w:val="971"/>
    <w:docVar w:name="varWindowCount" w:val="1"/>
    <w:docVar w:name="varZoom" w:val="140"/>
    <w:docVar w:name="varZoom1" w:val="140"/>
    <w:docVar w:name="varZoom2" w:val="140"/>
  </w:docVars>
  <m:mathPr>
    <m:mathFont m:val="Cambria Math"/>
    <m:brkBin m:val="before"/>
    <m:brkBinSub m:val="--"/>
    <m:smallFrac m:val="0"/>
    <m:dispDef/>
    <m:lMargin m:val="0"/>
    <m:rMargin m:val="0"/>
    <m:defJc m:val="centerGroup"/>
    <m:wrapIndent m:val="1440"/>
    <m:intLim m:val="subSup"/>
    <m:naryLim m:val="undOvr"/>
  </m:mathPr>
  <w:themeFontLang w:val="en-GB" w:eastAsia="en-GB"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iscardImageEditingData/>
  <w14:defaultImageDpi w14:val="32767"/>
  <w15:docId w15:val="{9D51553F-46BB-44F5-8D61-679A0F21A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GB" w:bidi="hi-IN"/>
      </w:rPr>
    </w:rPrDefault>
    <w:pPrDefault>
      <w:pPr>
        <w:widowControl w:val="0"/>
        <w:ind w:left="170"/>
        <w:jc w:val="both"/>
      </w:pPr>
    </w:pPrDefault>
  </w:docDefaults>
  <w:latentStyles w:defLockedState="0" w:defUIPriority="99" w:defSemiHidden="0" w:defUnhideWhenUsed="0" w:defQFormat="0" w:count="376">
    <w:lsdException w:name="Normal" w:uiPriority="0"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24" w:unhideWhenUsed="1" w:qFormat="1"/>
    <w:lsdException w:name="footer" w:semiHidden="1" w:uiPriority="24"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7" w:unhideWhenUsed="1" w:qFormat="1"/>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 w:qFormat="1"/>
    <w:lsdException w:name="Closing" w:semiHidden="1" w:unhideWhenUsed="1"/>
    <w:lsdException w:name="Signature" w:semiHidden="1" w:unhideWhenUsed="1"/>
    <w:lsdException w:name="Default Paragraph Font" w:semiHidden="1" w:uiPriority="1" w:unhideWhenUsed="1"/>
    <w:lsdException w:name="Body Text" w:semiHidden="1" w:uiPriority="74"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spacing w:line="280" w:lineRule="exact"/>
      <w:ind w:left="0"/>
    </w:pPr>
    <w:rPr>
      <w:rFonts w:ascii="Gentium" w:eastAsiaTheme="minorEastAsia" w:hAnsi="Gentium" w:cs="Tiro Devanagari Sanskrit"/>
      <w:kern w:val="2"/>
      <w:sz w:val="22"/>
      <w:szCs w:val="22"/>
      <w:lang w:eastAsia="zh-TW"/>
      <w14:ligatures w14:val="standardContextual"/>
    </w:rPr>
  </w:style>
  <w:style w:type="paragraph" w:styleId="Cmsor1">
    <w:name w:val="heading 1"/>
    <w:basedOn w:val="Norml"/>
    <w:next w:val="Norml"/>
    <w:link w:val="Cmsor1Char"/>
    <w:uiPriority w:val="4"/>
    <w:qFormat/>
    <w:pPr>
      <w:keepNext/>
      <w:pageBreakBefore/>
      <w:numPr>
        <w:numId w:val="9"/>
      </w:numPr>
      <w:pBdr>
        <w:bottom w:val="thinThickMediumGap" w:sz="24" w:space="1" w:color="auto"/>
      </w:pBdr>
      <w:tabs>
        <w:tab w:val="left" w:pos="425"/>
      </w:tabs>
      <w:autoSpaceDE w:val="0"/>
      <w:autoSpaceDN w:val="0"/>
      <w:spacing w:before="240" w:after="240" w:line="360" w:lineRule="exact"/>
      <w:jc w:val="center"/>
      <w:outlineLvl w:val="0"/>
    </w:pPr>
    <w:rPr>
      <w:rFonts w:ascii="Calibri" w:eastAsia="Arial Unicode MS" w:hAnsi="Calibri"/>
      <w:b/>
      <w:bCs/>
      <w:kern w:val="32"/>
      <w:sz w:val="32"/>
      <w:szCs w:val="30"/>
      <w:lang w:eastAsia="en-US" w:bidi="ar-SA"/>
      <w14:ligatures w14:val="none"/>
    </w:rPr>
  </w:style>
  <w:style w:type="paragraph" w:styleId="Cmsor2">
    <w:name w:val="heading 2"/>
    <w:basedOn w:val="Cmsor1"/>
    <w:next w:val="Norml"/>
    <w:link w:val="Cmsor2Char"/>
    <w:uiPriority w:val="4"/>
    <w:qFormat/>
    <w:pPr>
      <w:pageBreakBefore w:val="0"/>
      <w:numPr>
        <w:ilvl w:val="1"/>
      </w:numPr>
      <w:pBdr>
        <w:bottom w:val="double" w:sz="12" w:space="1" w:color="auto"/>
      </w:pBdr>
      <w:tabs>
        <w:tab w:val="left" w:pos="567"/>
      </w:tabs>
      <w:jc w:val="left"/>
      <w:outlineLvl w:val="1"/>
    </w:pPr>
    <w:rPr>
      <w:b w:val="0"/>
      <w:bCs w:val="0"/>
      <w:sz w:val="28"/>
      <w:szCs w:val="26"/>
    </w:rPr>
  </w:style>
  <w:style w:type="paragraph" w:styleId="Cmsor3">
    <w:name w:val="heading 3"/>
    <w:basedOn w:val="Cmsor1"/>
    <w:next w:val="Norml"/>
    <w:link w:val="Cmsor3Char"/>
    <w:uiPriority w:val="4"/>
    <w:qFormat/>
    <w:pPr>
      <w:pageBreakBefore w:val="0"/>
      <w:numPr>
        <w:ilvl w:val="2"/>
      </w:numPr>
      <w:pBdr>
        <w:bottom w:val="single" w:sz="12" w:space="1" w:color="auto"/>
      </w:pBdr>
      <w:tabs>
        <w:tab w:val="left" w:pos="709"/>
      </w:tabs>
      <w:spacing w:before="120" w:after="120" w:line="320" w:lineRule="exact"/>
      <w:jc w:val="left"/>
      <w:outlineLvl w:val="2"/>
    </w:pPr>
    <w:rPr>
      <w:b w:val="0"/>
      <w:bCs w:val="0"/>
      <w:sz w:val="24"/>
      <w:szCs w:val="24"/>
    </w:rPr>
  </w:style>
  <w:style w:type="paragraph" w:styleId="Cmsor4">
    <w:name w:val="heading 4"/>
    <w:basedOn w:val="Cmsor3"/>
    <w:next w:val="Norml"/>
    <w:link w:val="Cmsor4Char"/>
    <w:uiPriority w:val="4"/>
    <w:qFormat/>
    <w:pPr>
      <w:numPr>
        <w:ilvl w:val="3"/>
      </w:numPr>
      <w:pBdr>
        <w:bottom w:val="single" w:sz="4" w:space="1" w:color="auto"/>
      </w:pBdr>
      <w:spacing w:before="240" w:after="60" w:line="280" w:lineRule="exact"/>
      <w:outlineLvl w:val="3"/>
    </w:pPr>
    <w:rPr>
      <w:sz w:val="22"/>
    </w:rPr>
  </w:style>
  <w:style w:type="paragraph" w:styleId="Cmsor5">
    <w:name w:val="heading 5"/>
    <w:basedOn w:val="Norml"/>
    <w:next w:val="Cmsor3"/>
    <w:link w:val="Cmsor5Char"/>
    <w:uiPriority w:val="4"/>
    <w:qFormat/>
    <w:pPr>
      <w:numPr>
        <w:ilvl w:val="4"/>
        <w:numId w:val="9"/>
      </w:numPr>
      <w:autoSpaceDE w:val="0"/>
      <w:autoSpaceDN w:val="0"/>
      <w:spacing w:before="120" w:after="60"/>
      <w:outlineLvl w:val="4"/>
    </w:pPr>
    <w:rPr>
      <w:rFonts w:ascii="Tahoma" w:eastAsia="Arial Unicode MS" w:hAnsi="Tahoma"/>
      <w:kern w:val="0"/>
      <w:lang w:val="hu-HU" w:eastAsia="en-US" w:bidi="ar-SA"/>
      <w14:ligatures w14:val="none"/>
    </w:rPr>
  </w:style>
  <w:style w:type="paragraph" w:styleId="Cmsor6">
    <w:name w:val="heading 6"/>
    <w:basedOn w:val="Norml"/>
    <w:next w:val="Norml"/>
    <w:uiPriority w:val="9"/>
    <w:semiHidden/>
    <w:unhideWhenUsed/>
    <w:qFormat/>
    <w:pPr>
      <w:keepNext/>
      <w:keepLines/>
      <w:autoSpaceDE w:val="0"/>
      <w:autoSpaceDN w:val="0"/>
      <w:spacing w:before="200" w:after="40"/>
      <w:outlineLvl w:val="5"/>
    </w:pPr>
    <w:rPr>
      <w:rFonts w:eastAsia="Arial Unicode MS"/>
      <w:b/>
      <w:kern w:val="0"/>
      <w:sz w:val="20"/>
      <w:szCs w:val="20"/>
      <w:lang w:eastAsia="en-US" w:bidi="ar-SA"/>
      <w14:ligatures w14:val="none"/>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4"/>
    <w:rPr>
      <w:rFonts w:ascii="Calibri" w:eastAsia="Arial Unicode MS" w:hAnsi="Calibri" w:cs="Tiro Devanagari Sanskrit"/>
      <w:b/>
      <w:bCs/>
      <w:kern w:val="32"/>
      <w:sz w:val="32"/>
      <w:szCs w:val="30"/>
      <w:lang w:eastAsia="en-US" w:bidi="ar-SA"/>
    </w:rPr>
  </w:style>
  <w:style w:type="character" w:customStyle="1" w:styleId="Cmsor2Char">
    <w:name w:val="Címsor 2 Char"/>
    <w:basedOn w:val="Bekezdsalapbettpusa"/>
    <w:link w:val="Cmsor2"/>
    <w:uiPriority w:val="4"/>
    <w:rPr>
      <w:rFonts w:ascii="Calibri" w:eastAsia="Arial Unicode MS" w:hAnsi="Calibri" w:cs="Tiro Devanagari Sanskrit"/>
      <w:kern w:val="32"/>
      <w:sz w:val="28"/>
      <w:szCs w:val="26"/>
      <w:lang w:eastAsia="en-US" w:bidi="ar-SA"/>
    </w:rPr>
  </w:style>
  <w:style w:type="character" w:customStyle="1" w:styleId="Cmsor3Char">
    <w:name w:val="Címsor 3 Char"/>
    <w:basedOn w:val="Bekezdsalapbettpusa"/>
    <w:link w:val="Cmsor3"/>
    <w:uiPriority w:val="4"/>
    <w:rPr>
      <w:rFonts w:ascii="Calibri" w:eastAsia="Arial Unicode MS" w:hAnsi="Calibri" w:cs="Tiro Devanagari Sanskrit"/>
      <w:kern w:val="32"/>
      <w:lang w:eastAsia="en-US" w:bidi="ar-SA"/>
    </w:rPr>
  </w:style>
  <w:style w:type="character" w:customStyle="1" w:styleId="Cmsor4Char">
    <w:name w:val="Címsor 4 Char"/>
    <w:basedOn w:val="Bekezdsalapbettpusa"/>
    <w:link w:val="Cmsor4"/>
    <w:uiPriority w:val="4"/>
    <w:rPr>
      <w:rFonts w:ascii="Calibri" w:eastAsia="Arial Unicode MS" w:hAnsi="Calibri" w:cs="Tiro Devanagari Sanskrit"/>
      <w:kern w:val="32"/>
      <w:sz w:val="22"/>
      <w:lang w:eastAsia="en-US" w:bidi="ar-SA"/>
    </w:rPr>
  </w:style>
  <w:style w:type="character" w:customStyle="1" w:styleId="Cmsor5Char">
    <w:name w:val="Címsor 5 Char"/>
    <w:basedOn w:val="Bekezdsalapbettpusa"/>
    <w:link w:val="Cmsor5"/>
    <w:uiPriority w:val="4"/>
    <w:rPr>
      <w:rFonts w:ascii="Tahoma" w:eastAsia="Arial Unicode MS" w:hAnsi="Tahoma" w:cs="Tiro Devanagari Sanskrit"/>
      <w:sz w:val="22"/>
      <w:szCs w:val="22"/>
      <w:lang w:val="hu-HU" w:eastAsia="en-US" w:bidi="ar-SA"/>
    </w:rPr>
  </w:style>
  <w:style w:type="table" w:customStyle="1" w:styleId="TableNormal">
    <w:name w:val="Table Normal"/>
    <w:pPr>
      <w:ind w:left="0"/>
    </w:pPr>
    <w:rPr>
      <w:rFonts w:ascii="Gentium Plus" w:eastAsia="Arial Unicode MS" w:hAnsi="Gentium Plus" w:cs="Murty Sanskrit"/>
      <w:lang w:eastAsia="zh-TW"/>
    </w:rPr>
    <w:tblPr>
      <w:tblCellMar>
        <w:top w:w="0" w:type="dxa"/>
        <w:left w:w="0" w:type="dxa"/>
        <w:bottom w:w="0" w:type="dxa"/>
        <w:right w:w="0" w:type="dxa"/>
      </w:tblCellMar>
    </w:tblPr>
  </w:style>
  <w:style w:type="paragraph" w:styleId="Cm">
    <w:name w:val="Title"/>
    <w:basedOn w:val="Norml"/>
    <w:link w:val="CmChar"/>
    <w:uiPriority w:val="9"/>
    <w:qFormat/>
    <w:pPr>
      <w:pageBreakBefore/>
      <w:autoSpaceDE w:val="0"/>
      <w:autoSpaceDN w:val="0"/>
      <w:spacing w:after="240" w:line="240" w:lineRule="auto"/>
      <w:jc w:val="center"/>
      <w:outlineLvl w:val="0"/>
    </w:pPr>
    <w:rPr>
      <w:rFonts w:ascii="Calibri" w:eastAsia="Arial Unicode MS" w:hAnsi="Calibri"/>
      <w:b/>
      <w:bCs/>
      <w:kern w:val="28"/>
      <w:sz w:val="96"/>
      <w:szCs w:val="32"/>
      <w:lang w:eastAsia="en-US" w:bidi="ar-SA"/>
      <w14:ligatures w14:val="none"/>
    </w:rPr>
  </w:style>
  <w:style w:type="character" w:customStyle="1" w:styleId="CmChar">
    <w:name w:val="Cím Char"/>
    <w:basedOn w:val="Bekezdsalapbettpusa"/>
    <w:link w:val="Cm"/>
    <w:uiPriority w:val="9"/>
    <w:rPr>
      <w:rFonts w:ascii="Calibri" w:eastAsia="Arial Unicode MS" w:hAnsi="Calibri" w:cs="Tiro Devanagari Sanskrit"/>
      <w:b/>
      <w:bCs/>
      <w:kern w:val="28"/>
      <w:sz w:val="96"/>
      <w:szCs w:val="32"/>
      <w:lang w:eastAsia="en-US" w:bidi="ar-SA"/>
    </w:rPr>
  </w:style>
  <w:style w:type="paragraph" w:styleId="Alcm">
    <w:name w:val="Subtitle"/>
    <w:basedOn w:val="Norml"/>
    <w:link w:val="AlcmChar"/>
    <w:uiPriority w:val="9"/>
    <w:qFormat/>
    <w:pPr>
      <w:spacing w:before="120" w:after="120"/>
      <w:jc w:val="center"/>
      <w:outlineLvl w:val="1"/>
    </w:pPr>
    <w:rPr>
      <w:rFonts w:ascii="Tahoma" w:hAnsi="Tahoma"/>
      <w:sz w:val="28"/>
      <w:szCs w:val="26"/>
    </w:rPr>
  </w:style>
  <w:style w:type="character" w:customStyle="1" w:styleId="AlcmChar">
    <w:name w:val="Alcím Char"/>
    <w:basedOn w:val="Bekezdsalapbettpusa"/>
    <w:link w:val="Alcm"/>
    <w:uiPriority w:val="9"/>
    <w:rPr>
      <w:rFonts w:ascii="Tahoma" w:eastAsiaTheme="minorEastAsia" w:hAnsi="Tahoma" w:cs="Tiro Devanagari Sanskrit"/>
      <w:kern w:val="2"/>
      <w:sz w:val="28"/>
      <w:szCs w:val="26"/>
      <w:lang w:eastAsia="zh-TW"/>
      <w14:ligatures w14:val="standardContextual"/>
    </w:rPr>
  </w:style>
  <w:style w:type="table" w:customStyle="1" w:styleId="84">
    <w:name w:val="84"/>
    <w:basedOn w:val="TableNormal"/>
    <w:tblPr>
      <w:tblStyleRowBandSize w:val="1"/>
      <w:tblStyleColBandSize w:val="1"/>
      <w:tblCellMar>
        <w:top w:w="100" w:type="dxa"/>
        <w:left w:w="100" w:type="dxa"/>
        <w:bottom w:w="100" w:type="dxa"/>
        <w:right w:w="100" w:type="dxa"/>
      </w:tblCellMar>
    </w:tblPr>
  </w:style>
  <w:style w:type="table" w:customStyle="1" w:styleId="83">
    <w:name w:val="83"/>
    <w:basedOn w:val="TableNormal"/>
    <w:tblPr>
      <w:tblStyleRowBandSize w:val="1"/>
      <w:tblStyleColBandSize w:val="1"/>
      <w:tblCellMar>
        <w:top w:w="100" w:type="dxa"/>
        <w:left w:w="100" w:type="dxa"/>
        <w:bottom w:w="100" w:type="dxa"/>
        <w:right w:w="100" w:type="dxa"/>
      </w:tblCellMar>
    </w:tblPr>
  </w:style>
  <w:style w:type="table" w:customStyle="1" w:styleId="82">
    <w:name w:val="82"/>
    <w:basedOn w:val="TableNormal"/>
    <w:tblPr>
      <w:tblStyleRowBandSize w:val="1"/>
      <w:tblStyleColBandSize w:val="1"/>
      <w:tblCellMar>
        <w:top w:w="100" w:type="dxa"/>
        <w:left w:w="100" w:type="dxa"/>
        <w:bottom w:w="100" w:type="dxa"/>
        <w:right w:w="100" w:type="dxa"/>
      </w:tblCellMar>
    </w:tblPr>
  </w:style>
  <w:style w:type="table" w:customStyle="1" w:styleId="81">
    <w:name w:val="81"/>
    <w:basedOn w:val="TableNormal"/>
    <w:tblPr>
      <w:tblStyleRowBandSize w:val="1"/>
      <w:tblStyleColBandSize w:val="1"/>
      <w:tblCellMar>
        <w:top w:w="100" w:type="dxa"/>
        <w:left w:w="100" w:type="dxa"/>
        <w:bottom w:w="100" w:type="dxa"/>
        <w:right w:w="100" w:type="dxa"/>
      </w:tblCellMar>
    </w:tblPr>
  </w:style>
  <w:style w:type="table" w:customStyle="1" w:styleId="80">
    <w:name w:val="80"/>
    <w:basedOn w:val="TableNormal"/>
    <w:tblPr>
      <w:tblStyleRowBandSize w:val="1"/>
      <w:tblStyleColBandSize w:val="1"/>
      <w:tblCellMar>
        <w:top w:w="100" w:type="dxa"/>
        <w:left w:w="100" w:type="dxa"/>
        <w:bottom w:w="100" w:type="dxa"/>
        <w:right w:w="100" w:type="dxa"/>
      </w:tblCellMar>
    </w:tblPr>
  </w:style>
  <w:style w:type="table" w:customStyle="1" w:styleId="79">
    <w:name w:val="79"/>
    <w:basedOn w:val="TableNormal"/>
    <w:tblPr>
      <w:tblStyleRowBandSize w:val="1"/>
      <w:tblStyleColBandSize w:val="1"/>
      <w:tblCellMar>
        <w:top w:w="100" w:type="dxa"/>
        <w:left w:w="100" w:type="dxa"/>
        <w:bottom w:w="100" w:type="dxa"/>
        <w:right w:w="100" w:type="dxa"/>
      </w:tblCellMar>
    </w:tblPr>
  </w:style>
  <w:style w:type="table" w:customStyle="1" w:styleId="78">
    <w:name w:val="78"/>
    <w:basedOn w:val="TableNormal"/>
    <w:tblPr>
      <w:tblStyleRowBandSize w:val="1"/>
      <w:tblStyleColBandSize w:val="1"/>
      <w:tblCellMar>
        <w:top w:w="100" w:type="dxa"/>
        <w:left w:w="100" w:type="dxa"/>
        <w:bottom w:w="100" w:type="dxa"/>
        <w:right w:w="100" w:type="dxa"/>
      </w:tblCellMar>
    </w:tblPr>
  </w:style>
  <w:style w:type="table" w:customStyle="1" w:styleId="77">
    <w:name w:val="77"/>
    <w:basedOn w:val="TableNormal"/>
    <w:tblPr>
      <w:tblStyleRowBandSize w:val="1"/>
      <w:tblStyleColBandSize w:val="1"/>
      <w:tblCellMar>
        <w:top w:w="100" w:type="dxa"/>
        <w:left w:w="100" w:type="dxa"/>
        <w:bottom w:w="100" w:type="dxa"/>
        <w:right w:w="100" w:type="dxa"/>
      </w:tblCellMar>
    </w:tblPr>
  </w:style>
  <w:style w:type="table" w:customStyle="1" w:styleId="76">
    <w:name w:val="76"/>
    <w:basedOn w:val="TableNormal"/>
    <w:tblPr>
      <w:tblStyleRowBandSize w:val="1"/>
      <w:tblStyleColBandSize w:val="1"/>
      <w:tblCellMar>
        <w:top w:w="100" w:type="dxa"/>
        <w:left w:w="100" w:type="dxa"/>
        <w:bottom w:w="100" w:type="dxa"/>
        <w:right w:w="100" w:type="dxa"/>
      </w:tblCellMar>
    </w:tblPr>
  </w:style>
  <w:style w:type="table" w:customStyle="1" w:styleId="75">
    <w:name w:val="75"/>
    <w:basedOn w:val="TableNormal"/>
    <w:tblPr>
      <w:tblStyleRowBandSize w:val="1"/>
      <w:tblStyleColBandSize w:val="1"/>
      <w:tblCellMar>
        <w:top w:w="100" w:type="dxa"/>
        <w:left w:w="100" w:type="dxa"/>
        <w:bottom w:w="100" w:type="dxa"/>
        <w:right w:w="100" w:type="dxa"/>
      </w:tblCellMar>
    </w:tblPr>
  </w:style>
  <w:style w:type="table" w:customStyle="1" w:styleId="74">
    <w:name w:val="74"/>
    <w:basedOn w:val="TableNormal"/>
    <w:tblPr>
      <w:tblStyleRowBandSize w:val="1"/>
      <w:tblStyleColBandSize w:val="1"/>
      <w:tblCellMar>
        <w:top w:w="100" w:type="dxa"/>
        <w:left w:w="100" w:type="dxa"/>
        <w:bottom w:w="100" w:type="dxa"/>
        <w:right w:w="100" w:type="dxa"/>
      </w:tblCellMar>
    </w:tblPr>
  </w:style>
  <w:style w:type="table" w:customStyle="1" w:styleId="73">
    <w:name w:val="73"/>
    <w:basedOn w:val="TableNormal"/>
    <w:tblPr>
      <w:tblStyleRowBandSize w:val="1"/>
      <w:tblStyleColBandSize w:val="1"/>
      <w:tblCellMar>
        <w:top w:w="100" w:type="dxa"/>
        <w:left w:w="100" w:type="dxa"/>
        <w:bottom w:w="100" w:type="dxa"/>
        <w:right w:w="100" w:type="dxa"/>
      </w:tblCellMar>
    </w:tblPr>
  </w:style>
  <w:style w:type="table" w:customStyle="1" w:styleId="72">
    <w:name w:val="72"/>
    <w:basedOn w:val="TableNormal"/>
    <w:tblPr>
      <w:tblStyleRowBandSize w:val="1"/>
      <w:tblStyleColBandSize w:val="1"/>
      <w:tblCellMar>
        <w:top w:w="100" w:type="dxa"/>
        <w:left w:w="100" w:type="dxa"/>
        <w:bottom w:w="100" w:type="dxa"/>
        <w:right w:w="100" w:type="dxa"/>
      </w:tblCellMar>
    </w:tblPr>
  </w:style>
  <w:style w:type="table" w:customStyle="1" w:styleId="71">
    <w:name w:val="71"/>
    <w:basedOn w:val="TableNormal"/>
    <w:tblPr>
      <w:tblStyleRowBandSize w:val="1"/>
      <w:tblStyleColBandSize w:val="1"/>
      <w:tblCellMar>
        <w:top w:w="100" w:type="dxa"/>
        <w:left w:w="100" w:type="dxa"/>
        <w:bottom w:w="100" w:type="dxa"/>
        <w:right w:w="100" w:type="dxa"/>
      </w:tblCellMar>
    </w:tblPr>
  </w:style>
  <w:style w:type="table" w:customStyle="1" w:styleId="70">
    <w:name w:val="70"/>
    <w:basedOn w:val="TableNormal"/>
    <w:tblPr>
      <w:tblStyleRowBandSize w:val="1"/>
      <w:tblStyleColBandSize w:val="1"/>
      <w:tblCellMar>
        <w:top w:w="100" w:type="dxa"/>
        <w:left w:w="100" w:type="dxa"/>
        <w:bottom w:w="100" w:type="dxa"/>
        <w:right w:w="100" w:type="dxa"/>
      </w:tblCellMar>
    </w:tblPr>
  </w:style>
  <w:style w:type="table" w:customStyle="1" w:styleId="69">
    <w:name w:val="69"/>
    <w:basedOn w:val="TableNormal"/>
    <w:tblPr>
      <w:tblStyleRowBandSize w:val="1"/>
      <w:tblStyleColBandSize w:val="1"/>
      <w:tblCellMar>
        <w:top w:w="100" w:type="dxa"/>
        <w:left w:w="100" w:type="dxa"/>
        <w:bottom w:w="100" w:type="dxa"/>
        <w:right w:w="100" w:type="dxa"/>
      </w:tblCellMar>
    </w:tblPr>
  </w:style>
  <w:style w:type="table" w:customStyle="1" w:styleId="68">
    <w:name w:val="68"/>
    <w:basedOn w:val="TableNormal"/>
    <w:tblPr>
      <w:tblStyleRowBandSize w:val="1"/>
      <w:tblStyleColBandSize w:val="1"/>
      <w:tblCellMar>
        <w:top w:w="100" w:type="dxa"/>
        <w:left w:w="100" w:type="dxa"/>
        <w:bottom w:w="100" w:type="dxa"/>
        <w:right w:w="100" w:type="dxa"/>
      </w:tblCellMar>
    </w:tblPr>
  </w:style>
  <w:style w:type="table" w:customStyle="1" w:styleId="67">
    <w:name w:val="67"/>
    <w:basedOn w:val="TableNormal"/>
    <w:tblPr>
      <w:tblStyleRowBandSize w:val="1"/>
      <w:tblStyleColBandSize w:val="1"/>
      <w:tblCellMar>
        <w:top w:w="100" w:type="dxa"/>
        <w:left w:w="100" w:type="dxa"/>
        <w:bottom w:w="100" w:type="dxa"/>
        <w:right w:w="100" w:type="dxa"/>
      </w:tblCellMar>
    </w:tblPr>
  </w:style>
  <w:style w:type="table" w:customStyle="1" w:styleId="66">
    <w:name w:val="66"/>
    <w:basedOn w:val="TableNormal"/>
    <w:tblPr>
      <w:tblStyleRowBandSize w:val="1"/>
      <w:tblStyleColBandSize w:val="1"/>
      <w:tblCellMar>
        <w:top w:w="100" w:type="dxa"/>
        <w:left w:w="100" w:type="dxa"/>
        <w:bottom w:w="100" w:type="dxa"/>
        <w:right w:w="100" w:type="dxa"/>
      </w:tblCellMar>
    </w:tblPr>
  </w:style>
  <w:style w:type="table" w:customStyle="1" w:styleId="65">
    <w:name w:val="65"/>
    <w:basedOn w:val="TableNormal"/>
    <w:tblPr>
      <w:tblStyleRowBandSize w:val="1"/>
      <w:tblStyleColBandSize w:val="1"/>
      <w:tblCellMar>
        <w:top w:w="100" w:type="dxa"/>
        <w:left w:w="100" w:type="dxa"/>
        <w:bottom w:w="100" w:type="dxa"/>
        <w:right w:w="100" w:type="dxa"/>
      </w:tblCellMar>
    </w:tblPr>
  </w:style>
  <w:style w:type="table" w:customStyle="1" w:styleId="64">
    <w:name w:val="64"/>
    <w:basedOn w:val="TableNormal"/>
    <w:tblPr>
      <w:tblStyleRowBandSize w:val="1"/>
      <w:tblStyleColBandSize w:val="1"/>
      <w:tblCellMar>
        <w:top w:w="100" w:type="dxa"/>
        <w:left w:w="100" w:type="dxa"/>
        <w:bottom w:w="100" w:type="dxa"/>
        <w:right w:w="100" w:type="dxa"/>
      </w:tblCellMar>
    </w:tblPr>
  </w:style>
  <w:style w:type="table" w:customStyle="1" w:styleId="63">
    <w:name w:val="63"/>
    <w:basedOn w:val="TableNormal"/>
    <w:tblPr>
      <w:tblStyleRowBandSize w:val="1"/>
      <w:tblStyleColBandSize w:val="1"/>
      <w:tblCellMar>
        <w:top w:w="100" w:type="dxa"/>
        <w:left w:w="100" w:type="dxa"/>
        <w:bottom w:w="100" w:type="dxa"/>
        <w:right w:w="100" w:type="dxa"/>
      </w:tblCellMar>
    </w:tblPr>
  </w:style>
  <w:style w:type="table" w:customStyle="1" w:styleId="62">
    <w:name w:val="62"/>
    <w:basedOn w:val="TableNormal"/>
    <w:tblPr>
      <w:tblStyleRowBandSize w:val="1"/>
      <w:tblStyleColBandSize w:val="1"/>
      <w:tblCellMar>
        <w:top w:w="100" w:type="dxa"/>
        <w:left w:w="100" w:type="dxa"/>
        <w:bottom w:w="100" w:type="dxa"/>
        <w:right w:w="100" w:type="dxa"/>
      </w:tblCellMar>
    </w:tblPr>
  </w:style>
  <w:style w:type="table" w:customStyle="1" w:styleId="61">
    <w:name w:val="61"/>
    <w:basedOn w:val="TableNormal"/>
    <w:tblPr>
      <w:tblStyleRowBandSize w:val="1"/>
      <w:tblStyleColBandSize w:val="1"/>
      <w:tblCellMar>
        <w:top w:w="100" w:type="dxa"/>
        <w:left w:w="100" w:type="dxa"/>
        <w:bottom w:w="100" w:type="dxa"/>
        <w:right w:w="100" w:type="dxa"/>
      </w:tblCellMar>
    </w:tblPr>
  </w:style>
  <w:style w:type="table" w:customStyle="1" w:styleId="60">
    <w:name w:val="60"/>
    <w:basedOn w:val="TableNormal"/>
    <w:tblPr>
      <w:tblStyleRowBandSize w:val="1"/>
      <w:tblStyleColBandSize w:val="1"/>
      <w:tblCellMar>
        <w:top w:w="100" w:type="dxa"/>
        <w:left w:w="100" w:type="dxa"/>
        <w:bottom w:w="100" w:type="dxa"/>
        <w:right w:w="100" w:type="dxa"/>
      </w:tblCellMar>
    </w:tblPr>
  </w:style>
  <w:style w:type="table" w:customStyle="1" w:styleId="59">
    <w:name w:val="59"/>
    <w:basedOn w:val="TableNormal"/>
    <w:tblPr>
      <w:tblStyleRowBandSize w:val="1"/>
      <w:tblStyleColBandSize w:val="1"/>
      <w:tblCellMar>
        <w:top w:w="100" w:type="dxa"/>
        <w:left w:w="100" w:type="dxa"/>
        <w:bottom w:w="100" w:type="dxa"/>
        <w:right w:w="100" w:type="dxa"/>
      </w:tblCellMar>
    </w:tblPr>
  </w:style>
  <w:style w:type="table" w:customStyle="1" w:styleId="58">
    <w:name w:val="58"/>
    <w:basedOn w:val="TableNormal"/>
    <w:tblPr>
      <w:tblStyleRowBandSize w:val="1"/>
      <w:tblStyleColBandSize w:val="1"/>
      <w:tblCellMar>
        <w:top w:w="100" w:type="dxa"/>
        <w:left w:w="100" w:type="dxa"/>
        <w:bottom w:w="100" w:type="dxa"/>
        <w:right w:w="100" w:type="dxa"/>
      </w:tblCellMar>
    </w:tblPr>
  </w:style>
  <w:style w:type="table" w:customStyle="1" w:styleId="57">
    <w:name w:val="57"/>
    <w:basedOn w:val="TableNormal"/>
    <w:tblPr>
      <w:tblStyleRowBandSize w:val="1"/>
      <w:tblStyleColBandSize w:val="1"/>
      <w:tblCellMar>
        <w:top w:w="100" w:type="dxa"/>
        <w:left w:w="100" w:type="dxa"/>
        <w:bottom w:w="100" w:type="dxa"/>
        <w:right w:w="100" w:type="dxa"/>
      </w:tblCellMar>
    </w:tblPr>
  </w:style>
  <w:style w:type="table" w:customStyle="1" w:styleId="56">
    <w:name w:val="56"/>
    <w:basedOn w:val="TableNormal"/>
    <w:tblPr>
      <w:tblStyleRowBandSize w:val="1"/>
      <w:tblStyleColBandSize w:val="1"/>
      <w:tblCellMar>
        <w:top w:w="100" w:type="dxa"/>
        <w:left w:w="100" w:type="dxa"/>
        <w:bottom w:w="100" w:type="dxa"/>
        <w:right w:w="100" w:type="dxa"/>
      </w:tblCellMar>
    </w:tblPr>
  </w:style>
  <w:style w:type="table" w:customStyle="1" w:styleId="55">
    <w:name w:val="55"/>
    <w:basedOn w:val="TableNormal"/>
    <w:tblPr>
      <w:tblStyleRowBandSize w:val="1"/>
      <w:tblStyleColBandSize w:val="1"/>
      <w:tblCellMar>
        <w:top w:w="100" w:type="dxa"/>
        <w:left w:w="100" w:type="dxa"/>
        <w:bottom w:w="100" w:type="dxa"/>
        <w:right w:w="100" w:type="dxa"/>
      </w:tblCellMar>
    </w:tblPr>
  </w:style>
  <w:style w:type="table" w:customStyle="1" w:styleId="54">
    <w:name w:val="54"/>
    <w:basedOn w:val="TableNormal"/>
    <w:tblPr>
      <w:tblStyleRowBandSize w:val="1"/>
      <w:tblStyleColBandSize w:val="1"/>
      <w:tblCellMar>
        <w:top w:w="100" w:type="dxa"/>
        <w:left w:w="100" w:type="dxa"/>
        <w:bottom w:w="100" w:type="dxa"/>
        <w:right w:w="100" w:type="dxa"/>
      </w:tblCellMar>
    </w:tblPr>
  </w:style>
  <w:style w:type="table" w:customStyle="1" w:styleId="53">
    <w:name w:val="53"/>
    <w:basedOn w:val="TableNormal"/>
    <w:tblPr>
      <w:tblStyleRowBandSize w:val="1"/>
      <w:tblStyleColBandSize w:val="1"/>
      <w:tblCellMar>
        <w:top w:w="100" w:type="dxa"/>
        <w:left w:w="100" w:type="dxa"/>
        <w:bottom w:w="100" w:type="dxa"/>
        <w:right w:w="100" w:type="dxa"/>
      </w:tblCellMar>
    </w:tblPr>
  </w:style>
  <w:style w:type="table" w:customStyle="1" w:styleId="52">
    <w:name w:val="52"/>
    <w:basedOn w:val="TableNormal"/>
    <w:tblPr>
      <w:tblStyleRowBandSize w:val="1"/>
      <w:tblStyleColBandSize w:val="1"/>
      <w:tblCellMar>
        <w:top w:w="100" w:type="dxa"/>
        <w:left w:w="100" w:type="dxa"/>
        <w:bottom w:w="100" w:type="dxa"/>
        <w:right w:w="100" w:type="dxa"/>
      </w:tblCellMar>
    </w:tblPr>
  </w:style>
  <w:style w:type="table" w:customStyle="1" w:styleId="51">
    <w:name w:val="51"/>
    <w:basedOn w:val="TableNormal"/>
    <w:tblPr>
      <w:tblStyleRowBandSize w:val="1"/>
      <w:tblStyleColBandSize w:val="1"/>
      <w:tblCellMar>
        <w:top w:w="100" w:type="dxa"/>
        <w:left w:w="100" w:type="dxa"/>
        <w:bottom w:w="100" w:type="dxa"/>
        <w:right w:w="100" w:type="dxa"/>
      </w:tblCellMar>
    </w:tblPr>
  </w:style>
  <w:style w:type="table" w:customStyle="1" w:styleId="50">
    <w:name w:val="50"/>
    <w:basedOn w:val="TableNormal"/>
    <w:tblPr>
      <w:tblStyleRowBandSize w:val="1"/>
      <w:tblStyleColBandSize w:val="1"/>
      <w:tblCellMar>
        <w:top w:w="100" w:type="dxa"/>
        <w:left w:w="100" w:type="dxa"/>
        <w:bottom w:w="100" w:type="dxa"/>
        <w:right w:w="100" w:type="dxa"/>
      </w:tblCellMar>
    </w:tblPr>
  </w:style>
  <w:style w:type="table" w:customStyle="1" w:styleId="49">
    <w:name w:val="49"/>
    <w:basedOn w:val="TableNormal"/>
    <w:tblPr>
      <w:tblStyleRowBandSize w:val="1"/>
      <w:tblStyleColBandSize w:val="1"/>
      <w:tblCellMar>
        <w:top w:w="100" w:type="dxa"/>
        <w:left w:w="100" w:type="dxa"/>
        <w:bottom w:w="100" w:type="dxa"/>
        <w:right w:w="100" w:type="dxa"/>
      </w:tblCellMar>
    </w:tblPr>
  </w:style>
  <w:style w:type="table" w:customStyle="1" w:styleId="48">
    <w:name w:val="48"/>
    <w:basedOn w:val="TableNormal"/>
    <w:tblPr>
      <w:tblStyleRowBandSize w:val="1"/>
      <w:tblStyleColBandSize w:val="1"/>
      <w:tblCellMar>
        <w:top w:w="100" w:type="dxa"/>
        <w:left w:w="100" w:type="dxa"/>
        <w:bottom w:w="100" w:type="dxa"/>
        <w:right w:w="100" w:type="dxa"/>
      </w:tblCellMar>
    </w:tblPr>
  </w:style>
  <w:style w:type="table" w:customStyle="1" w:styleId="47">
    <w:name w:val="47"/>
    <w:basedOn w:val="TableNormal"/>
    <w:tblPr>
      <w:tblStyleRowBandSize w:val="1"/>
      <w:tblStyleColBandSize w:val="1"/>
      <w:tblCellMar>
        <w:top w:w="100" w:type="dxa"/>
        <w:left w:w="100" w:type="dxa"/>
        <w:bottom w:w="100" w:type="dxa"/>
        <w:right w:w="100" w:type="dxa"/>
      </w:tblCellMar>
    </w:tblPr>
  </w:style>
  <w:style w:type="table" w:customStyle="1" w:styleId="46">
    <w:name w:val="46"/>
    <w:basedOn w:val="TableNormal"/>
    <w:tblPr>
      <w:tblStyleRowBandSize w:val="1"/>
      <w:tblStyleColBandSize w:val="1"/>
      <w:tblCellMar>
        <w:top w:w="100" w:type="dxa"/>
        <w:left w:w="100" w:type="dxa"/>
        <w:bottom w:w="100" w:type="dxa"/>
        <w:right w:w="100" w:type="dxa"/>
      </w:tblCellMar>
    </w:tblPr>
  </w:style>
  <w:style w:type="table" w:customStyle="1" w:styleId="45">
    <w:name w:val="45"/>
    <w:basedOn w:val="TableNormal"/>
    <w:tblPr>
      <w:tblStyleRowBandSize w:val="1"/>
      <w:tblStyleColBandSize w:val="1"/>
      <w:tblCellMar>
        <w:top w:w="100" w:type="dxa"/>
        <w:left w:w="100" w:type="dxa"/>
        <w:bottom w:w="100" w:type="dxa"/>
        <w:right w:w="100" w:type="dxa"/>
      </w:tblCellMar>
    </w:tblPr>
  </w:style>
  <w:style w:type="table" w:customStyle="1" w:styleId="44">
    <w:name w:val="44"/>
    <w:basedOn w:val="TableNormal"/>
    <w:tblPr>
      <w:tblStyleRowBandSize w:val="1"/>
      <w:tblStyleColBandSize w:val="1"/>
      <w:tblCellMar>
        <w:top w:w="100" w:type="dxa"/>
        <w:left w:w="100" w:type="dxa"/>
        <w:bottom w:w="100" w:type="dxa"/>
        <w:right w:w="100" w:type="dxa"/>
      </w:tblCellMar>
    </w:tblPr>
  </w:style>
  <w:style w:type="table" w:customStyle="1" w:styleId="43">
    <w:name w:val="43"/>
    <w:basedOn w:val="TableNormal"/>
    <w:tblPr>
      <w:tblStyleRowBandSize w:val="1"/>
      <w:tblStyleColBandSize w:val="1"/>
      <w:tblCellMar>
        <w:top w:w="100" w:type="dxa"/>
        <w:left w:w="100" w:type="dxa"/>
        <w:bottom w:w="100" w:type="dxa"/>
        <w:right w:w="100" w:type="dxa"/>
      </w:tblCellMar>
    </w:tblPr>
  </w:style>
  <w:style w:type="table" w:customStyle="1" w:styleId="42">
    <w:name w:val="42"/>
    <w:basedOn w:val="TableNormal"/>
    <w:tblPr>
      <w:tblStyleRowBandSize w:val="1"/>
      <w:tblStyleColBandSize w:val="1"/>
      <w:tblCellMar>
        <w:top w:w="100" w:type="dxa"/>
        <w:left w:w="100" w:type="dxa"/>
        <w:bottom w:w="100" w:type="dxa"/>
        <w:right w:w="100" w:type="dxa"/>
      </w:tblCellMar>
    </w:tblPr>
  </w:style>
  <w:style w:type="table" w:customStyle="1" w:styleId="41">
    <w:name w:val="41"/>
    <w:basedOn w:val="TableNormal"/>
    <w:tblPr>
      <w:tblStyleRowBandSize w:val="1"/>
      <w:tblStyleColBandSize w:val="1"/>
      <w:tblCellMar>
        <w:top w:w="100" w:type="dxa"/>
        <w:left w:w="100" w:type="dxa"/>
        <w:bottom w:w="100" w:type="dxa"/>
        <w:right w:w="100" w:type="dxa"/>
      </w:tblCellMar>
    </w:tblPr>
  </w:style>
  <w:style w:type="table" w:customStyle="1" w:styleId="40">
    <w:name w:val="40"/>
    <w:basedOn w:val="TableNormal"/>
    <w:tblPr>
      <w:tblStyleRowBandSize w:val="1"/>
      <w:tblStyleColBandSize w:val="1"/>
      <w:tblCellMar>
        <w:top w:w="100" w:type="dxa"/>
        <w:left w:w="100" w:type="dxa"/>
        <w:bottom w:w="100" w:type="dxa"/>
        <w:right w:w="100" w:type="dxa"/>
      </w:tblCellMar>
    </w:tblPr>
  </w:style>
  <w:style w:type="table" w:customStyle="1" w:styleId="39">
    <w:name w:val="39"/>
    <w:basedOn w:val="TableNormal"/>
    <w:tblPr>
      <w:tblStyleRowBandSize w:val="1"/>
      <w:tblStyleColBandSize w:val="1"/>
      <w:tblCellMar>
        <w:top w:w="100" w:type="dxa"/>
        <w:left w:w="100" w:type="dxa"/>
        <w:bottom w:w="100" w:type="dxa"/>
        <w:right w:w="100" w:type="dxa"/>
      </w:tblCellMar>
    </w:tblPr>
  </w:style>
  <w:style w:type="table" w:customStyle="1" w:styleId="38">
    <w:name w:val="38"/>
    <w:basedOn w:val="TableNormal"/>
    <w:tblPr>
      <w:tblStyleRowBandSize w:val="1"/>
      <w:tblStyleColBandSize w:val="1"/>
      <w:tblCellMar>
        <w:top w:w="100" w:type="dxa"/>
        <w:left w:w="100" w:type="dxa"/>
        <w:bottom w:w="100" w:type="dxa"/>
        <w:right w:w="100" w:type="dxa"/>
      </w:tblCellMar>
    </w:tblPr>
  </w:style>
  <w:style w:type="table" w:customStyle="1" w:styleId="37">
    <w:name w:val="37"/>
    <w:basedOn w:val="TableNormal"/>
    <w:tblPr>
      <w:tblStyleRowBandSize w:val="1"/>
      <w:tblStyleColBandSize w:val="1"/>
      <w:tblCellMar>
        <w:top w:w="100" w:type="dxa"/>
        <w:left w:w="100" w:type="dxa"/>
        <w:bottom w:w="100" w:type="dxa"/>
        <w:right w:w="100" w:type="dxa"/>
      </w:tblCellMar>
    </w:tblPr>
  </w:style>
  <w:style w:type="table" w:customStyle="1" w:styleId="36">
    <w:name w:val="36"/>
    <w:basedOn w:val="TableNormal"/>
    <w:tblPr>
      <w:tblStyleRowBandSize w:val="1"/>
      <w:tblStyleColBandSize w:val="1"/>
      <w:tblCellMar>
        <w:top w:w="100" w:type="dxa"/>
        <w:left w:w="100" w:type="dxa"/>
        <w:bottom w:w="100" w:type="dxa"/>
        <w:right w:w="100" w:type="dxa"/>
      </w:tblCellMar>
    </w:tblPr>
  </w:style>
  <w:style w:type="table" w:customStyle="1" w:styleId="35">
    <w:name w:val="35"/>
    <w:basedOn w:val="TableNormal"/>
    <w:tblPr>
      <w:tblStyleRowBandSize w:val="1"/>
      <w:tblStyleColBandSize w:val="1"/>
      <w:tblCellMar>
        <w:top w:w="100" w:type="dxa"/>
        <w:left w:w="100" w:type="dxa"/>
        <w:bottom w:w="100" w:type="dxa"/>
        <w:right w:w="100" w:type="dxa"/>
      </w:tblCellMar>
    </w:tblPr>
  </w:style>
  <w:style w:type="table" w:customStyle="1" w:styleId="34">
    <w:name w:val="34"/>
    <w:basedOn w:val="TableNormal"/>
    <w:tblPr>
      <w:tblStyleRowBandSize w:val="1"/>
      <w:tblStyleColBandSize w:val="1"/>
      <w:tblCellMar>
        <w:top w:w="100" w:type="dxa"/>
        <w:left w:w="100" w:type="dxa"/>
        <w:bottom w:w="100" w:type="dxa"/>
        <w:right w:w="100" w:type="dxa"/>
      </w:tblCellMar>
    </w:tblPr>
  </w:style>
  <w:style w:type="table" w:customStyle="1" w:styleId="33">
    <w:name w:val="33"/>
    <w:basedOn w:val="TableNormal"/>
    <w:tblPr>
      <w:tblStyleRowBandSize w:val="1"/>
      <w:tblStyleColBandSize w:val="1"/>
      <w:tblCellMar>
        <w:top w:w="100" w:type="dxa"/>
        <w:left w:w="100" w:type="dxa"/>
        <w:bottom w:w="100" w:type="dxa"/>
        <w:right w:w="100" w:type="dxa"/>
      </w:tblCellMar>
    </w:tblPr>
  </w:style>
  <w:style w:type="table" w:customStyle="1" w:styleId="32">
    <w:name w:val="32"/>
    <w:basedOn w:val="TableNormal"/>
    <w:tblPr>
      <w:tblStyleRowBandSize w:val="1"/>
      <w:tblStyleColBandSize w:val="1"/>
      <w:tblCellMar>
        <w:top w:w="100" w:type="dxa"/>
        <w:left w:w="100" w:type="dxa"/>
        <w:bottom w:w="100" w:type="dxa"/>
        <w:right w:w="100" w:type="dxa"/>
      </w:tblCellMar>
    </w:tblPr>
  </w:style>
  <w:style w:type="table" w:customStyle="1" w:styleId="31">
    <w:name w:val="31"/>
    <w:basedOn w:val="TableNormal"/>
    <w:tblPr>
      <w:tblStyleRowBandSize w:val="1"/>
      <w:tblStyleColBandSize w:val="1"/>
      <w:tblCellMar>
        <w:top w:w="100" w:type="dxa"/>
        <w:left w:w="100" w:type="dxa"/>
        <w:bottom w:w="100" w:type="dxa"/>
        <w:right w:w="100" w:type="dxa"/>
      </w:tblCellMar>
    </w:tblPr>
  </w:style>
  <w:style w:type="table" w:customStyle="1" w:styleId="30">
    <w:name w:val="30"/>
    <w:basedOn w:val="TableNormal"/>
    <w:tblPr>
      <w:tblStyleRowBandSize w:val="1"/>
      <w:tblStyleColBandSize w:val="1"/>
      <w:tblCellMar>
        <w:top w:w="100" w:type="dxa"/>
        <w:left w:w="100" w:type="dxa"/>
        <w:bottom w:w="100" w:type="dxa"/>
        <w:right w:w="100" w:type="dxa"/>
      </w:tblCellMar>
    </w:tblPr>
  </w:style>
  <w:style w:type="table" w:customStyle="1" w:styleId="29">
    <w:name w:val="29"/>
    <w:basedOn w:val="TableNormal"/>
    <w:tblPr>
      <w:tblStyleRowBandSize w:val="1"/>
      <w:tblStyleColBandSize w:val="1"/>
      <w:tblCellMar>
        <w:top w:w="100" w:type="dxa"/>
        <w:left w:w="100" w:type="dxa"/>
        <w:bottom w:w="100" w:type="dxa"/>
        <w:right w:w="100" w:type="dxa"/>
      </w:tblCellMar>
    </w:tblPr>
  </w:style>
  <w:style w:type="table" w:customStyle="1" w:styleId="28">
    <w:name w:val="28"/>
    <w:basedOn w:val="TableNormal"/>
    <w:tblPr>
      <w:tblStyleRowBandSize w:val="1"/>
      <w:tblStyleColBandSize w:val="1"/>
      <w:tblCellMar>
        <w:top w:w="100" w:type="dxa"/>
        <w:left w:w="100" w:type="dxa"/>
        <w:bottom w:w="100" w:type="dxa"/>
        <w:right w:w="100" w:type="dxa"/>
      </w:tblCellMar>
    </w:tblPr>
  </w:style>
  <w:style w:type="table" w:customStyle="1" w:styleId="27">
    <w:name w:val="27"/>
    <w:basedOn w:val="TableNormal"/>
    <w:tblPr>
      <w:tblStyleRowBandSize w:val="1"/>
      <w:tblStyleColBandSize w:val="1"/>
      <w:tblCellMar>
        <w:top w:w="100" w:type="dxa"/>
        <w:left w:w="100" w:type="dxa"/>
        <w:bottom w:w="100" w:type="dxa"/>
        <w:right w:w="100" w:type="dxa"/>
      </w:tblCellMar>
    </w:tblPr>
  </w:style>
  <w:style w:type="table" w:customStyle="1" w:styleId="26">
    <w:name w:val="26"/>
    <w:basedOn w:val="TableNormal"/>
    <w:tblPr>
      <w:tblStyleRowBandSize w:val="1"/>
      <w:tblStyleColBandSize w:val="1"/>
      <w:tblCellMar>
        <w:top w:w="100" w:type="dxa"/>
        <w:left w:w="100" w:type="dxa"/>
        <w:bottom w:w="100" w:type="dxa"/>
        <w:right w:w="100" w:type="dxa"/>
      </w:tblCellMar>
    </w:tblPr>
  </w:style>
  <w:style w:type="table" w:customStyle="1" w:styleId="25">
    <w:name w:val="25"/>
    <w:basedOn w:val="TableNormal"/>
    <w:tblPr>
      <w:tblStyleRowBandSize w:val="1"/>
      <w:tblStyleColBandSize w:val="1"/>
      <w:tblCellMar>
        <w:top w:w="100" w:type="dxa"/>
        <w:left w:w="100" w:type="dxa"/>
        <w:bottom w:w="100" w:type="dxa"/>
        <w:right w:w="100" w:type="dxa"/>
      </w:tblCellMar>
    </w:tblPr>
  </w:style>
  <w:style w:type="table" w:customStyle="1" w:styleId="24">
    <w:name w:val="24"/>
    <w:basedOn w:val="TableNormal"/>
    <w:tblPr>
      <w:tblStyleRowBandSize w:val="1"/>
      <w:tblStyleColBandSize w:val="1"/>
      <w:tblCellMar>
        <w:top w:w="100" w:type="dxa"/>
        <w:left w:w="100" w:type="dxa"/>
        <w:bottom w:w="100" w:type="dxa"/>
        <w:right w:w="100" w:type="dxa"/>
      </w:tblCellMar>
    </w:tblPr>
  </w:style>
  <w:style w:type="table" w:customStyle="1" w:styleId="23">
    <w:name w:val="23"/>
    <w:basedOn w:val="TableNormal"/>
    <w:tblPr>
      <w:tblStyleRowBandSize w:val="1"/>
      <w:tblStyleColBandSize w:val="1"/>
      <w:tblCellMar>
        <w:top w:w="100" w:type="dxa"/>
        <w:left w:w="100" w:type="dxa"/>
        <w:bottom w:w="100" w:type="dxa"/>
        <w:right w:w="100" w:type="dxa"/>
      </w:tblCellMar>
    </w:tblPr>
  </w:style>
  <w:style w:type="table" w:customStyle="1" w:styleId="22">
    <w:name w:val="22"/>
    <w:basedOn w:val="TableNormal"/>
    <w:tblPr>
      <w:tblStyleRowBandSize w:val="1"/>
      <w:tblStyleColBandSize w:val="1"/>
      <w:tblCellMar>
        <w:top w:w="100" w:type="dxa"/>
        <w:left w:w="100" w:type="dxa"/>
        <w:bottom w:w="100" w:type="dxa"/>
        <w:right w:w="100" w:type="dxa"/>
      </w:tblCellMar>
    </w:tblPr>
  </w:style>
  <w:style w:type="table" w:customStyle="1" w:styleId="21">
    <w:name w:val="21"/>
    <w:basedOn w:val="TableNormal"/>
    <w:tblPr>
      <w:tblStyleRowBandSize w:val="1"/>
      <w:tblStyleColBandSize w:val="1"/>
      <w:tblCellMar>
        <w:top w:w="100" w:type="dxa"/>
        <w:left w:w="100" w:type="dxa"/>
        <w:bottom w:w="100" w:type="dxa"/>
        <w:right w:w="100" w:type="dxa"/>
      </w:tblCellMar>
    </w:tblPr>
  </w:style>
  <w:style w:type="table" w:customStyle="1" w:styleId="20">
    <w:name w:val="20"/>
    <w:basedOn w:val="TableNormal"/>
    <w:tblPr>
      <w:tblStyleRowBandSize w:val="1"/>
      <w:tblStyleColBandSize w:val="1"/>
      <w:tblCellMar>
        <w:top w:w="100" w:type="dxa"/>
        <w:left w:w="100" w:type="dxa"/>
        <w:bottom w:w="100" w:type="dxa"/>
        <w:right w:w="100" w:type="dxa"/>
      </w:tblCellMar>
    </w:tblPr>
  </w:style>
  <w:style w:type="table" w:customStyle="1" w:styleId="19">
    <w:name w:val="19"/>
    <w:basedOn w:val="TableNormal"/>
    <w:tblPr>
      <w:tblStyleRowBandSize w:val="1"/>
      <w:tblStyleColBandSize w:val="1"/>
      <w:tblCellMar>
        <w:top w:w="100" w:type="dxa"/>
        <w:left w:w="100" w:type="dxa"/>
        <w:bottom w:w="100" w:type="dxa"/>
        <w:right w:w="100" w:type="dxa"/>
      </w:tblCellMar>
    </w:tblPr>
  </w:style>
  <w:style w:type="table" w:customStyle="1" w:styleId="18">
    <w:name w:val="18"/>
    <w:basedOn w:val="TableNormal"/>
    <w:tblPr>
      <w:tblStyleRowBandSize w:val="1"/>
      <w:tblStyleColBandSize w:val="1"/>
      <w:tblCellMar>
        <w:top w:w="100" w:type="dxa"/>
        <w:left w:w="100" w:type="dxa"/>
        <w:bottom w:w="100" w:type="dxa"/>
        <w:right w:w="100" w:type="dxa"/>
      </w:tblCellMar>
    </w:tblPr>
  </w:style>
  <w:style w:type="table" w:customStyle="1" w:styleId="17">
    <w:name w:val="17"/>
    <w:basedOn w:val="TableNormal"/>
    <w:tblPr>
      <w:tblStyleRowBandSize w:val="1"/>
      <w:tblStyleColBandSize w:val="1"/>
      <w:tblCellMar>
        <w:top w:w="100" w:type="dxa"/>
        <w:left w:w="100" w:type="dxa"/>
        <w:bottom w:w="100" w:type="dxa"/>
        <w:right w:w="100" w:type="dxa"/>
      </w:tblCellMar>
    </w:tblPr>
  </w:style>
  <w:style w:type="table" w:customStyle="1" w:styleId="16">
    <w:name w:val="16"/>
    <w:basedOn w:val="TableNormal"/>
    <w:tblPr>
      <w:tblStyleRowBandSize w:val="1"/>
      <w:tblStyleColBandSize w:val="1"/>
      <w:tblCellMar>
        <w:top w:w="100" w:type="dxa"/>
        <w:left w:w="100" w:type="dxa"/>
        <w:bottom w:w="100" w:type="dxa"/>
        <w:right w:w="100" w:type="dxa"/>
      </w:tblCellMar>
    </w:tbl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Jegyzetszveg">
    <w:name w:val="annotation text"/>
    <w:basedOn w:val="Norml"/>
    <w:link w:val="JegyzetszvegChar"/>
    <w:uiPriority w:val="99"/>
    <w:unhideWhenUsed/>
    <w:rPr>
      <w:rFonts w:cs="Murty Sanskrit"/>
      <w:sz w:val="20"/>
      <w:szCs w:val="18"/>
    </w:rPr>
  </w:style>
  <w:style w:type="character" w:customStyle="1" w:styleId="JegyzetszvegChar">
    <w:name w:val="Jegyzetszöveg Char"/>
    <w:basedOn w:val="Bekezdsalapbettpusa"/>
    <w:link w:val="Jegyzetszveg"/>
    <w:uiPriority w:val="99"/>
    <w:rPr>
      <w:rFonts w:ascii="Gentium" w:eastAsiaTheme="minorEastAsia" w:hAnsi="Gentium" w:cs="Murty Sanskrit"/>
      <w:kern w:val="2"/>
      <w:sz w:val="20"/>
      <w:szCs w:val="18"/>
      <w:lang w:eastAsia="zh-TW"/>
      <w14:ligatures w14:val="standardContextual"/>
    </w:rPr>
  </w:style>
  <w:style w:type="character" w:styleId="Jegyzethivatkozs">
    <w:name w:val="annotation reference"/>
    <w:basedOn w:val="Bekezdsalapbettpusa"/>
    <w:uiPriority w:val="99"/>
    <w:semiHidden/>
    <w:unhideWhenUsed/>
    <w:rPr>
      <w:sz w:val="16"/>
      <w:szCs w:val="16"/>
    </w:rPr>
  </w:style>
  <w:style w:type="paragraph" w:styleId="Buborkszveg">
    <w:name w:val="Balloon Text"/>
    <w:basedOn w:val="Norml"/>
    <w:link w:val="BuborkszvegChar"/>
    <w:uiPriority w:val="99"/>
    <w:semiHidden/>
    <w:unhideWhenUsed/>
    <w:rPr>
      <w:rFonts w:ascii="Segoe UI" w:hAnsi="Segoe UI" w:cs="Murty Sanskrit"/>
      <w:sz w:val="18"/>
      <w:szCs w:val="16"/>
    </w:rPr>
  </w:style>
  <w:style w:type="character" w:customStyle="1" w:styleId="BuborkszvegChar">
    <w:name w:val="Buborékszöveg Char"/>
    <w:basedOn w:val="Bekezdsalapbettpusa"/>
    <w:link w:val="Buborkszveg"/>
    <w:uiPriority w:val="99"/>
    <w:semiHidden/>
    <w:rPr>
      <w:rFonts w:ascii="Segoe UI" w:eastAsiaTheme="minorEastAsia" w:hAnsi="Segoe UI" w:cs="Murty Sanskrit"/>
      <w:kern w:val="2"/>
      <w:sz w:val="18"/>
      <w:szCs w:val="16"/>
      <w:lang w:eastAsia="zh-TW"/>
      <w14:ligatures w14:val="standardContextual"/>
    </w:rPr>
  </w:style>
  <w:style w:type="paragraph" w:styleId="llb">
    <w:name w:val="footer"/>
    <w:basedOn w:val="Norml"/>
    <w:link w:val="llbChar"/>
    <w:uiPriority w:val="24"/>
    <w:pPr>
      <w:tabs>
        <w:tab w:val="center" w:pos="4536"/>
        <w:tab w:val="right" w:pos="9072"/>
      </w:tabs>
    </w:pPr>
  </w:style>
  <w:style w:type="character" w:customStyle="1" w:styleId="llbChar">
    <w:name w:val="Élőláb Char"/>
    <w:basedOn w:val="Bekezdsalapbettpusa"/>
    <w:link w:val="llb"/>
    <w:uiPriority w:val="24"/>
    <w:rPr>
      <w:rFonts w:ascii="Gentium" w:eastAsiaTheme="minorEastAsia" w:hAnsi="Gentium" w:cs="Tiro Devanagari Sanskrit"/>
      <w:kern w:val="2"/>
      <w:sz w:val="22"/>
      <w:szCs w:val="22"/>
      <w:lang w:eastAsia="zh-TW"/>
      <w14:ligatures w14:val="standardContextual"/>
    </w:rPr>
  </w:style>
  <w:style w:type="character" w:customStyle="1" w:styleId="Foreign">
    <w:name w:val="Foreign"/>
    <w:basedOn w:val="Bekezdsalapbettpusa"/>
    <w:uiPriority w:val="1"/>
    <w:rPr>
      <w:i/>
      <w:iCs/>
      <w:noProof/>
    </w:rPr>
  </w:style>
  <w:style w:type="paragraph" w:styleId="Lista">
    <w:name w:val="List"/>
    <w:basedOn w:val="Norml"/>
    <w:uiPriority w:val="7"/>
    <w:qFormat/>
    <w:pPr>
      <w:numPr>
        <w:numId w:val="2"/>
      </w:numPr>
      <w:suppressAutoHyphens/>
      <w:jc w:val="left"/>
    </w:pPr>
  </w:style>
  <w:style w:type="paragraph" w:styleId="Lista2">
    <w:name w:val="List 2"/>
    <w:basedOn w:val="Lista"/>
    <w:uiPriority w:val="7"/>
    <w:pPr>
      <w:numPr>
        <w:ilvl w:val="1"/>
      </w:numPr>
    </w:pPr>
  </w:style>
  <w:style w:type="paragraph" w:styleId="Lista3">
    <w:name w:val="List 3"/>
    <w:basedOn w:val="Lista"/>
    <w:uiPriority w:val="7"/>
    <w:pPr>
      <w:numPr>
        <w:ilvl w:val="2"/>
      </w:numPr>
    </w:pPr>
  </w:style>
  <w:style w:type="paragraph" w:styleId="Lista4">
    <w:name w:val="List 4"/>
    <w:basedOn w:val="Lista"/>
    <w:uiPriority w:val="7"/>
    <w:pPr>
      <w:numPr>
        <w:ilvl w:val="3"/>
      </w:numPr>
    </w:pPr>
  </w:style>
  <w:style w:type="paragraph" w:styleId="Lista5">
    <w:name w:val="List 5"/>
    <w:basedOn w:val="Lista"/>
    <w:uiPriority w:val="7"/>
    <w:pPr>
      <w:numPr>
        <w:ilvl w:val="4"/>
      </w:numPr>
    </w:pPr>
  </w:style>
  <w:style w:type="character" w:customStyle="1" w:styleId="Nv">
    <w:name w:val="Név"/>
    <w:basedOn w:val="Bekezdsalapbettpusa"/>
    <w:uiPriority w:val="1"/>
    <w:rPr>
      <w:smallCaps/>
      <w:noProof/>
    </w:rPr>
  </w:style>
  <w:style w:type="paragraph" w:styleId="lfej">
    <w:name w:val="header"/>
    <w:basedOn w:val="Norml"/>
    <w:link w:val="lfejChar"/>
    <w:uiPriority w:val="24"/>
    <w:qFormat/>
    <w:pPr>
      <w:tabs>
        <w:tab w:val="center" w:pos="4536"/>
        <w:tab w:val="right" w:pos="9072"/>
      </w:tabs>
    </w:pPr>
  </w:style>
  <w:style w:type="character" w:customStyle="1" w:styleId="lfejChar">
    <w:name w:val="Élőfej Char"/>
    <w:basedOn w:val="Bekezdsalapbettpusa"/>
    <w:link w:val="lfej"/>
    <w:uiPriority w:val="24"/>
    <w:rPr>
      <w:rFonts w:ascii="Gentium" w:eastAsiaTheme="minorEastAsia" w:hAnsi="Gentium" w:cs="Tiro Devanagari Sanskrit"/>
      <w:kern w:val="2"/>
      <w:sz w:val="22"/>
      <w:szCs w:val="22"/>
      <w:lang w:eastAsia="zh-TW"/>
      <w14:ligatures w14:val="standardContextual"/>
    </w:rPr>
  </w:style>
  <w:style w:type="paragraph" w:styleId="Irodalomjegyzk">
    <w:name w:val="Bibliography"/>
    <w:aliases w:val="Bibliography"/>
    <w:basedOn w:val="Norml"/>
    <w:uiPriority w:val="37"/>
    <w:pPr>
      <w:spacing w:line="300" w:lineRule="exact"/>
      <w:ind w:left="720" w:hanging="720"/>
      <w:jc w:val="left"/>
    </w:pPr>
  </w:style>
  <w:style w:type="character" w:customStyle="1" w:styleId="Code">
    <w:name w:val="Code"/>
    <w:uiPriority w:val="1"/>
    <w:qFormat/>
    <w:rPr>
      <w:rFonts w:ascii="Consolas" w:hAnsi="Consolas" w:cs="Consolas"/>
      <w:noProof/>
      <w:color w:val="002060"/>
      <w:bdr w:val="none" w:sz="0" w:space="0" w:color="auto"/>
      <w:shd w:val="clear" w:color="auto" w:fill="F2F2F2" w:themeFill="background1" w:themeFillShade="F2"/>
    </w:rPr>
  </w:style>
  <w:style w:type="character" w:customStyle="1" w:styleId="Comment">
    <w:name w:val="Comment"/>
    <w:basedOn w:val="Bekezdsalapbettpusa"/>
    <w:uiPriority w:val="1"/>
    <w:qFormat/>
    <w:rPr>
      <w:rFonts w:ascii="Tahoma" w:hAnsi="Tahoma"/>
      <w:noProof/>
      <w:color w:val="00B050"/>
      <w:sz w:val="20"/>
    </w:rPr>
  </w:style>
  <w:style w:type="paragraph" w:styleId="Lbjegyzetszveg">
    <w:name w:val="footnote text"/>
    <w:basedOn w:val="Norml"/>
    <w:link w:val="LbjegyzetszvegChar"/>
    <w:pPr>
      <w:tabs>
        <w:tab w:val="right" w:pos="227"/>
        <w:tab w:val="left" w:pos="284"/>
      </w:tabs>
      <w:spacing w:line="240" w:lineRule="exact"/>
      <w:ind w:left="284" w:hanging="284"/>
      <w:jc w:val="left"/>
    </w:pPr>
    <w:rPr>
      <w:sz w:val="20"/>
      <w:szCs w:val="20"/>
    </w:rPr>
  </w:style>
  <w:style w:type="character" w:customStyle="1" w:styleId="LbjegyzetszvegChar">
    <w:name w:val="Lábjegyzetszöveg Char"/>
    <w:basedOn w:val="Bekezdsalapbettpusa"/>
    <w:link w:val="Lbjegyzetszveg"/>
    <w:rPr>
      <w:rFonts w:ascii="Gentium" w:eastAsiaTheme="minorEastAsia" w:hAnsi="Gentium" w:cs="Tiro Devanagari Sanskrit"/>
      <w:kern w:val="2"/>
      <w:sz w:val="20"/>
      <w:szCs w:val="20"/>
      <w:lang w:eastAsia="zh-TW"/>
      <w14:ligatures w14:val="standardContextual"/>
    </w:rPr>
  </w:style>
  <w:style w:type="character" w:styleId="Lbjegyzet-hivatkozs">
    <w:name w:val="footnote reference"/>
    <w:basedOn w:val="Bekezdsalapbettpusa"/>
    <w:uiPriority w:val="99"/>
    <w:unhideWhenUsed/>
    <w:rPr>
      <w:vertAlign w:val="superscript"/>
    </w:rPr>
  </w:style>
  <w:style w:type="character" w:customStyle="1" w:styleId="ForeignKannadaScript">
    <w:name w:val="Foreign: KannadaScript"/>
    <w:basedOn w:val="Foreign"/>
    <w:uiPriority w:val="1"/>
    <w:qFormat/>
    <w:rPr>
      <w:rFonts w:ascii="Tiro Kannada" w:hAnsi="Tiro Kannada" w:cs="Tiro Kannada"/>
      <w:b w:val="0"/>
      <w:bCs w:val="0"/>
      <w:i w:val="0"/>
      <w:iCs w:val="0"/>
      <w:noProof/>
    </w:rPr>
  </w:style>
  <w:style w:type="character" w:customStyle="1" w:styleId="ForeignTamilScript">
    <w:name w:val="Foreign: TamilScript"/>
    <w:basedOn w:val="Foreign"/>
    <w:uiPriority w:val="1"/>
    <w:qFormat/>
    <w:rPr>
      <w:rFonts w:ascii="Tiro Tamil" w:hAnsi="Tiro Tamil" w:cs="Tiro Tamil"/>
      <w:b w:val="0"/>
      <w:bCs w:val="0"/>
      <w:i w:val="0"/>
      <w:iCs w:val="0"/>
      <w:noProof/>
      <w:szCs w:val="24"/>
    </w:rPr>
  </w:style>
  <w:style w:type="character" w:customStyle="1" w:styleId="ForeignBalineseScript">
    <w:name w:val="Foreign: BalineseScript"/>
    <w:basedOn w:val="Foreign"/>
    <w:uiPriority w:val="1"/>
    <w:qFormat/>
    <w:rPr>
      <w:rFonts w:ascii="Noto Sans Balinese" w:hAnsi="Noto Sans Balinese" w:cs="Noto Sans Balinese"/>
      <w:b w:val="0"/>
      <w:bCs w:val="0"/>
      <w:i w:val="0"/>
      <w:iCs w:val="0"/>
      <w:noProof/>
      <w:position w:val="0"/>
      <w:szCs w:val="24"/>
    </w:rPr>
  </w:style>
  <w:style w:type="character" w:customStyle="1" w:styleId="ForeignThaiScript">
    <w:name w:val="Foreign: ThaiScript"/>
    <w:basedOn w:val="Foreign"/>
    <w:uiPriority w:val="1"/>
    <w:qFormat/>
    <w:rPr>
      <w:rFonts w:ascii="Leelawadee UI" w:hAnsi="Leelawadee UI" w:cs="Leelawadee UI"/>
      <w:b w:val="0"/>
      <w:bCs w:val="0"/>
      <w:i w:val="0"/>
      <w:iCs w:val="0"/>
      <w:noProof/>
    </w:rPr>
  </w:style>
  <w:style w:type="character" w:customStyle="1" w:styleId="ForeignBrahmiScript">
    <w:name w:val="Foreign: BrahmiScript"/>
    <w:basedOn w:val="Foreign"/>
    <w:uiPriority w:val="1"/>
    <w:qFormat/>
    <w:rPr>
      <w:rFonts w:ascii="Segoe UI Historic" w:hAnsi="Segoe UI Historic" w:cs="Segoe UI Historic"/>
      <w:b w:val="0"/>
      <w:bCs w:val="0"/>
      <w:i w:val="0"/>
      <w:iCs w:val="0"/>
      <w:noProof/>
    </w:rPr>
  </w:style>
  <w:style w:type="character" w:customStyle="1" w:styleId="ForeignOriyaScript">
    <w:name w:val="Foreign: OriyaScript"/>
    <w:basedOn w:val="Foreign"/>
    <w:uiPriority w:val="1"/>
    <w:qFormat/>
    <w:rPr>
      <w:rFonts w:ascii="Arial Unicode MS" w:eastAsia="Arial Unicode MS" w:hAnsi="Arial Unicode MS" w:cs="Arial Unicode MS"/>
      <w:b w:val="0"/>
      <w:bCs w:val="0"/>
      <w:i w:val="0"/>
      <w:iCs w:val="0"/>
      <w:noProof/>
    </w:rPr>
  </w:style>
  <w:style w:type="paragraph" w:styleId="NormlWeb">
    <w:name w:val="Normal (Web)"/>
    <w:basedOn w:val="Norml"/>
    <w:uiPriority w:val="99"/>
    <w:semiHidden/>
    <w:unhideWhenUsed/>
    <w:pPr>
      <w:spacing w:before="100" w:beforeAutospacing="1" w:after="100" w:afterAutospacing="1" w:line="240" w:lineRule="auto"/>
    </w:pPr>
    <w:rPr>
      <w:rFonts w:ascii="Times New Roman" w:hAnsi="Times New Roman" w:cs="Times New Roman"/>
      <w:szCs w:val="24"/>
    </w:rPr>
  </w:style>
  <w:style w:type="paragraph" w:customStyle="1" w:styleId="Legend">
    <w:name w:val="Legend"/>
    <w:basedOn w:val="Norml"/>
    <w:qFormat/>
    <w:pPr>
      <w:tabs>
        <w:tab w:val="right" w:pos="851"/>
        <w:tab w:val="left" w:pos="1134"/>
      </w:tabs>
      <w:jc w:val="left"/>
    </w:pPr>
  </w:style>
  <w:style w:type="character" w:styleId="Hiperhivatkozs">
    <w:name w:val="Hyperlink"/>
    <w:basedOn w:val="Bekezdsalapbettpusa"/>
    <w:uiPriority w:val="99"/>
    <w:unhideWhenUsed/>
    <w:rPr>
      <w:color w:val="002060"/>
      <w:u w:val="single"/>
    </w:rPr>
  </w:style>
  <w:style w:type="character" w:styleId="Feloldatlanmegemlts">
    <w:name w:val="Unresolved Mention"/>
    <w:basedOn w:val="Bekezdsalapbettpusa"/>
    <w:uiPriority w:val="99"/>
    <w:semiHidden/>
    <w:unhideWhenUsed/>
    <w:rPr>
      <w:color w:val="605E5C"/>
      <w:shd w:val="clear" w:color="auto" w:fill="E1DFDD"/>
    </w:rPr>
  </w:style>
  <w:style w:type="character" w:styleId="Mrltotthiperhivatkozs">
    <w:name w:val="FollowedHyperlink"/>
    <w:basedOn w:val="Bekezdsalapbettpusa"/>
    <w:uiPriority w:val="99"/>
    <w:semiHidden/>
    <w:unhideWhenUsed/>
    <w:rPr>
      <w:color w:val="002060"/>
      <w:u w:val="single"/>
    </w:rPr>
  </w:style>
  <w:style w:type="table" w:styleId="Rcsostblzat">
    <w:name w:val="Table Grid"/>
    <w:basedOn w:val="Normltblzat"/>
    <w:uiPriority w:val="39"/>
    <w:pPr>
      <w:ind w:left="0" w:firstLine="567"/>
    </w:pPr>
    <w:rPr>
      <w:rFonts w:ascii="Gentium Plus" w:eastAsia="Arial Unicode MS" w:hAnsi="Gentium Plus" w:cs="Gentium Plus"/>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text"/>
    <w:basedOn w:val="Norml"/>
    <w:qFormat/>
    <w:pPr>
      <w:spacing w:line="240" w:lineRule="auto"/>
      <w:jc w:val="left"/>
    </w:pPr>
    <w:rPr>
      <w:rFonts w:ascii="Calibri" w:hAnsi="Calibri"/>
      <w:sz w:val="20"/>
      <w:szCs w:val="20"/>
    </w:rPr>
  </w:style>
  <w:style w:type="table" w:customStyle="1" w:styleId="FigureTable">
    <w:name w:val="FigureTable"/>
    <w:basedOn w:val="CodeSampleTable"/>
    <w:uiPriority w:val="99"/>
    <w:tblPr>
      <w:tblCellMar>
        <w:top w:w="57" w:type="dxa"/>
        <w:left w:w="57" w:type="dxa"/>
        <w:bottom w:w="57" w:type="dxa"/>
        <w:right w:w="57" w:type="dxa"/>
      </w:tblCellMar>
    </w:tblPr>
    <w:tcPr>
      <w:shd w:val="clear" w:color="auto" w:fill="auto"/>
    </w:tcPr>
    <w:tblStylePr w:type="firstRow">
      <w:rPr>
        <w:rFonts w:asciiTheme="majorHAnsi" w:hAnsiTheme="majorHAnsi"/>
        <w:sz w:val="18"/>
      </w:rPr>
      <w:tblPr/>
      <w:tcPr>
        <w:shd w:val="clear" w:color="auto" w:fill="F0F7D7"/>
      </w:tcPr>
    </w:tblStylePr>
  </w:style>
  <w:style w:type="character" w:customStyle="1" w:styleId="ForeignKhmerScript">
    <w:name w:val="Foreign: KhmerScript"/>
    <w:basedOn w:val="Bekezdsalapbettpusa"/>
    <w:uiPriority w:val="1"/>
    <w:qFormat/>
    <w:rPr>
      <w:rFonts w:ascii="DaunPenh" w:hAnsi="DaunPenh" w:cs="DaunPenh"/>
      <w:bCs w:val="0"/>
      <w:iCs w:val="0"/>
      <w:szCs w:val="36"/>
      <w:lang w:bidi="km-KH"/>
    </w:rPr>
  </w:style>
  <w:style w:type="character" w:customStyle="1" w:styleId="MetreCode">
    <w:name w:val="MetreCode"/>
    <w:basedOn w:val="Bekezdsalapbettpusa"/>
    <w:uiPriority w:val="1"/>
    <w:qFormat/>
    <w:rPr>
      <w:rFonts w:ascii="Cardo" w:hAnsi="Cardo" w:cs="Murty Sanskrit"/>
      <w:spacing w:val="30"/>
    </w:rPr>
  </w:style>
  <w:style w:type="paragraph" w:styleId="Tartalomjegyzkcmsora">
    <w:name w:val="TOC Heading"/>
    <w:basedOn w:val="Cmsor1"/>
    <w:next w:val="Norml"/>
    <w:uiPriority w:val="39"/>
    <w:unhideWhenUsed/>
    <w:qFormat/>
    <w:pPr>
      <w:spacing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styleId="TJ1">
    <w:name w:val="toc 1"/>
    <w:basedOn w:val="Norml"/>
    <w:next w:val="Norml"/>
    <w:uiPriority w:val="39"/>
    <w:unhideWhenUsed/>
    <w:pPr>
      <w:pBdr>
        <w:bottom w:val="single" w:sz="12" w:space="1" w:color="auto"/>
      </w:pBdr>
      <w:tabs>
        <w:tab w:val="left" w:pos="284"/>
        <w:tab w:val="right" w:pos="9639"/>
      </w:tabs>
      <w:spacing w:before="60" w:line="240" w:lineRule="exact"/>
    </w:pPr>
    <w:rPr>
      <w:rFonts w:ascii="Calibri" w:hAnsi="Calibri"/>
      <w:b/>
    </w:rPr>
  </w:style>
  <w:style w:type="paragraph" w:styleId="TJ2">
    <w:name w:val="toc 2"/>
    <w:basedOn w:val="Norml"/>
    <w:next w:val="Norml"/>
    <w:uiPriority w:val="39"/>
    <w:unhideWhenUsed/>
    <w:pPr>
      <w:tabs>
        <w:tab w:val="left" w:pos="567"/>
        <w:tab w:val="right" w:leader="dot" w:pos="9639"/>
      </w:tabs>
      <w:spacing w:line="220" w:lineRule="exact"/>
      <w:ind w:left="227"/>
    </w:pPr>
    <w:rPr>
      <w:rFonts w:asciiTheme="majorHAnsi" w:hAnsiTheme="majorHAnsi"/>
      <w:sz w:val="18"/>
      <w:szCs w:val="18"/>
    </w:rPr>
  </w:style>
  <w:style w:type="paragraph" w:styleId="TJ3">
    <w:name w:val="toc 3"/>
    <w:basedOn w:val="Norml"/>
    <w:next w:val="Norml"/>
    <w:uiPriority w:val="39"/>
    <w:unhideWhenUsed/>
    <w:pPr>
      <w:tabs>
        <w:tab w:val="left" w:pos="1134"/>
        <w:tab w:val="right" w:leader="dot" w:pos="9639"/>
      </w:tabs>
      <w:spacing w:line="220" w:lineRule="exact"/>
      <w:ind w:left="567"/>
    </w:pPr>
    <w:rPr>
      <w:rFonts w:asciiTheme="majorHAnsi" w:hAnsiTheme="majorHAnsi"/>
      <w:sz w:val="18"/>
    </w:rPr>
  </w:style>
  <w:style w:type="paragraph" w:styleId="Vltozat">
    <w:name w:val="Revision"/>
    <w:hidden/>
    <w:uiPriority w:val="99"/>
    <w:semiHidden/>
    <w:pPr>
      <w:widowControl/>
      <w:ind w:left="0"/>
      <w:jc w:val="left"/>
    </w:pPr>
    <w:rPr>
      <w:rFonts w:ascii="Gentium Plus" w:eastAsia="Arial Unicode MS" w:hAnsi="Gentium Plus" w:cs="Gentium Plus"/>
      <w:szCs w:val="22"/>
      <w:lang w:eastAsia="zh-TW"/>
    </w:rPr>
  </w:style>
  <w:style w:type="character" w:customStyle="1" w:styleId="Codeattribute">
    <w:name w:val="Code_attribute"/>
    <w:basedOn w:val="Code"/>
    <w:uiPriority w:val="1"/>
    <w:qFormat/>
    <w:rPr>
      <w:rFonts w:ascii="Consolas" w:hAnsi="Consolas" w:cs="Consolas"/>
      <w:noProof/>
      <w:color w:val="008080"/>
      <w:bdr w:val="none" w:sz="0" w:space="0" w:color="auto"/>
      <w:shd w:val="clear" w:color="auto" w:fill="F2F2F2" w:themeFill="background1" w:themeFillShade="F2"/>
    </w:rPr>
  </w:style>
  <w:style w:type="character" w:customStyle="1" w:styleId="Codevalue">
    <w:name w:val="Code_value"/>
    <w:basedOn w:val="Code"/>
    <w:uiPriority w:val="1"/>
    <w:qFormat/>
    <w:rPr>
      <w:rFonts w:ascii="Consolas" w:eastAsia="Consolas" w:hAnsi="Consolas" w:cs="Consolas"/>
      <w:noProof/>
      <w:color w:val="C00000"/>
      <w:bdr w:val="none" w:sz="0" w:space="0" w:color="auto"/>
      <w:shd w:val="clear" w:color="auto" w:fill="F2F2F2" w:themeFill="background1" w:themeFillShade="F2"/>
    </w:rPr>
  </w:style>
  <w:style w:type="character" w:customStyle="1" w:styleId="Codecomment">
    <w:name w:val="Code_comment"/>
    <w:basedOn w:val="Code"/>
    <w:uiPriority w:val="1"/>
    <w:qFormat/>
    <w:rPr>
      <w:rFonts w:ascii="Consolas" w:eastAsia="Consolas" w:hAnsi="Consolas" w:cs="Consolas"/>
      <w:i/>
      <w:iCs/>
      <w:noProof/>
      <w:color w:val="999988"/>
      <w:bdr w:val="none" w:sz="0" w:space="0" w:color="auto"/>
      <w:shd w:val="clear" w:color="auto" w:fill="F2F2F2" w:themeFill="background1" w:themeFillShade="F2"/>
    </w:rPr>
  </w:style>
  <w:style w:type="character" w:customStyle="1" w:styleId="Codeinstruction">
    <w:name w:val="Code_instruction"/>
    <w:basedOn w:val="Code"/>
    <w:uiPriority w:val="1"/>
    <w:qFormat/>
    <w:rPr>
      <w:rFonts w:ascii="Consolas" w:eastAsia="Consolas" w:hAnsi="Consolas" w:cs="Consolas"/>
      <w:b/>
      <w:bCs/>
      <w:noProof/>
      <w:color w:val="969696"/>
      <w:bdr w:val="none" w:sz="0" w:space="0" w:color="auto"/>
      <w:shd w:val="clear" w:color="auto" w:fill="F2F2F2" w:themeFill="background1" w:themeFillShade="F2"/>
    </w:rPr>
  </w:style>
  <w:style w:type="character" w:customStyle="1" w:styleId="Codetext">
    <w:name w:val="Code_text"/>
    <w:basedOn w:val="Code"/>
    <w:uiPriority w:val="1"/>
    <w:qFormat/>
    <w:rPr>
      <w:rFonts w:ascii="Consolas" w:hAnsi="Consolas" w:cs="Consolas"/>
      <w:noProof/>
      <w:color w:val="000000" w:themeColor="text1"/>
      <w:bdr w:val="none" w:sz="0" w:space="0" w:color="auto"/>
      <w:shd w:val="clear" w:color="auto" w:fill="F2F2F2" w:themeFill="background1" w:themeFillShade="F2"/>
    </w:rPr>
  </w:style>
  <w:style w:type="paragraph" w:styleId="Kpalrs">
    <w:name w:val="caption"/>
    <w:basedOn w:val="Norml"/>
    <w:next w:val="Norml"/>
    <w:uiPriority w:val="35"/>
    <w:qFormat/>
    <w:pPr>
      <w:keepNext/>
      <w:spacing w:before="120" w:line="240" w:lineRule="auto"/>
      <w:jc w:val="center"/>
    </w:pPr>
    <w:rPr>
      <w:i/>
      <w:iCs/>
      <w:sz w:val="20"/>
      <w:szCs w:val="18"/>
    </w:rPr>
  </w:style>
  <w:style w:type="table" w:customStyle="1" w:styleId="CodeSampleTable">
    <w:name w:val="CodeSampleTable"/>
    <w:basedOn w:val="Normltblzat"/>
    <w:uiPriority w:val="99"/>
    <w:pPr>
      <w:widowControl/>
      <w:ind w:left="0"/>
      <w:jc w:val="left"/>
    </w:pPr>
    <w:rPr>
      <w:rFonts w:ascii="Gentium Plus" w:eastAsia="Arial Unicode MS" w:hAnsi="Gentium Plus" w:cs="Gentium Plus"/>
      <w:sz w:val="18"/>
      <w:lang w:eastAsia="zh-TW"/>
    </w:rPr>
    <w:tblPr>
      <w:tblBorders>
        <w:top w:val="single" w:sz="4" w:space="0" w:color="auto"/>
        <w:left w:val="single" w:sz="4" w:space="0" w:color="auto"/>
        <w:bottom w:val="single" w:sz="4" w:space="0" w:color="auto"/>
        <w:right w:val="single" w:sz="4" w:space="0" w:color="auto"/>
        <w:insideH w:val="single" w:sz="4" w:space="0" w:color="auto"/>
      </w:tblBorders>
      <w:tblCellMar>
        <w:left w:w="0" w:type="dxa"/>
        <w:right w:w="0" w:type="dxa"/>
      </w:tblCellMar>
    </w:tblPr>
    <w:trPr>
      <w:cantSplit/>
    </w:trPr>
    <w:tcPr>
      <w:shd w:val="clear" w:color="auto" w:fill="auto"/>
    </w:tcPr>
    <w:tblStylePr w:type="firstRow">
      <w:rPr>
        <w:rFonts w:asciiTheme="majorHAnsi" w:hAnsiTheme="majorHAnsi"/>
        <w:sz w:val="18"/>
      </w:rPr>
      <w:tblPr/>
      <w:tcPr>
        <w:shd w:val="clear" w:color="auto" w:fill="F0F7D7"/>
      </w:tcPr>
    </w:tblStylePr>
  </w:style>
  <w:style w:type="paragraph" w:customStyle="1" w:styleId="CodeParagraph">
    <w:name w:val="CodeParagraph"/>
    <w:basedOn w:val="Norml"/>
    <w:qFormat/>
    <w:pPr>
      <w:shd w:val="clear" w:color="auto" w:fill="F2F2F2" w:themeFill="background1" w:themeFillShade="F2"/>
      <w:spacing w:line="220" w:lineRule="exact"/>
      <w:jc w:val="left"/>
    </w:pPr>
    <w:rPr>
      <w:sz w:val="18"/>
      <w:szCs w:val="18"/>
    </w:rPr>
  </w:style>
  <w:style w:type="paragraph" w:customStyle="1" w:styleId="TableNote">
    <w:name w:val="TableNote"/>
    <w:basedOn w:val="Tabletext"/>
    <w:qFormat/>
    <w:pPr>
      <w:numPr>
        <w:numId w:val="4"/>
      </w:numPr>
      <w:spacing w:before="60"/>
      <w:contextualSpacing/>
    </w:pPr>
  </w:style>
  <w:style w:type="character" w:customStyle="1" w:styleId="ForeignTamilGrantha">
    <w:name w:val="Foreign:TamilGrantha"/>
    <w:basedOn w:val="ForeignTamilScript"/>
    <w:uiPriority w:val="1"/>
    <w:qFormat/>
    <w:rPr>
      <w:rFonts w:ascii="Noto Sans Grantha" w:hAnsi="Noto Sans Grantha" w:cs="Noto Sans Grantha"/>
      <w:b w:val="0"/>
      <w:bCs w:val="0"/>
      <w:i w:val="0"/>
      <w:iCs w:val="0"/>
      <w:noProof/>
      <w:szCs w:val="24"/>
    </w:rPr>
  </w:style>
  <w:style w:type="character" w:customStyle="1" w:styleId="ForeignDevanagariScript">
    <w:name w:val="Foreign:DevanagariScript"/>
    <w:basedOn w:val="ForeignKannadaScript"/>
    <w:uiPriority w:val="1"/>
    <w:qFormat/>
    <w:rPr>
      <w:rFonts w:ascii="Murty Sanskrit" w:hAnsi="Murty Sanskrit" w:cs="Murty Sanskrit"/>
      <w:b w:val="0"/>
      <w:bCs w:val="0"/>
      <w:i w:val="0"/>
      <w:iCs w:val="0"/>
      <w:noProof/>
    </w:rPr>
  </w:style>
  <w:style w:type="paragraph" w:styleId="TJ4">
    <w:name w:val="toc 4"/>
    <w:basedOn w:val="TJ3"/>
    <w:next w:val="Norml"/>
    <w:autoRedefine/>
    <w:uiPriority w:val="39"/>
    <w:unhideWhenUsed/>
    <w:pPr>
      <w:tabs>
        <w:tab w:val="clear" w:pos="1134"/>
      </w:tabs>
      <w:ind w:left="1021"/>
    </w:pPr>
  </w:style>
  <w:style w:type="paragraph" w:styleId="TJ5">
    <w:name w:val="toc 5"/>
    <w:basedOn w:val="Norml"/>
    <w:next w:val="Norml"/>
    <w:autoRedefine/>
    <w:uiPriority w:val="39"/>
    <w:unhideWhenUsed/>
    <w:pPr>
      <w:spacing w:after="100" w:line="259" w:lineRule="auto"/>
      <w:ind w:left="880"/>
    </w:pPr>
    <w:rPr>
      <w:rFonts w:asciiTheme="minorHAnsi" w:hAnsiTheme="minorHAnsi" w:cstheme="minorBidi"/>
      <w:szCs w:val="20"/>
    </w:rPr>
  </w:style>
  <w:style w:type="paragraph" w:styleId="TJ6">
    <w:name w:val="toc 6"/>
    <w:basedOn w:val="Norml"/>
    <w:next w:val="Norml"/>
    <w:autoRedefine/>
    <w:uiPriority w:val="39"/>
    <w:unhideWhenUsed/>
    <w:pPr>
      <w:spacing w:after="100" w:line="259" w:lineRule="auto"/>
      <w:ind w:left="1100"/>
    </w:pPr>
    <w:rPr>
      <w:rFonts w:asciiTheme="minorHAnsi" w:hAnsiTheme="minorHAnsi" w:cstheme="minorBidi"/>
      <w:szCs w:val="20"/>
    </w:rPr>
  </w:style>
  <w:style w:type="paragraph" w:styleId="TJ7">
    <w:name w:val="toc 7"/>
    <w:basedOn w:val="Norml"/>
    <w:next w:val="Norml"/>
    <w:autoRedefine/>
    <w:uiPriority w:val="39"/>
    <w:unhideWhenUsed/>
    <w:pPr>
      <w:spacing w:after="100" w:line="259" w:lineRule="auto"/>
      <w:ind w:left="1320"/>
    </w:pPr>
    <w:rPr>
      <w:rFonts w:asciiTheme="minorHAnsi" w:hAnsiTheme="minorHAnsi" w:cstheme="minorBidi"/>
      <w:szCs w:val="20"/>
    </w:rPr>
  </w:style>
  <w:style w:type="paragraph" w:styleId="TJ8">
    <w:name w:val="toc 8"/>
    <w:basedOn w:val="Norml"/>
    <w:next w:val="Norml"/>
    <w:autoRedefine/>
    <w:uiPriority w:val="39"/>
    <w:unhideWhenUsed/>
    <w:pPr>
      <w:spacing w:after="100" w:line="259" w:lineRule="auto"/>
      <w:ind w:left="1540"/>
    </w:pPr>
    <w:rPr>
      <w:rFonts w:asciiTheme="minorHAnsi" w:hAnsiTheme="minorHAnsi" w:cstheme="minorBidi"/>
      <w:szCs w:val="20"/>
    </w:rPr>
  </w:style>
  <w:style w:type="paragraph" w:styleId="TJ9">
    <w:name w:val="toc 9"/>
    <w:basedOn w:val="Norml"/>
    <w:next w:val="Norml"/>
    <w:autoRedefine/>
    <w:uiPriority w:val="39"/>
    <w:unhideWhenUsed/>
    <w:pPr>
      <w:spacing w:after="100" w:line="259" w:lineRule="auto"/>
      <w:ind w:left="1760"/>
    </w:pPr>
    <w:rPr>
      <w:rFonts w:asciiTheme="minorHAnsi" w:hAnsiTheme="minorHAnsi" w:cstheme="minorBidi"/>
      <w:szCs w:val="20"/>
    </w:rPr>
  </w:style>
  <w:style w:type="paragraph" w:customStyle="1" w:styleId="Frontmatter">
    <w:name w:val="Frontmatter"/>
    <w:basedOn w:val="Norml"/>
    <w:qFormat/>
    <w:pPr>
      <w:spacing w:line="360" w:lineRule="exact"/>
      <w:jc w:val="center"/>
    </w:pPr>
    <w:rPr>
      <w:rFonts w:ascii="Calibri" w:hAnsi="Calibri"/>
      <w:sz w:val="28"/>
      <w:szCs w:val="28"/>
    </w:rPr>
  </w:style>
  <w:style w:type="paragraph" w:styleId="Megjegyzstrgya">
    <w:name w:val="annotation subject"/>
    <w:basedOn w:val="Jegyzetszveg"/>
    <w:next w:val="Jegyzetszveg"/>
    <w:link w:val="MegjegyzstrgyaChar"/>
    <w:uiPriority w:val="99"/>
    <w:semiHidden/>
    <w:unhideWhenUsed/>
    <w:pPr>
      <w:spacing w:line="240" w:lineRule="auto"/>
    </w:pPr>
    <w:rPr>
      <w:b/>
      <w:bCs/>
      <w:szCs w:val="20"/>
    </w:rPr>
  </w:style>
  <w:style w:type="character" w:customStyle="1" w:styleId="MegjegyzstrgyaChar">
    <w:name w:val="Megjegyzés tárgya Char"/>
    <w:basedOn w:val="JegyzetszvegChar"/>
    <w:link w:val="Megjegyzstrgya"/>
    <w:uiPriority w:val="99"/>
    <w:semiHidden/>
    <w:rPr>
      <w:rFonts w:ascii="Gentium" w:eastAsiaTheme="minorEastAsia" w:hAnsi="Gentium" w:cs="Murty Sanskrit"/>
      <w:b/>
      <w:bCs/>
      <w:kern w:val="2"/>
      <w:sz w:val="20"/>
      <w:szCs w:val="20"/>
      <w:lang w:eastAsia="zh-TW"/>
      <w14:ligatures w14:val="standardContextual"/>
    </w:rPr>
  </w:style>
  <w:style w:type="character" w:customStyle="1" w:styleId="Metrum">
    <w:name w:val="Metrum"/>
    <w:rPr>
      <w:rFonts w:ascii="Cardo" w:hAnsi="Cardo"/>
      <w:noProof/>
    </w:rPr>
  </w:style>
  <w:style w:type="character" w:customStyle="1" w:styleId="ForeignBurmeseScript">
    <w:name w:val="Foreign: BurmeseScript"/>
    <w:basedOn w:val="Foreign"/>
    <w:uiPriority w:val="1"/>
    <w:qFormat/>
    <w:rPr>
      <w:rFonts w:ascii="Myanmar Text" w:hAnsi="Myanmar Text" w:cs="Myanmar Text"/>
      <w:bCs w:val="0"/>
      <w:i w:val="0"/>
      <w:iCs w:val="0"/>
      <w:noProof/>
    </w:rPr>
  </w:style>
  <w:style w:type="character" w:styleId="Vgjegyzet-hivatkozs">
    <w:name w:val="endnote reference"/>
    <w:basedOn w:val="Bekezdsalapbettpusa"/>
    <w:uiPriority w:val="99"/>
    <w:semiHidden/>
    <w:unhideWhenUsed/>
    <w:rPr>
      <w:vertAlign w:val="superscript"/>
    </w:rPr>
  </w:style>
  <w:style w:type="paragraph" w:customStyle="1" w:styleId="BlockImage">
    <w:name w:val="BlockImage"/>
    <w:basedOn w:val="Norml"/>
    <w:qFormat/>
    <w:pPr>
      <w:spacing w:line="240" w:lineRule="auto"/>
      <w:jc w:val="center"/>
    </w:pPr>
    <w:rPr>
      <w:noProof/>
    </w:rPr>
  </w:style>
  <w:style w:type="paragraph" w:customStyle="1" w:styleId="Image">
    <w:name w:val="Image"/>
    <w:basedOn w:val="Norml"/>
    <w:qFormat/>
    <w:pPr>
      <w:keepNext/>
      <w:widowControl w:val="0"/>
      <w:spacing w:before="60" w:after="60" w:line="240" w:lineRule="auto"/>
      <w:jc w:val="center"/>
    </w:pPr>
    <w:rPr>
      <w:noProof/>
      <w:sz w:val="20"/>
    </w:rPr>
  </w:style>
  <w:style w:type="paragraph" w:styleId="Szvegtrzs">
    <w:name w:val="Body Text"/>
    <w:basedOn w:val="Norml"/>
    <w:link w:val="SzvegtrzsChar"/>
    <w:uiPriority w:val="74"/>
    <w:pPr>
      <w:spacing w:before="120" w:after="120"/>
      <w:ind w:left="567" w:right="567"/>
      <w:contextualSpacing/>
    </w:pPr>
  </w:style>
  <w:style w:type="character" w:customStyle="1" w:styleId="SzvegtrzsChar">
    <w:name w:val="Szövegtörzs Char"/>
    <w:basedOn w:val="Bekezdsalapbettpusa"/>
    <w:link w:val="Szvegtrzs"/>
    <w:uiPriority w:val="74"/>
    <w:rPr>
      <w:rFonts w:ascii="Gentium" w:eastAsiaTheme="minorEastAsia" w:hAnsi="Gentium" w:cs="Tiro Devanagari Sanskrit"/>
      <w:kern w:val="2"/>
      <w:sz w:val="22"/>
      <w:szCs w:val="22"/>
      <w:lang w:eastAsia="zh-TW"/>
      <w14:ligatures w14:val="standardContextual"/>
    </w:rPr>
  </w:style>
  <w:style w:type="character" w:customStyle="1" w:styleId="ForeignIndic">
    <w:name w:val="Foreign: Indic"/>
    <w:basedOn w:val="Foreign"/>
    <w:uiPriority w:val="1"/>
    <w:qFormat/>
    <w:rPr>
      <w:i w:val="0"/>
      <w:iCs w:val="0"/>
      <w:noProof/>
    </w:rPr>
  </w:style>
  <w:style w:type="paragraph" w:styleId="Idzet">
    <w:name w:val="Quote"/>
    <w:basedOn w:val="Norml"/>
    <w:next w:val="Norml"/>
    <w:link w:val="IdzetChar"/>
    <w:uiPriority w:val="29"/>
    <w:unhideWhenUsed/>
    <w:pPr>
      <w:spacing w:before="120" w:after="120"/>
      <w:ind w:left="567" w:right="567"/>
    </w:pPr>
  </w:style>
  <w:style w:type="character" w:customStyle="1" w:styleId="IdzetChar">
    <w:name w:val="Idézet Char"/>
    <w:basedOn w:val="Bekezdsalapbettpusa"/>
    <w:link w:val="Idzet"/>
    <w:uiPriority w:val="29"/>
    <w:rPr>
      <w:rFonts w:ascii="Gentium" w:eastAsiaTheme="minorEastAsia" w:hAnsi="Gentium" w:cs="Tiro Devanagari Sanskrit"/>
      <w:kern w:val="2"/>
      <w:sz w:val="22"/>
      <w:szCs w:val="22"/>
      <w:lang w:eastAsia="zh-TW"/>
      <w14:ligatures w14:val="standardContextual"/>
    </w:rPr>
  </w:style>
  <w:style w:type="paragraph" w:styleId="Normlbehzs">
    <w:name w:val="Normal Indent"/>
    <w:basedOn w:val="Norml"/>
    <w:uiPriority w:val="99"/>
    <w:unhideWhenUsed/>
    <w:pPr>
      <w:ind w:firstLine="425"/>
    </w:pPr>
  </w:style>
  <w:style w:type="character" w:customStyle="1" w:styleId="ImageInsetSundanese">
    <w:name w:val="ImageInsetSundanese"/>
    <w:basedOn w:val="Bekezdsalapbettpusa"/>
    <w:uiPriority w:val="1"/>
    <w:qFormat/>
    <w:rPr>
      <w:noProof/>
      <w:position w:val="-10"/>
    </w:rPr>
  </w:style>
  <w:style w:type="paragraph" w:customStyle="1" w:styleId="TableHead">
    <w:name w:val="TableHead"/>
    <w:basedOn w:val="Norml"/>
    <w:qFormat/>
    <w:pPr>
      <w:jc w:val="left"/>
    </w:pPr>
  </w:style>
  <w:style w:type="table" w:customStyle="1" w:styleId="Stlus1">
    <w:name w:val="Stílus1"/>
    <w:basedOn w:val="CodeSampleTable"/>
    <w:uiPriority w:val="99"/>
    <w:tblPr>
      <w:tblCellMar>
        <w:top w:w="57" w:type="dxa"/>
        <w:bottom w:w="57" w:type="dxa"/>
      </w:tblCellMar>
    </w:tblPr>
    <w:tcPr>
      <w:shd w:val="clear" w:color="auto" w:fill="auto"/>
    </w:tcPr>
    <w:tblStylePr w:type="firstRow">
      <w:rPr>
        <w:rFonts w:asciiTheme="majorHAnsi" w:hAnsiTheme="majorHAnsi"/>
        <w:sz w:val="18"/>
      </w:rPr>
      <w:tblPr/>
      <w:tcPr>
        <w:tcBorders>
          <w:bottom w:val="nil"/>
        </w:tcBorders>
        <w:shd w:val="clear" w:color="auto" w:fill="EAF1DD" w:themeFill="accent3" w:themeFillTint="33"/>
      </w:tcPr>
    </w:tblStylePr>
  </w:style>
  <w:style w:type="character" w:customStyle="1" w:styleId="ForeignDevanagariAlt">
    <w:name w:val="Foreign: DevanagariAlt"/>
    <w:basedOn w:val="Bekezdsalapbettpusa"/>
    <w:uiPriority w:val="1"/>
    <w:qFormat/>
    <w:rPr>
      <w:rFonts w:ascii="Uttara" w:hAnsi="Uttara" w:cs="Uttara"/>
      <w:b w:val="0"/>
      <w:bCs w:val="0"/>
      <w:i w:val="0"/>
      <w:iCs w:val="0"/>
      <w:noProof/>
      <w14:ligatures w14:val="all"/>
    </w:rPr>
  </w:style>
  <w:style w:type="character" w:customStyle="1" w:styleId="ForeignDevanagariScript0">
    <w:name w:val="Foreign: DevanagariScript"/>
    <w:basedOn w:val="ForeignKannadaScript"/>
    <w:uiPriority w:val="1"/>
    <w:qFormat/>
    <w:rPr>
      <w:rFonts w:ascii="Tiro Devanagari Sanskrit" w:hAnsi="Tiro Devanagari Sanskrit" w:cs="Tiro Devanagari Sanskrit"/>
      <w:b w:val="0"/>
      <w:bCs w:val="0"/>
      <w:i w:val="0"/>
      <w:iCs w:val="0"/>
      <w:noProof/>
    </w:rPr>
  </w:style>
  <w:style w:type="character" w:customStyle="1" w:styleId="ForeignBengaliScript">
    <w:name w:val="Foreign: BengaliScript"/>
    <w:basedOn w:val="ForeignDevanagariScript0"/>
    <w:uiPriority w:val="1"/>
    <w:qFormat/>
    <w:rPr>
      <w:rFonts w:ascii="Tiro Devanagari Sanskrit" w:hAnsi="Tiro Devanagari Sanskrit" w:cs="Tiro Devanagari Sanskrit"/>
      <w:b w:val="0"/>
      <w:bCs w:val="0"/>
      <w:i w:val="0"/>
      <w:iCs w:val="0"/>
      <w:noProof/>
    </w:rPr>
  </w:style>
  <w:style w:type="character" w:customStyle="1" w:styleId="ForeignTamilGrantha0">
    <w:name w:val="Foreign: TamilGrantha"/>
    <w:basedOn w:val="ForeignTamilScript"/>
    <w:uiPriority w:val="1"/>
    <w:qFormat/>
    <w:rPr>
      <w:rFonts w:ascii="Noto Sans Grantha" w:hAnsi="Noto Sans Grantha" w:cs="Noto Sans Grantha"/>
      <w:b w:val="0"/>
      <w:bCs w:val="0"/>
      <w:i w:val="0"/>
      <w:iCs w:val="0"/>
      <w:noProof/>
      <w:szCs w:val="24"/>
    </w:rPr>
  </w:style>
  <w:style w:type="table" w:customStyle="1" w:styleId="TGtableblank">
    <w:name w:val="TG table blank"/>
    <w:basedOn w:val="Normltblzat"/>
    <w:uiPriority w:val="99"/>
    <w:pPr>
      <w:widowControl/>
      <w:ind w:left="0"/>
      <w:jc w:val="left"/>
    </w:pPr>
    <w:rPr>
      <w:rFonts w:ascii="Gentium Plus" w:eastAsia="Arial Unicode MS" w:hAnsi="Gentium Plus" w:cs="Gentium Plus"/>
      <w:lang w:eastAsia="zh-TW"/>
    </w:rPr>
    <w:tblPr/>
  </w:style>
  <w:style w:type="character" w:customStyle="1" w:styleId="TG-Label">
    <w:name w:val="TG-Label"/>
    <w:basedOn w:val="Code"/>
    <w:uiPriority w:val="1"/>
    <w:qFormat/>
    <w:rPr>
      <w:rFonts w:ascii="Calibri" w:hAnsi="Calibri" w:cs="Consolas"/>
      <w:noProof/>
      <w:color w:val="0000FF"/>
      <w:bdr w:val="single" w:sz="4" w:space="0" w:color="auto"/>
      <w:shd w:val="clear" w:color="auto" w:fill="auto"/>
    </w:rPr>
  </w:style>
  <w:style w:type="character" w:customStyle="1" w:styleId="LabelEmph">
    <w:name w:val="LabelEmph"/>
    <w:basedOn w:val="TG-Label"/>
    <w:uiPriority w:val="1"/>
    <w:qFormat/>
    <w:rPr>
      <w:rFonts w:ascii="Calibri" w:hAnsi="Calibri" w:cs="Consolas"/>
      <w:noProof/>
      <w:color w:val="FF0000"/>
      <w:bdr w:val="single" w:sz="4" w:space="0" w:color="auto"/>
      <w:shd w:val="clear" w:color="auto" w:fill="auto"/>
    </w:rPr>
  </w:style>
  <w:style w:type="character" w:customStyle="1" w:styleId="Label">
    <w:name w:val="Label"/>
    <w:basedOn w:val="Code"/>
    <w:uiPriority w:val="1"/>
    <w:qFormat/>
    <w:rPr>
      <w:rFonts w:ascii="Calibri" w:hAnsi="Calibri" w:cs="Consolas"/>
      <w:noProof/>
      <w:color w:val="0000FF"/>
      <w:bdr w:val="single" w:sz="4" w:space="0" w:color="auto"/>
      <w:shd w:val="clear" w:color="auto" w:fill="auto"/>
    </w:rPr>
  </w:style>
  <w:style w:type="character" w:customStyle="1" w:styleId="ForeignTeluguScript">
    <w:name w:val="Foreign: TeluguScript"/>
    <w:basedOn w:val="ForeignKannadaScript"/>
    <w:uiPriority w:val="1"/>
    <w:qFormat/>
    <w:rPr>
      <w:rFonts w:ascii="Tiro Telugu" w:hAnsi="Tiro Telugu" w:cs="Nirmala UI"/>
      <w:b w:val="0"/>
      <w:bCs w:val="0"/>
      <w:i w:val="0"/>
      <w:iCs w:val="0"/>
      <w:noProof/>
    </w:rPr>
  </w:style>
  <w:style w:type="character" w:customStyle="1" w:styleId="ForeignJavaneseScript">
    <w:name w:val="Foreign: JavaneseScript"/>
    <w:basedOn w:val="ForeignBalineseScript"/>
    <w:uiPriority w:val="1"/>
    <w:qFormat/>
    <w:rPr>
      <w:rFonts w:ascii="Javanese Text" w:hAnsi="Javanese Text" w:cs="Javanese Text"/>
      <w:b w:val="0"/>
      <w:bCs w:val="0"/>
      <w:i w:val="0"/>
      <w:iCs w:val="0"/>
      <w:noProof/>
      <w:position w:val="0"/>
      <w:szCs w:val="24"/>
    </w:rPr>
  </w:style>
  <w:style w:type="character" w:customStyle="1" w:styleId="LabelGreen">
    <w:name w:val="LabelGreen"/>
    <w:basedOn w:val="Label"/>
    <w:uiPriority w:val="1"/>
    <w:qFormat/>
    <w:rPr>
      <w:rFonts w:ascii="Calibri" w:hAnsi="Calibri" w:cs="Consolas"/>
      <w:noProof/>
      <w:color w:val="4F6228" w:themeColor="accent3" w:themeShade="80"/>
      <w:bdr w:val="single" w:sz="4" w:space="0" w:color="auto"/>
      <w:shd w:val="clear" w:color="auto" w:fill="auto"/>
    </w:rPr>
  </w:style>
  <w:style w:type="character" w:customStyle="1" w:styleId="ForeignSharadaScript">
    <w:name w:val="Foreign: SharadaScript"/>
    <w:basedOn w:val="ForeignDevanagariScript0"/>
    <w:uiPriority w:val="1"/>
    <w:qFormat/>
    <w:rPr>
      <w:rFonts w:ascii="Satisar Sharada" w:hAnsi="Satisar Sharada" w:cs="Tiro Devanagari Sanskrit"/>
      <w:b w:val="0"/>
      <w:bCs w:val="0"/>
      <w:i w:val="0"/>
      <w:iCs w:val="0"/>
      <w:noProof/>
    </w:rPr>
  </w:style>
  <w:style w:type="character" w:customStyle="1" w:styleId="LabelInformal">
    <w:name w:val="LabelInformal"/>
    <w:basedOn w:val="Code"/>
    <w:uiPriority w:val="1"/>
    <w:qFormat/>
    <w:rPr>
      <w:rFonts w:ascii="Calibri" w:hAnsi="Calibri" w:cs="Consolas"/>
      <w:noProof/>
      <w:color w:val="7F7F7F" w:themeColor="text1" w:themeTint="80"/>
      <w:bdr w:val="single" w:sz="4" w:space="0" w:color="auto"/>
      <w:shd w:val="clear" w:color="auto" w:fill="auto"/>
    </w:rPr>
  </w:style>
  <w:style w:type="character" w:customStyle="1" w:styleId="ForeignGurmukhiScript">
    <w:name w:val="Foreign: GurmukhiScript"/>
    <w:basedOn w:val="ForeignDevanagariScript0"/>
    <w:uiPriority w:val="1"/>
    <w:qFormat/>
    <w:rPr>
      <w:rFonts w:ascii="Raavi" w:hAnsi="Raavi" w:cs="Raavi"/>
      <w:b w:val="0"/>
      <w:bCs w:val="0"/>
      <w:i w:val="0"/>
      <w:iCs w:val="0"/>
      <w:noProof/>
      <w:lang w:bidi="pa-IN"/>
    </w:rPr>
  </w:style>
  <w:style w:type="character" w:customStyle="1" w:styleId="ForeignDingbat">
    <w:name w:val="Foreign: Dingbat"/>
    <w:basedOn w:val="ForeignDevanagariScript0"/>
    <w:uiPriority w:val="1"/>
    <w:qFormat/>
    <w:rPr>
      <w:rFonts w:ascii="Segoe UI Symbol" w:hAnsi="Segoe UI Symbol" w:cs="Cambria Math"/>
      <w:b w:val="0"/>
      <w:bCs w:val="0"/>
      <w:i w:val="0"/>
      <w:iCs w:val="0"/>
      <w:noProof/>
      <w:lang w:eastAsia="en-US" w:bidi="ar-SA"/>
    </w:rPr>
  </w:style>
  <w:style w:type="paragraph" w:styleId="Listaszerbekezds">
    <w:name w:val="List Paragraph"/>
    <w:basedOn w:val="Norml"/>
    <w:uiPriority w:val="34"/>
    <w:qFormat/>
    <w:pPr>
      <w:ind w:left="720"/>
      <w:contextualSpacing/>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903290">
      <w:bodyDiv w:val="1"/>
      <w:marLeft w:val="0"/>
      <w:marRight w:val="0"/>
      <w:marTop w:val="0"/>
      <w:marBottom w:val="0"/>
      <w:divBdr>
        <w:top w:val="none" w:sz="0" w:space="0" w:color="auto"/>
        <w:left w:val="none" w:sz="0" w:space="0" w:color="auto"/>
        <w:bottom w:val="none" w:sz="0" w:space="0" w:color="auto"/>
        <w:right w:val="none" w:sz="0" w:space="0" w:color="auto"/>
      </w:divBdr>
    </w:div>
    <w:div w:id="45421345">
      <w:bodyDiv w:val="1"/>
      <w:marLeft w:val="0"/>
      <w:marRight w:val="0"/>
      <w:marTop w:val="0"/>
      <w:marBottom w:val="0"/>
      <w:divBdr>
        <w:top w:val="none" w:sz="0" w:space="0" w:color="auto"/>
        <w:left w:val="none" w:sz="0" w:space="0" w:color="auto"/>
        <w:bottom w:val="none" w:sz="0" w:space="0" w:color="auto"/>
        <w:right w:val="none" w:sz="0" w:space="0" w:color="auto"/>
      </w:divBdr>
    </w:div>
    <w:div w:id="102959600">
      <w:bodyDiv w:val="1"/>
      <w:marLeft w:val="0"/>
      <w:marRight w:val="0"/>
      <w:marTop w:val="0"/>
      <w:marBottom w:val="0"/>
      <w:divBdr>
        <w:top w:val="none" w:sz="0" w:space="0" w:color="auto"/>
        <w:left w:val="none" w:sz="0" w:space="0" w:color="auto"/>
        <w:bottom w:val="none" w:sz="0" w:space="0" w:color="auto"/>
        <w:right w:val="none" w:sz="0" w:space="0" w:color="auto"/>
      </w:divBdr>
    </w:div>
    <w:div w:id="105395730">
      <w:bodyDiv w:val="1"/>
      <w:marLeft w:val="0"/>
      <w:marRight w:val="0"/>
      <w:marTop w:val="0"/>
      <w:marBottom w:val="0"/>
      <w:divBdr>
        <w:top w:val="none" w:sz="0" w:space="0" w:color="auto"/>
        <w:left w:val="none" w:sz="0" w:space="0" w:color="auto"/>
        <w:bottom w:val="none" w:sz="0" w:space="0" w:color="auto"/>
        <w:right w:val="none" w:sz="0" w:space="0" w:color="auto"/>
      </w:divBdr>
    </w:div>
    <w:div w:id="109521671">
      <w:bodyDiv w:val="1"/>
      <w:marLeft w:val="0"/>
      <w:marRight w:val="0"/>
      <w:marTop w:val="0"/>
      <w:marBottom w:val="0"/>
      <w:divBdr>
        <w:top w:val="none" w:sz="0" w:space="0" w:color="auto"/>
        <w:left w:val="none" w:sz="0" w:space="0" w:color="auto"/>
        <w:bottom w:val="none" w:sz="0" w:space="0" w:color="auto"/>
        <w:right w:val="none" w:sz="0" w:space="0" w:color="auto"/>
      </w:divBdr>
    </w:div>
    <w:div w:id="110049882">
      <w:bodyDiv w:val="1"/>
      <w:marLeft w:val="0"/>
      <w:marRight w:val="0"/>
      <w:marTop w:val="0"/>
      <w:marBottom w:val="0"/>
      <w:divBdr>
        <w:top w:val="none" w:sz="0" w:space="0" w:color="auto"/>
        <w:left w:val="none" w:sz="0" w:space="0" w:color="auto"/>
        <w:bottom w:val="none" w:sz="0" w:space="0" w:color="auto"/>
        <w:right w:val="none" w:sz="0" w:space="0" w:color="auto"/>
      </w:divBdr>
    </w:div>
    <w:div w:id="132603217">
      <w:bodyDiv w:val="1"/>
      <w:marLeft w:val="0"/>
      <w:marRight w:val="0"/>
      <w:marTop w:val="0"/>
      <w:marBottom w:val="0"/>
      <w:divBdr>
        <w:top w:val="none" w:sz="0" w:space="0" w:color="auto"/>
        <w:left w:val="none" w:sz="0" w:space="0" w:color="auto"/>
        <w:bottom w:val="none" w:sz="0" w:space="0" w:color="auto"/>
        <w:right w:val="none" w:sz="0" w:space="0" w:color="auto"/>
      </w:divBdr>
    </w:div>
    <w:div w:id="141891137">
      <w:bodyDiv w:val="1"/>
      <w:marLeft w:val="0"/>
      <w:marRight w:val="0"/>
      <w:marTop w:val="0"/>
      <w:marBottom w:val="0"/>
      <w:divBdr>
        <w:top w:val="none" w:sz="0" w:space="0" w:color="auto"/>
        <w:left w:val="none" w:sz="0" w:space="0" w:color="auto"/>
        <w:bottom w:val="none" w:sz="0" w:space="0" w:color="auto"/>
        <w:right w:val="none" w:sz="0" w:space="0" w:color="auto"/>
      </w:divBdr>
    </w:div>
    <w:div w:id="145973143">
      <w:bodyDiv w:val="1"/>
      <w:marLeft w:val="0"/>
      <w:marRight w:val="0"/>
      <w:marTop w:val="0"/>
      <w:marBottom w:val="0"/>
      <w:divBdr>
        <w:top w:val="none" w:sz="0" w:space="0" w:color="auto"/>
        <w:left w:val="none" w:sz="0" w:space="0" w:color="auto"/>
        <w:bottom w:val="none" w:sz="0" w:space="0" w:color="auto"/>
        <w:right w:val="none" w:sz="0" w:space="0" w:color="auto"/>
      </w:divBdr>
    </w:div>
    <w:div w:id="157312634">
      <w:bodyDiv w:val="1"/>
      <w:marLeft w:val="0"/>
      <w:marRight w:val="0"/>
      <w:marTop w:val="0"/>
      <w:marBottom w:val="0"/>
      <w:divBdr>
        <w:top w:val="none" w:sz="0" w:space="0" w:color="auto"/>
        <w:left w:val="none" w:sz="0" w:space="0" w:color="auto"/>
        <w:bottom w:val="none" w:sz="0" w:space="0" w:color="auto"/>
        <w:right w:val="none" w:sz="0" w:space="0" w:color="auto"/>
      </w:divBdr>
    </w:div>
    <w:div w:id="183329715">
      <w:bodyDiv w:val="1"/>
      <w:marLeft w:val="0"/>
      <w:marRight w:val="0"/>
      <w:marTop w:val="0"/>
      <w:marBottom w:val="0"/>
      <w:divBdr>
        <w:top w:val="none" w:sz="0" w:space="0" w:color="auto"/>
        <w:left w:val="none" w:sz="0" w:space="0" w:color="auto"/>
        <w:bottom w:val="none" w:sz="0" w:space="0" w:color="auto"/>
        <w:right w:val="none" w:sz="0" w:space="0" w:color="auto"/>
      </w:divBdr>
    </w:div>
    <w:div w:id="193005767">
      <w:bodyDiv w:val="1"/>
      <w:marLeft w:val="0"/>
      <w:marRight w:val="0"/>
      <w:marTop w:val="0"/>
      <w:marBottom w:val="0"/>
      <w:divBdr>
        <w:top w:val="none" w:sz="0" w:space="0" w:color="auto"/>
        <w:left w:val="none" w:sz="0" w:space="0" w:color="auto"/>
        <w:bottom w:val="none" w:sz="0" w:space="0" w:color="auto"/>
        <w:right w:val="none" w:sz="0" w:space="0" w:color="auto"/>
      </w:divBdr>
    </w:div>
    <w:div w:id="211619433">
      <w:bodyDiv w:val="1"/>
      <w:marLeft w:val="0"/>
      <w:marRight w:val="0"/>
      <w:marTop w:val="0"/>
      <w:marBottom w:val="0"/>
      <w:divBdr>
        <w:top w:val="none" w:sz="0" w:space="0" w:color="auto"/>
        <w:left w:val="none" w:sz="0" w:space="0" w:color="auto"/>
        <w:bottom w:val="none" w:sz="0" w:space="0" w:color="auto"/>
        <w:right w:val="none" w:sz="0" w:space="0" w:color="auto"/>
      </w:divBdr>
      <w:divsChild>
        <w:div w:id="11954811">
          <w:marLeft w:val="480"/>
          <w:marRight w:val="0"/>
          <w:marTop w:val="0"/>
          <w:marBottom w:val="0"/>
          <w:divBdr>
            <w:top w:val="none" w:sz="0" w:space="0" w:color="auto"/>
            <w:left w:val="none" w:sz="0" w:space="0" w:color="auto"/>
            <w:bottom w:val="none" w:sz="0" w:space="0" w:color="auto"/>
            <w:right w:val="none" w:sz="0" w:space="0" w:color="auto"/>
          </w:divBdr>
          <w:divsChild>
            <w:div w:id="24210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002970">
      <w:bodyDiv w:val="1"/>
      <w:marLeft w:val="0"/>
      <w:marRight w:val="0"/>
      <w:marTop w:val="0"/>
      <w:marBottom w:val="0"/>
      <w:divBdr>
        <w:top w:val="none" w:sz="0" w:space="0" w:color="auto"/>
        <w:left w:val="none" w:sz="0" w:space="0" w:color="auto"/>
        <w:bottom w:val="none" w:sz="0" w:space="0" w:color="auto"/>
        <w:right w:val="none" w:sz="0" w:space="0" w:color="auto"/>
      </w:divBdr>
    </w:div>
    <w:div w:id="264776259">
      <w:bodyDiv w:val="1"/>
      <w:marLeft w:val="0"/>
      <w:marRight w:val="0"/>
      <w:marTop w:val="0"/>
      <w:marBottom w:val="0"/>
      <w:divBdr>
        <w:top w:val="none" w:sz="0" w:space="0" w:color="auto"/>
        <w:left w:val="none" w:sz="0" w:space="0" w:color="auto"/>
        <w:bottom w:val="none" w:sz="0" w:space="0" w:color="auto"/>
        <w:right w:val="none" w:sz="0" w:space="0" w:color="auto"/>
      </w:divBdr>
    </w:div>
    <w:div w:id="279192214">
      <w:bodyDiv w:val="1"/>
      <w:marLeft w:val="0"/>
      <w:marRight w:val="0"/>
      <w:marTop w:val="0"/>
      <w:marBottom w:val="0"/>
      <w:divBdr>
        <w:top w:val="none" w:sz="0" w:space="0" w:color="auto"/>
        <w:left w:val="none" w:sz="0" w:space="0" w:color="auto"/>
        <w:bottom w:val="none" w:sz="0" w:space="0" w:color="auto"/>
        <w:right w:val="none" w:sz="0" w:space="0" w:color="auto"/>
      </w:divBdr>
    </w:div>
    <w:div w:id="315038910">
      <w:bodyDiv w:val="1"/>
      <w:marLeft w:val="0"/>
      <w:marRight w:val="0"/>
      <w:marTop w:val="0"/>
      <w:marBottom w:val="0"/>
      <w:divBdr>
        <w:top w:val="none" w:sz="0" w:space="0" w:color="auto"/>
        <w:left w:val="none" w:sz="0" w:space="0" w:color="auto"/>
        <w:bottom w:val="none" w:sz="0" w:space="0" w:color="auto"/>
        <w:right w:val="none" w:sz="0" w:space="0" w:color="auto"/>
      </w:divBdr>
    </w:div>
    <w:div w:id="403528943">
      <w:bodyDiv w:val="1"/>
      <w:marLeft w:val="0"/>
      <w:marRight w:val="0"/>
      <w:marTop w:val="0"/>
      <w:marBottom w:val="0"/>
      <w:divBdr>
        <w:top w:val="none" w:sz="0" w:space="0" w:color="auto"/>
        <w:left w:val="none" w:sz="0" w:space="0" w:color="auto"/>
        <w:bottom w:val="none" w:sz="0" w:space="0" w:color="auto"/>
        <w:right w:val="none" w:sz="0" w:space="0" w:color="auto"/>
      </w:divBdr>
    </w:div>
    <w:div w:id="430588830">
      <w:bodyDiv w:val="1"/>
      <w:marLeft w:val="0"/>
      <w:marRight w:val="0"/>
      <w:marTop w:val="0"/>
      <w:marBottom w:val="0"/>
      <w:divBdr>
        <w:top w:val="none" w:sz="0" w:space="0" w:color="auto"/>
        <w:left w:val="none" w:sz="0" w:space="0" w:color="auto"/>
        <w:bottom w:val="none" w:sz="0" w:space="0" w:color="auto"/>
        <w:right w:val="none" w:sz="0" w:space="0" w:color="auto"/>
      </w:divBdr>
    </w:div>
    <w:div w:id="437071191">
      <w:bodyDiv w:val="1"/>
      <w:marLeft w:val="0"/>
      <w:marRight w:val="0"/>
      <w:marTop w:val="0"/>
      <w:marBottom w:val="0"/>
      <w:divBdr>
        <w:top w:val="none" w:sz="0" w:space="0" w:color="auto"/>
        <w:left w:val="none" w:sz="0" w:space="0" w:color="auto"/>
        <w:bottom w:val="none" w:sz="0" w:space="0" w:color="auto"/>
        <w:right w:val="none" w:sz="0" w:space="0" w:color="auto"/>
      </w:divBdr>
    </w:div>
    <w:div w:id="471562700">
      <w:bodyDiv w:val="1"/>
      <w:marLeft w:val="0"/>
      <w:marRight w:val="0"/>
      <w:marTop w:val="0"/>
      <w:marBottom w:val="0"/>
      <w:divBdr>
        <w:top w:val="none" w:sz="0" w:space="0" w:color="auto"/>
        <w:left w:val="none" w:sz="0" w:space="0" w:color="auto"/>
        <w:bottom w:val="none" w:sz="0" w:space="0" w:color="auto"/>
        <w:right w:val="none" w:sz="0" w:space="0" w:color="auto"/>
      </w:divBdr>
    </w:div>
    <w:div w:id="485707158">
      <w:bodyDiv w:val="1"/>
      <w:marLeft w:val="0"/>
      <w:marRight w:val="0"/>
      <w:marTop w:val="0"/>
      <w:marBottom w:val="0"/>
      <w:divBdr>
        <w:top w:val="none" w:sz="0" w:space="0" w:color="auto"/>
        <w:left w:val="none" w:sz="0" w:space="0" w:color="auto"/>
        <w:bottom w:val="none" w:sz="0" w:space="0" w:color="auto"/>
        <w:right w:val="none" w:sz="0" w:space="0" w:color="auto"/>
      </w:divBdr>
    </w:div>
    <w:div w:id="509568200">
      <w:bodyDiv w:val="1"/>
      <w:marLeft w:val="0"/>
      <w:marRight w:val="0"/>
      <w:marTop w:val="0"/>
      <w:marBottom w:val="0"/>
      <w:divBdr>
        <w:top w:val="none" w:sz="0" w:space="0" w:color="auto"/>
        <w:left w:val="none" w:sz="0" w:space="0" w:color="auto"/>
        <w:bottom w:val="none" w:sz="0" w:space="0" w:color="auto"/>
        <w:right w:val="none" w:sz="0" w:space="0" w:color="auto"/>
      </w:divBdr>
    </w:div>
    <w:div w:id="540214831">
      <w:bodyDiv w:val="1"/>
      <w:marLeft w:val="0"/>
      <w:marRight w:val="0"/>
      <w:marTop w:val="0"/>
      <w:marBottom w:val="0"/>
      <w:divBdr>
        <w:top w:val="none" w:sz="0" w:space="0" w:color="auto"/>
        <w:left w:val="none" w:sz="0" w:space="0" w:color="auto"/>
        <w:bottom w:val="none" w:sz="0" w:space="0" w:color="auto"/>
        <w:right w:val="none" w:sz="0" w:space="0" w:color="auto"/>
      </w:divBdr>
    </w:div>
    <w:div w:id="565577944">
      <w:bodyDiv w:val="1"/>
      <w:marLeft w:val="0"/>
      <w:marRight w:val="0"/>
      <w:marTop w:val="0"/>
      <w:marBottom w:val="0"/>
      <w:divBdr>
        <w:top w:val="none" w:sz="0" w:space="0" w:color="auto"/>
        <w:left w:val="none" w:sz="0" w:space="0" w:color="auto"/>
        <w:bottom w:val="none" w:sz="0" w:space="0" w:color="auto"/>
        <w:right w:val="none" w:sz="0" w:space="0" w:color="auto"/>
      </w:divBdr>
    </w:div>
    <w:div w:id="574362720">
      <w:bodyDiv w:val="1"/>
      <w:marLeft w:val="0"/>
      <w:marRight w:val="0"/>
      <w:marTop w:val="0"/>
      <w:marBottom w:val="0"/>
      <w:divBdr>
        <w:top w:val="none" w:sz="0" w:space="0" w:color="auto"/>
        <w:left w:val="none" w:sz="0" w:space="0" w:color="auto"/>
        <w:bottom w:val="none" w:sz="0" w:space="0" w:color="auto"/>
        <w:right w:val="none" w:sz="0" w:space="0" w:color="auto"/>
      </w:divBdr>
    </w:div>
    <w:div w:id="575744209">
      <w:bodyDiv w:val="1"/>
      <w:marLeft w:val="0"/>
      <w:marRight w:val="0"/>
      <w:marTop w:val="0"/>
      <w:marBottom w:val="0"/>
      <w:divBdr>
        <w:top w:val="none" w:sz="0" w:space="0" w:color="auto"/>
        <w:left w:val="none" w:sz="0" w:space="0" w:color="auto"/>
        <w:bottom w:val="none" w:sz="0" w:space="0" w:color="auto"/>
        <w:right w:val="none" w:sz="0" w:space="0" w:color="auto"/>
      </w:divBdr>
    </w:div>
    <w:div w:id="597524147">
      <w:bodyDiv w:val="1"/>
      <w:marLeft w:val="0"/>
      <w:marRight w:val="0"/>
      <w:marTop w:val="0"/>
      <w:marBottom w:val="0"/>
      <w:divBdr>
        <w:top w:val="none" w:sz="0" w:space="0" w:color="auto"/>
        <w:left w:val="none" w:sz="0" w:space="0" w:color="auto"/>
        <w:bottom w:val="none" w:sz="0" w:space="0" w:color="auto"/>
        <w:right w:val="none" w:sz="0" w:space="0" w:color="auto"/>
      </w:divBdr>
    </w:div>
    <w:div w:id="609238002">
      <w:bodyDiv w:val="1"/>
      <w:marLeft w:val="0"/>
      <w:marRight w:val="0"/>
      <w:marTop w:val="0"/>
      <w:marBottom w:val="0"/>
      <w:divBdr>
        <w:top w:val="none" w:sz="0" w:space="0" w:color="auto"/>
        <w:left w:val="none" w:sz="0" w:space="0" w:color="auto"/>
        <w:bottom w:val="none" w:sz="0" w:space="0" w:color="auto"/>
        <w:right w:val="none" w:sz="0" w:space="0" w:color="auto"/>
      </w:divBdr>
    </w:div>
    <w:div w:id="612976669">
      <w:bodyDiv w:val="1"/>
      <w:marLeft w:val="0"/>
      <w:marRight w:val="0"/>
      <w:marTop w:val="0"/>
      <w:marBottom w:val="0"/>
      <w:divBdr>
        <w:top w:val="none" w:sz="0" w:space="0" w:color="auto"/>
        <w:left w:val="none" w:sz="0" w:space="0" w:color="auto"/>
        <w:bottom w:val="none" w:sz="0" w:space="0" w:color="auto"/>
        <w:right w:val="none" w:sz="0" w:space="0" w:color="auto"/>
      </w:divBdr>
      <w:divsChild>
        <w:div w:id="23212860">
          <w:marLeft w:val="480"/>
          <w:marRight w:val="0"/>
          <w:marTop w:val="0"/>
          <w:marBottom w:val="0"/>
          <w:divBdr>
            <w:top w:val="none" w:sz="0" w:space="0" w:color="auto"/>
            <w:left w:val="none" w:sz="0" w:space="0" w:color="auto"/>
            <w:bottom w:val="none" w:sz="0" w:space="0" w:color="auto"/>
            <w:right w:val="none" w:sz="0" w:space="0" w:color="auto"/>
          </w:divBdr>
          <w:divsChild>
            <w:div w:id="193443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6736">
      <w:bodyDiv w:val="1"/>
      <w:marLeft w:val="0"/>
      <w:marRight w:val="0"/>
      <w:marTop w:val="0"/>
      <w:marBottom w:val="0"/>
      <w:divBdr>
        <w:top w:val="none" w:sz="0" w:space="0" w:color="auto"/>
        <w:left w:val="none" w:sz="0" w:space="0" w:color="auto"/>
        <w:bottom w:val="none" w:sz="0" w:space="0" w:color="auto"/>
        <w:right w:val="none" w:sz="0" w:space="0" w:color="auto"/>
      </w:divBdr>
    </w:div>
    <w:div w:id="665136187">
      <w:bodyDiv w:val="1"/>
      <w:marLeft w:val="0"/>
      <w:marRight w:val="0"/>
      <w:marTop w:val="0"/>
      <w:marBottom w:val="0"/>
      <w:divBdr>
        <w:top w:val="none" w:sz="0" w:space="0" w:color="auto"/>
        <w:left w:val="none" w:sz="0" w:space="0" w:color="auto"/>
        <w:bottom w:val="none" w:sz="0" w:space="0" w:color="auto"/>
        <w:right w:val="none" w:sz="0" w:space="0" w:color="auto"/>
      </w:divBdr>
    </w:div>
    <w:div w:id="696613784">
      <w:bodyDiv w:val="1"/>
      <w:marLeft w:val="0"/>
      <w:marRight w:val="0"/>
      <w:marTop w:val="0"/>
      <w:marBottom w:val="0"/>
      <w:divBdr>
        <w:top w:val="none" w:sz="0" w:space="0" w:color="auto"/>
        <w:left w:val="none" w:sz="0" w:space="0" w:color="auto"/>
        <w:bottom w:val="none" w:sz="0" w:space="0" w:color="auto"/>
        <w:right w:val="none" w:sz="0" w:space="0" w:color="auto"/>
      </w:divBdr>
    </w:div>
    <w:div w:id="704526947">
      <w:bodyDiv w:val="1"/>
      <w:marLeft w:val="0"/>
      <w:marRight w:val="0"/>
      <w:marTop w:val="0"/>
      <w:marBottom w:val="0"/>
      <w:divBdr>
        <w:top w:val="none" w:sz="0" w:space="0" w:color="auto"/>
        <w:left w:val="none" w:sz="0" w:space="0" w:color="auto"/>
        <w:bottom w:val="none" w:sz="0" w:space="0" w:color="auto"/>
        <w:right w:val="none" w:sz="0" w:space="0" w:color="auto"/>
      </w:divBdr>
    </w:div>
    <w:div w:id="725030592">
      <w:bodyDiv w:val="1"/>
      <w:marLeft w:val="0"/>
      <w:marRight w:val="0"/>
      <w:marTop w:val="0"/>
      <w:marBottom w:val="0"/>
      <w:divBdr>
        <w:top w:val="none" w:sz="0" w:space="0" w:color="auto"/>
        <w:left w:val="none" w:sz="0" w:space="0" w:color="auto"/>
        <w:bottom w:val="none" w:sz="0" w:space="0" w:color="auto"/>
        <w:right w:val="none" w:sz="0" w:space="0" w:color="auto"/>
      </w:divBdr>
    </w:div>
    <w:div w:id="757599133">
      <w:bodyDiv w:val="1"/>
      <w:marLeft w:val="0"/>
      <w:marRight w:val="0"/>
      <w:marTop w:val="0"/>
      <w:marBottom w:val="0"/>
      <w:divBdr>
        <w:top w:val="none" w:sz="0" w:space="0" w:color="auto"/>
        <w:left w:val="none" w:sz="0" w:space="0" w:color="auto"/>
        <w:bottom w:val="none" w:sz="0" w:space="0" w:color="auto"/>
        <w:right w:val="none" w:sz="0" w:space="0" w:color="auto"/>
      </w:divBdr>
    </w:div>
    <w:div w:id="801309072">
      <w:bodyDiv w:val="1"/>
      <w:marLeft w:val="0"/>
      <w:marRight w:val="0"/>
      <w:marTop w:val="0"/>
      <w:marBottom w:val="0"/>
      <w:divBdr>
        <w:top w:val="none" w:sz="0" w:space="0" w:color="auto"/>
        <w:left w:val="none" w:sz="0" w:space="0" w:color="auto"/>
        <w:bottom w:val="none" w:sz="0" w:space="0" w:color="auto"/>
        <w:right w:val="none" w:sz="0" w:space="0" w:color="auto"/>
      </w:divBdr>
    </w:div>
    <w:div w:id="819157559">
      <w:bodyDiv w:val="1"/>
      <w:marLeft w:val="0"/>
      <w:marRight w:val="0"/>
      <w:marTop w:val="0"/>
      <w:marBottom w:val="0"/>
      <w:divBdr>
        <w:top w:val="none" w:sz="0" w:space="0" w:color="auto"/>
        <w:left w:val="none" w:sz="0" w:space="0" w:color="auto"/>
        <w:bottom w:val="none" w:sz="0" w:space="0" w:color="auto"/>
        <w:right w:val="none" w:sz="0" w:space="0" w:color="auto"/>
      </w:divBdr>
    </w:div>
    <w:div w:id="882331959">
      <w:bodyDiv w:val="1"/>
      <w:marLeft w:val="0"/>
      <w:marRight w:val="0"/>
      <w:marTop w:val="0"/>
      <w:marBottom w:val="0"/>
      <w:divBdr>
        <w:top w:val="none" w:sz="0" w:space="0" w:color="auto"/>
        <w:left w:val="none" w:sz="0" w:space="0" w:color="auto"/>
        <w:bottom w:val="none" w:sz="0" w:space="0" w:color="auto"/>
        <w:right w:val="none" w:sz="0" w:space="0" w:color="auto"/>
      </w:divBdr>
    </w:div>
    <w:div w:id="916087369">
      <w:bodyDiv w:val="1"/>
      <w:marLeft w:val="0"/>
      <w:marRight w:val="0"/>
      <w:marTop w:val="0"/>
      <w:marBottom w:val="0"/>
      <w:divBdr>
        <w:top w:val="none" w:sz="0" w:space="0" w:color="auto"/>
        <w:left w:val="none" w:sz="0" w:space="0" w:color="auto"/>
        <w:bottom w:val="none" w:sz="0" w:space="0" w:color="auto"/>
        <w:right w:val="none" w:sz="0" w:space="0" w:color="auto"/>
      </w:divBdr>
    </w:div>
    <w:div w:id="948009768">
      <w:bodyDiv w:val="1"/>
      <w:marLeft w:val="0"/>
      <w:marRight w:val="0"/>
      <w:marTop w:val="0"/>
      <w:marBottom w:val="0"/>
      <w:divBdr>
        <w:top w:val="none" w:sz="0" w:space="0" w:color="auto"/>
        <w:left w:val="none" w:sz="0" w:space="0" w:color="auto"/>
        <w:bottom w:val="none" w:sz="0" w:space="0" w:color="auto"/>
        <w:right w:val="none" w:sz="0" w:space="0" w:color="auto"/>
      </w:divBdr>
    </w:div>
    <w:div w:id="972053480">
      <w:bodyDiv w:val="1"/>
      <w:marLeft w:val="0"/>
      <w:marRight w:val="0"/>
      <w:marTop w:val="0"/>
      <w:marBottom w:val="0"/>
      <w:divBdr>
        <w:top w:val="none" w:sz="0" w:space="0" w:color="auto"/>
        <w:left w:val="none" w:sz="0" w:space="0" w:color="auto"/>
        <w:bottom w:val="none" w:sz="0" w:space="0" w:color="auto"/>
        <w:right w:val="none" w:sz="0" w:space="0" w:color="auto"/>
      </w:divBdr>
    </w:div>
    <w:div w:id="997810290">
      <w:bodyDiv w:val="1"/>
      <w:marLeft w:val="0"/>
      <w:marRight w:val="0"/>
      <w:marTop w:val="0"/>
      <w:marBottom w:val="0"/>
      <w:divBdr>
        <w:top w:val="none" w:sz="0" w:space="0" w:color="auto"/>
        <w:left w:val="none" w:sz="0" w:space="0" w:color="auto"/>
        <w:bottom w:val="none" w:sz="0" w:space="0" w:color="auto"/>
        <w:right w:val="none" w:sz="0" w:space="0" w:color="auto"/>
      </w:divBdr>
      <w:divsChild>
        <w:div w:id="1052116420">
          <w:marLeft w:val="480"/>
          <w:marRight w:val="0"/>
          <w:marTop w:val="0"/>
          <w:marBottom w:val="0"/>
          <w:divBdr>
            <w:top w:val="none" w:sz="0" w:space="0" w:color="auto"/>
            <w:left w:val="none" w:sz="0" w:space="0" w:color="auto"/>
            <w:bottom w:val="none" w:sz="0" w:space="0" w:color="auto"/>
            <w:right w:val="none" w:sz="0" w:space="0" w:color="auto"/>
          </w:divBdr>
          <w:divsChild>
            <w:div w:id="3644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01293">
      <w:bodyDiv w:val="1"/>
      <w:marLeft w:val="0"/>
      <w:marRight w:val="0"/>
      <w:marTop w:val="0"/>
      <w:marBottom w:val="0"/>
      <w:divBdr>
        <w:top w:val="none" w:sz="0" w:space="0" w:color="auto"/>
        <w:left w:val="none" w:sz="0" w:space="0" w:color="auto"/>
        <w:bottom w:val="none" w:sz="0" w:space="0" w:color="auto"/>
        <w:right w:val="none" w:sz="0" w:space="0" w:color="auto"/>
      </w:divBdr>
    </w:div>
    <w:div w:id="1007513102">
      <w:bodyDiv w:val="1"/>
      <w:marLeft w:val="0"/>
      <w:marRight w:val="0"/>
      <w:marTop w:val="0"/>
      <w:marBottom w:val="0"/>
      <w:divBdr>
        <w:top w:val="none" w:sz="0" w:space="0" w:color="auto"/>
        <w:left w:val="none" w:sz="0" w:space="0" w:color="auto"/>
        <w:bottom w:val="none" w:sz="0" w:space="0" w:color="auto"/>
        <w:right w:val="none" w:sz="0" w:space="0" w:color="auto"/>
      </w:divBdr>
    </w:div>
    <w:div w:id="1065179567">
      <w:bodyDiv w:val="1"/>
      <w:marLeft w:val="0"/>
      <w:marRight w:val="0"/>
      <w:marTop w:val="0"/>
      <w:marBottom w:val="0"/>
      <w:divBdr>
        <w:top w:val="none" w:sz="0" w:space="0" w:color="auto"/>
        <w:left w:val="none" w:sz="0" w:space="0" w:color="auto"/>
        <w:bottom w:val="none" w:sz="0" w:space="0" w:color="auto"/>
        <w:right w:val="none" w:sz="0" w:space="0" w:color="auto"/>
      </w:divBdr>
    </w:div>
    <w:div w:id="1129861277">
      <w:bodyDiv w:val="1"/>
      <w:marLeft w:val="0"/>
      <w:marRight w:val="0"/>
      <w:marTop w:val="0"/>
      <w:marBottom w:val="0"/>
      <w:divBdr>
        <w:top w:val="none" w:sz="0" w:space="0" w:color="auto"/>
        <w:left w:val="none" w:sz="0" w:space="0" w:color="auto"/>
        <w:bottom w:val="none" w:sz="0" w:space="0" w:color="auto"/>
        <w:right w:val="none" w:sz="0" w:space="0" w:color="auto"/>
      </w:divBdr>
    </w:div>
    <w:div w:id="1132090427">
      <w:bodyDiv w:val="1"/>
      <w:marLeft w:val="0"/>
      <w:marRight w:val="0"/>
      <w:marTop w:val="0"/>
      <w:marBottom w:val="0"/>
      <w:divBdr>
        <w:top w:val="none" w:sz="0" w:space="0" w:color="auto"/>
        <w:left w:val="none" w:sz="0" w:space="0" w:color="auto"/>
        <w:bottom w:val="none" w:sz="0" w:space="0" w:color="auto"/>
        <w:right w:val="none" w:sz="0" w:space="0" w:color="auto"/>
      </w:divBdr>
    </w:div>
    <w:div w:id="1142430154">
      <w:bodyDiv w:val="1"/>
      <w:marLeft w:val="0"/>
      <w:marRight w:val="0"/>
      <w:marTop w:val="0"/>
      <w:marBottom w:val="0"/>
      <w:divBdr>
        <w:top w:val="none" w:sz="0" w:space="0" w:color="auto"/>
        <w:left w:val="none" w:sz="0" w:space="0" w:color="auto"/>
        <w:bottom w:val="none" w:sz="0" w:space="0" w:color="auto"/>
        <w:right w:val="none" w:sz="0" w:space="0" w:color="auto"/>
      </w:divBdr>
    </w:div>
    <w:div w:id="1166827826">
      <w:bodyDiv w:val="1"/>
      <w:marLeft w:val="0"/>
      <w:marRight w:val="0"/>
      <w:marTop w:val="0"/>
      <w:marBottom w:val="0"/>
      <w:divBdr>
        <w:top w:val="none" w:sz="0" w:space="0" w:color="auto"/>
        <w:left w:val="none" w:sz="0" w:space="0" w:color="auto"/>
        <w:bottom w:val="none" w:sz="0" w:space="0" w:color="auto"/>
        <w:right w:val="none" w:sz="0" w:space="0" w:color="auto"/>
      </w:divBdr>
    </w:div>
    <w:div w:id="1181776373">
      <w:bodyDiv w:val="1"/>
      <w:marLeft w:val="0"/>
      <w:marRight w:val="0"/>
      <w:marTop w:val="0"/>
      <w:marBottom w:val="0"/>
      <w:divBdr>
        <w:top w:val="none" w:sz="0" w:space="0" w:color="auto"/>
        <w:left w:val="none" w:sz="0" w:space="0" w:color="auto"/>
        <w:bottom w:val="none" w:sz="0" w:space="0" w:color="auto"/>
        <w:right w:val="none" w:sz="0" w:space="0" w:color="auto"/>
      </w:divBdr>
    </w:div>
    <w:div w:id="1186793211">
      <w:bodyDiv w:val="1"/>
      <w:marLeft w:val="0"/>
      <w:marRight w:val="0"/>
      <w:marTop w:val="0"/>
      <w:marBottom w:val="0"/>
      <w:divBdr>
        <w:top w:val="none" w:sz="0" w:space="0" w:color="auto"/>
        <w:left w:val="none" w:sz="0" w:space="0" w:color="auto"/>
        <w:bottom w:val="none" w:sz="0" w:space="0" w:color="auto"/>
        <w:right w:val="none" w:sz="0" w:space="0" w:color="auto"/>
      </w:divBdr>
      <w:divsChild>
        <w:div w:id="1690522852">
          <w:marLeft w:val="-20"/>
          <w:marRight w:val="0"/>
          <w:marTop w:val="0"/>
          <w:marBottom w:val="0"/>
          <w:divBdr>
            <w:top w:val="none" w:sz="0" w:space="0" w:color="auto"/>
            <w:left w:val="none" w:sz="0" w:space="0" w:color="auto"/>
            <w:bottom w:val="none" w:sz="0" w:space="0" w:color="auto"/>
            <w:right w:val="none" w:sz="0" w:space="0" w:color="auto"/>
          </w:divBdr>
        </w:div>
      </w:divsChild>
    </w:div>
    <w:div w:id="1200823290">
      <w:bodyDiv w:val="1"/>
      <w:marLeft w:val="0"/>
      <w:marRight w:val="0"/>
      <w:marTop w:val="0"/>
      <w:marBottom w:val="0"/>
      <w:divBdr>
        <w:top w:val="none" w:sz="0" w:space="0" w:color="auto"/>
        <w:left w:val="none" w:sz="0" w:space="0" w:color="auto"/>
        <w:bottom w:val="none" w:sz="0" w:space="0" w:color="auto"/>
        <w:right w:val="none" w:sz="0" w:space="0" w:color="auto"/>
      </w:divBdr>
    </w:div>
    <w:div w:id="1204363142">
      <w:bodyDiv w:val="1"/>
      <w:marLeft w:val="0"/>
      <w:marRight w:val="0"/>
      <w:marTop w:val="0"/>
      <w:marBottom w:val="0"/>
      <w:divBdr>
        <w:top w:val="none" w:sz="0" w:space="0" w:color="auto"/>
        <w:left w:val="none" w:sz="0" w:space="0" w:color="auto"/>
        <w:bottom w:val="none" w:sz="0" w:space="0" w:color="auto"/>
        <w:right w:val="none" w:sz="0" w:space="0" w:color="auto"/>
      </w:divBdr>
    </w:div>
    <w:div w:id="1224608296">
      <w:bodyDiv w:val="1"/>
      <w:marLeft w:val="0"/>
      <w:marRight w:val="0"/>
      <w:marTop w:val="0"/>
      <w:marBottom w:val="0"/>
      <w:divBdr>
        <w:top w:val="none" w:sz="0" w:space="0" w:color="auto"/>
        <w:left w:val="none" w:sz="0" w:space="0" w:color="auto"/>
        <w:bottom w:val="none" w:sz="0" w:space="0" w:color="auto"/>
        <w:right w:val="none" w:sz="0" w:space="0" w:color="auto"/>
      </w:divBdr>
    </w:div>
    <w:div w:id="1247305847">
      <w:bodyDiv w:val="1"/>
      <w:marLeft w:val="0"/>
      <w:marRight w:val="0"/>
      <w:marTop w:val="0"/>
      <w:marBottom w:val="0"/>
      <w:divBdr>
        <w:top w:val="none" w:sz="0" w:space="0" w:color="auto"/>
        <w:left w:val="none" w:sz="0" w:space="0" w:color="auto"/>
        <w:bottom w:val="none" w:sz="0" w:space="0" w:color="auto"/>
        <w:right w:val="none" w:sz="0" w:space="0" w:color="auto"/>
      </w:divBdr>
    </w:div>
    <w:div w:id="1250115219">
      <w:bodyDiv w:val="1"/>
      <w:marLeft w:val="0"/>
      <w:marRight w:val="0"/>
      <w:marTop w:val="0"/>
      <w:marBottom w:val="0"/>
      <w:divBdr>
        <w:top w:val="none" w:sz="0" w:space="0" w:color="auto"/>
        <w:left w:val="none" w:sz="0" w:space="0" w:color="auto"/>
        <w:bottom w:val="none" w:sz="0" w:space="0" w:color="auto"/>
        <w:right w:val="none" w:sz="0" w:space="0" w:color="auto"/>
      </w:divBdr>
    </w:div>
    <w:div w:id="1279488718">
      <w:bodyDiv w:val="1"/>
      <w:marLeft w:val="0"/>
      <w:marRight w:val="0"/>
      <w:marTop w:val="0"/>
      <w:marBottom w:val="0"/>
      <w:divBdr>
        <w:top w:val="none" w:sz="0" w:space="0" w:color="auto"/>
        <w:left w:val="none" w:sz="0" w:space="0" w:color="auto"/>
        <w:bottom w:val="none" w:sz="0" w:space="0" w:color="auto"/>
        <w:right w:val="none" w:sz="0" w:space="0" w:color="auto"/>
      </w:divBdr>
    </w:div>
    <w:div w:id="1291745147">
      <w:bodyDiv w:val="1"/>
      <w:marLeft w:val="0"/>
      <w:marRight w:val="0"/>
      <w:marTop w:val="0"/>
      <w:marBottom w:val="0"/>
      <w:divBdr>
        <w:top w:val="none" w:sz="0" w:space="0" w:color="auto"/>
        <w:left w:val="none" w:sz="0" w:space="0" w:color="auto"/>
        <w:bottom w:val="none" w:sz="0" w:space="0" w:color="auto"/>
        <w:right w:val="none" w:sz="0" w:space="0" w:color="auto"/>
      </w:divBdr>
    </w:div>
    <w:div w:id="1315719046">
      <w:bodyDiv w:val="1"/>
      <w:marLeft w:val="0"/>
      <w:marRight w:val="0"/>
      <w:marTop w:val="0"/>
      <w:marBottom w:val="0"/>
      <w:divBdr>
        <w:top w:val="none" w:sz="0" w:space="0" w:color="auto"/>
        <w:left w:val="none" w:sz="0" w:space="0" w:color="auto"/>
        <w:bottom w:val="none" w:sz="0" w:space="0" w:color="auto"/>
        <w:right w:val="none" w:sz="0" w:space="0" w:color="auto"/>
      </w:divBdr>
    </w:div>
    <w:div w:id="1327708922">
      <w:bodyDiv w:val="1"/>
      <w:marLeft w:val="0"/>
      <w:marRight w:val="0"/>
      <w:marTop w:val="0"/>
      <w:marBottom w:val="0"/>
      <w:divBdr>
        <w:top w:val="none" w:sz="0" w:space="0" w:color="auto"/>
        <w:left w:val="none" w:sz="0" w:space="0" w:color="auto"/>
        <w:bottom w:val="none" w:sz="0" w:space="0" w:color="auto"/>
        <w:right w:val="none" w:sz="0" w:space="0" w:color="auto"/>
      </w:divBdr>
    </w:div>
    <w:div w:id="1329554844">
      <w:bodyDiv w:val="1"/>
      <w:marLeft w:val="0"/>
      <w:marRight w:val="0"/>
      <w:marTop w:val="0"/>
      <w:marBottom w:val="0"/>
      <w:divBdr>
        <w:top w:val="none" w:sz="0" w:space="0" w:color="auto"/>
        <w:left w:val="none" w:sz="0" w:space="0" w:color="auto"/>
        <w:bottom w:val="none" w:sz="0" w:space="0" w:color="auto"/>
        <w:right w:val="none" w:sz="0" w:space="0" w:color="auto"/>
      </w:divBdr>
    </w:div>
    <w:div w:id="1352874006">
      <w:bodyDiv w:val="1"/>
      <w:marLeft w:val="0"/>
      <w:marRight w:val="0"/>
      <w:marTop w:val="0"/>
      <w:marBottom w:val="0"/>
      <w:divBdr>
        <w:top w:val="none" w:sz="0" w:space="0" w:color="auto"/>
        <w:left w:val="none" w:sz="0" w:space="0" w:color="auto"/>
        <w:bottom w:val="none" w:sz="0" w:space="0" w:color="auto"/>
        <w:right w:val="none" w:sz="0" w:space="0" w:color="auto"/>
      </w:divBdr>
    </w:div>
    <w:div w:id="1368872382">
      <w:bodyDiv w:val="1"/>
      <w:marLeft w:val="0"/>
      <w:marRight w:val="0"/>
      <w:marTop w:val="0"/>
      <w:marBottom w:val="0"/>
      <w:divBdr>
        <w:top w:val="none" w:sz="0" w:space="0" w:color="auto"/>
        <w:left w:val="none" w:sz="0" w:space="0" w:color="auto"/>
        <w:bottom w:val="none" w:sz="0" w:space="0" w:color="auto"/>
        <w:right w:val="none" w:sz="0" w:space="0" w:color="auto"/>
      </w:divBdr>
    </w:div>
    <w:div w:id="1402944226">
      <w:bodyDiv w:val="1"/>
      <w:marLeft w:val="0"/>
      <w:marRight w:val="0"/>
      <w:marTop w:val="0"/>
      <w:marBottom w:val="0"/>
      <w:divBdr>
        <w:top w:val="none" w:sz="0" w:space="0" w:color="auto"/>
        <w:left w:val="none" w:sz="0" w:space="0" w:color="auto"/>
        <w:bottom w:val="none" w:sz="0" w:space="0" w:color="auto"/>
        <w:right w:val="none" w:sz="0" w:space="0" w:color="auto"/>
      </w:divBdr>
    </w:div>
    <w:div w:id="1414426317">
      <w:bodyDiv w:val="1"/>
      <w:marLeft w:val="0"/>
      <w:marRight w:val="0"/>
      <w:marTop w:val="0"/>
      <w:marBottom w:val="0"/>
      <w:divBdr>
        <w:top w:val="none" w:sz="0" w:space="0" w:color="auto"/>
        <w:left w:val="none" w:sz="0" w:space="0" w:color="auto"/>
        <w:bottom w:val="none" w:sz="0" w:space="0" w:color="auto"/>
        <w:right w:val="none" w:sz="0" w:space="0" w:color="auto"/>
      </w:divBdr>
    </w:div>
    <w:div w:id="1423448894">
      <w:bodyDiv w:val="1"/>
      <w:marLeft w:val="0"/>
      <w:marRight w:val="0"/>
      <w:marTop w:val="0"/>
      <w:marBottom w:val="0"/>
      <w:divBdr>
        <w:top w:val="none" w:sz="0" w:space="0" w:color="auto"/>
        <w:left w:val="none" w:sz="0" w:space="0" w:color="auto"/>
        <w:bottom w:val="none" w:sz="0" w:space="0" w:color="auto"/>
        <w:right w:val="none" w:sz="0" w:space="0" w:color="auto"/>
      </w:divBdr>
    </w:div>
    <w:div w:id="1449007817">
      <w:bodyDiv w:val="1"/>
      <w:marLeft w:val="0"/>
      <w:marRight w:val="0"/>
      <w:marTop w:val="0"/>
      <w:marBottom w:val="0"/>
      <w:divBdr>
        <w:top w:val="none" w:sz="0" w:space="0" w:color="auto"/>
        <w:left w:val="none" w:sz="0" w:space="0" w:color="auto"/>
        <w:bottom w:val="none" w:sz="0" w:space="0" w:color="auto"/>
        <w:right w:val="none" w:sz="0" w:space="0" w:color="auto"/>
      </w:divBdr>
    </w:div>
    <w:div w:id="1467510145">
      <w:bodyDiv w:val="1"/>
      <w:marLeft w:val="0"/>
      <w:marRight w:val="0"/>
      <w:marTop w:val="0"/>
      <w:marBottom w:val="0"/>
      <w:divBdr>
        <w:top w:val="none" w:sz="0" w:space="0" w:color="auto"/>
        <w:left w:val="none" w:sz="0" w:space="0" w:color="auto"/>
        <w:bottom w:val="none" w:sz="0" w:space="0" w:color="auto"/>
        <w:right w:val="none" w:sz="0" w:space="0" w:color="auto"/>
      </w:divBdr>
    </w:div>
    <w:div w:id="1491628735">
      <w:bodyDiv w:val="1"/>
      <w:marLeft w:val="0"/>
      <w:marRight w:val="0"/>
      <w:marTop w:val="0"/>
      <w:marBottom w:val="0"/>
      <w:divBdr>
        <w:top w:val="none" w:sz="0" w:space="0" w:color="auto"/>
        <w:left w:val="none" w:sz="0" w:space="0" w:color="auto"/>
        <w:bottom w:val="none" w:sz="0" w:space="0" w:color="auto"/>
        <w:right w:val="none" w:sz="0" w:space="0" w:color="auto"/>
      </w:divBdr>
    </w:div>
    <w:div w:id="1554464516">
      <w:bodyDiv w:val="1"/>
      <w:marLeft w:val="0"/>
      <w:marRight w:val="0"/>
      <w:marTop w:val="0"/>
      <w:marBottom w:val="0"/>
      <w:divBdr>
        <w:top w:val="none" w:sz="0" w:space="0" w:color="auto"/>
        <w:left w:val="none" w:sz="0" w:space="0" w:color="auto"/>
        <w:bottom w:val="none" w:sz="0" w:space="0" w:color="auto"/>
        <w:right w:val="none" w:sz="0" w:space="0" w:color="auto"/>
      </w:divBdr>
      <w:divsChild>
        <w:div w:id="128253981">
          <w:marLeft w:val="480"/>
          <w:marRight w:val="0"/>
          <w:marTop w:val="0"/>
          <w:marBottom w:val="0"/>
          <w:divBdr>
            <w:top w:val="none" w:sz="0" w:space="0" w:color="auto"/>
            <w:left w:val="none" w:sz="0" w:space="0" w:color="auto"/>
            <w:bottom w:val="none" w:sz="0" w:space="0" w:color="auto"/>
            <w:right w:val="none" w:sz="0" w:space="0" w:color="auto"/>
          </w:divBdr>
          <w:divsChild>
            <w:div w:id="92114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009">
      <w:bodyDiv w:val="1"/>
      <w:marLeft w:val="0"/>
      <w:marRight w:val="0"/>
      <w:marTop w:val="0"/>
      <w:marBottom w:val="0"/>
      <w:divBdr>
        <w:top w:val="none" w:sz="0" w:space="0" w:color="auto"/>
        <w:left w:val="none" w:sz="0" w:space="0" w:color="auto"/>
        <w:bottom w:val="none" w:sz="0" w:space="0" w:color="auto"/>
        <w:right w:val="none" w:sz="0" w:space="0" w:color="auto"/>
      </w:divBdr>
      <w:divsChild>
        <w:div w:id="603348450">
          <w:marLeft w:val="480"/>
          <w:marRight w:val="0"/>
          <w:marTop w:val="0"/>
          <w:marBottom w:val="0"/>
          <w:divBdr>
            <w:top w:val="none" w:sz="0" w:space="0" w:color="auto"/>
            <w:left w:val="none" w:sz="0" w:space="0" w:color="auto"/>
            <w:bottom w:val="none" w:sz="0" w:space="0" w:color="auto"/>
            <w:right w:val="none" w:sz="0" w:space="0" w:color="auto"/>
          </w:divBdr>
          <w:divsChild>
            <w:div w:id="29217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272174">
      <w:bodyDiv w:val="1"/>
      <w:marLeft w:val="0"/>
      <w:marRight w:val="0"/>
      <w:marTop w:val="0"/>
      <w:marBottom w:val="0"/>
      <w:divBdr>
        <w:top w:val="none" w:sz="0" w:space="0" w:color="auto"/>
        <w:left w:val="none" w:sz="0" w:space="0" w:color="auto"/>
        <w:bottom w:val="none" w:sz="0" w:space="0" w:color="auto"/>
        <w:right w:val="none" w:sz="0" w:space="0" w:color="auto"/>
      </w:divBdr>
    </w:div>
    <w:div w:id="1606696698">
      <w:bodyDiv w:val="1"/>
      <w:marLeft w:val="0"/>
      <w:marRight w:val="0"/>
      <w:marTop w:val="0"/>
      <w:marBottom w:val="0"/>
      <w:divBdr>
        <w:top w:val="none" w:sz="0" w:space="0" w:color="auto"/>
        <w:left w:val="none" w:sz="0" w:space="0" w:color="auto"/>
        <w:bottom w:val="none" w:sz="0" w:space="0" w:color="auto"/>
        <w:right w:val="none" w:sz="0" w:space="0" w:color="auto"/>
      </w:divBdr>
    </w:div>
    <w:div w:id="1621692634">
      <w:bodyDiv w:val="1"/>
      <w:marLeft w:val="0"/>
      <w:marRight w:val="0"/>
      <w:marTop w:val="0"/>
      <w:marBottom w:val="0"/>
      <w:divBdr>
        <w:top w:val="none" w:sz="0" w:space="0" w:color="auto"/>
        <w:left w:val="none" w:sz="0" w:space="0" w:color="auto"/>
        <w:bottom w:val="none" w:sz="0" w:space="0" w:color="auto"/>
        <w:right w:val="none" w:sz="0" w:space="0" w:color="auto"/>
      </w:divBdr>
    </w:div>
    <w:div w:id="1634603264">
      <w:bodyDiv w:val="1"/>
      <w:marLeft w:val="0"/>
      <w:marRight w:val="0"/>
      <w:marTop w:val="0"/>
      <w:marBottom w:val="0"/>
      <w:divBdr>
        <w:top w:val="none" w:sz="0" w:space="0" w:color="auto"/>
        <w:left w:val="none" w:sz="0" w:space="0" w:color="auto"/>
        <w:bottom w:val="none" w:sz="0" w:space="0" w:color="auto"/>
        <w:right w:val="none" w:sz="0" w:space="0" w:color="auto"/>
      </w:divBdr>
    </w:div>
    <w:div w:id="1655404465">
      <w:bodyDiv w:val="1"/>
      <w:marLeft w:val="0"/>
      <w:marRight w:val="0"/>
      <w:marTop w:val="0"/>
      <w:marBottom w:val="0"/>
      <w:divBdr>
        <w:top w:val="none" w:sz="0" w:space="0" w:color="auto"/>
        <w:left w:val="none" w:sz="0" w:space="0" w:color="auto"/>
        <w:bottom w:val="none" w:sz="0" w:space="0" w:color="auto"/>
        <w:right w:val="none" w:sz="0" w:space="0" w:color="auto"/>
      </w:divBdr>
    </w:div>
    <w:div w:id="1656567996">
      <w:bodyDiv w:val="1"/>
      <w:marLeft w:val="0"/>
      <w:marRight w:val="0"/>
      <w:marTop w:val="0"/>
      <w:marBottom w:val="0"/>
      <w:divBdr>
        <w:top w:val="none" w:sz="0" w:space="0" w:color="auto"/>
        <w:left w:val="none" w:sz="0" w:space="0" w:color="auto"/>
        <w:bottom w:val="none" w:sz="0" w:space="0" w:color="auto"/>
        <w:right w:val="none" w:sz="0" w:space="0" w:color="auto"/>
      </w:divBdr>
    </w:div>
    <w:div w:id="1693602554">
      <w:bodyDiv w:val="1"/>
      <w:marLeft w:val="0"/>
      <w:marRight w:val="0"/>
      <w:marTop w:val="0"/>
      <w:marBottom w:val="0"/>
      <w:divBdr>
        <w:top w:val="none" w:sz="0" w:space="0" w:color="auto"/>
        <w:left w:val="none" w:sz="0" w:space="0" w:color="auto"/>
        <w:bottom w:val="none" w:sz="0" w:space="0" w:color="auto"/>
        <w:right w:val="none" w:sz="0" w:space="0" w:color="auto"/>
      </w:divBdr>
      <w:divsChild>
        <w:div w:id="1184594118">
          <w:marLeft w:val="-20"/>
          <w:marRight w:val="0"/>
          <w:marTop w:val="0"/>
          <w:marBottom w:val="0"/>
          <w:divBdr>
            <w:top w:val="none" w:sz="0" w:space="0" w:color="auto"/>
            <w:left w:val="none" w:sz="0" w:space="0" w:color="auto"/>
            <w:bottom w:val="none" w:sz="0" w:space="0" w:color="auto"/>
            <w:right w:val="none" w:sz="0" w:space="0" w:color="auto"/>
          </w:divBdr>
        </w:div>
      </w:divsChild>
    </w:div>
    <w:div w:id="1706369682">
      <w:bodyDiv w:val="1"/>
      <w:marLeft w:val="0"/>
      <w:marRight w:val="0"/>
      <w:marTop w:val="0"/>
      <w:marBottom w:val="0"/>
      <w:divBdr>
        <w:top w:val="none" w:sz="0" w:space="0" w:color="auto"/>
        <w:left w:val="none" w:sz="0" w:space="0" w:color="auto"/>
        <w:bottom w:val="none" w:sz="0" w:space="0" w:color="auto"/>
        <w:right w:val="none" w:sz="0" w:space="0" w:color="auto"/>
      </w:divBdr>
    </w:div>
    <w:div w:id="1712076084">
      <w:bodyDiv w:val="1"/>
      <w:marLeft w:val="0"/>
      <w:marRight w:val="0"/>
      <w:marTop w:val="0"/>
      <w:marBottom w:val="0"/>
      <w:divBdr>
        <w:top w:val="none" w:sz="0" w:space="0" w:color="auto"/>
        <w:left w:val="none" w:sz="0" w:space="0" w:color="auto"/>
        <w:bottom w:val="none" w:sz="0" w:space="0" w:color="auto"/>
        <w:right w:val="none" w:sz="0" w:space="0" w:color="auto"/>
      </w:divBdr>
    </w:div>
    <w:div w:id="1714883744">
      <w:bodyDiv w:val="1"/>
      <w:marLeft w:val="0"/>
      <w:marRight w:val="0"/>
      <w:marTop w:val="0"/>
      <w:marBottom w:val="0"/>
      <w:divBdr>
        <w:top w:val="none" w:sz="0" w:space="0" w:color="auto"/>
        <w:left w:val="none" w:sz="0" w:space="0" w:color="auto"/>
        <w:bottom w:val="none" w:sz="0" w:space="0" w:color="auto"/>
        <w:right w:val="none" w:sz="0" w:space="0" w:color="auto"/>
      </w:divBdr>
    </w:div>
    <w:div w:id="1721052387">
      <w:bodyDiv w:val="1"/>
      <w:marLeft w:val="0"/>
      <w:marRight w:val="0"/>
      <w:marTop w:val="0"/>
      <w:marBottom w:val="0"/>
      <w:divBdr>
        <w:top w:val="none" w:sz="0" w:space="0" w:color="auto"/>
        <w:left w:val="none" w:sz="0" w:space="0" w:color="auto"/>
        <w:bottom w:val="none" w:sz="0" w:space="0" w:color="auto"/>
        <w:right w:val="none" w:sz="0" w:space="0" w:color="auto"/>
      </w:divBdr>
    </w:div>
    <w:div w:id="1740402044">
      <w:bodyDiv w:val="1"/>
      <w:marLeft w:val="0"/>
      <w:marRight w:val="0"/>
      <w:marTop w:val="0"/>
      <w:marBottom w:val="0"/>
      <w:divBdr>
        <w:top w:val="none" w:sz="0" w:space="0" w:color="auto"/>
        <w:left w:val="none" w:sz="0" w:space="0" w:color="auto"/>
        <w:bottom w:val="none" w:sz="0" w:space="0" w:color="auto"/>
        <w:right w:val="none" w:sz="0" w:space="0" w:color="auto"/>
      </w:divBdr>
    </w:div>
    <w:div w:id="1760788204">
      <w:bodyDiv w:val="1"/>
      <w:marLeft w:val="0"/>
      <w:marRight w:val="0"/>
      <w:marTop w:val="0"/>
      <w:marBottom w:val="0"/>
      <w:divBdr>
        <w:top w:val="none" w:sz="0" w:space="0" w:color="auto"/>
        <w:left w:val="none" w:sz="0" w:space="0" w:color="auto"/>
        <w:bottom w:val="none" w:sz="0" w:space="0" w:color="auto"/>
        <w:right w:val="none" w:sz="0" w:space="0" w:color="auto"/>
      </w:divBdr>
    </w:div>
    <w:div w:id="1784615747">
      <w:bodyDiv w:val="1"/>
      <w:marLeft w:val="0"/>
      <w:marRight w:val="0"/>
      <w:marTop w:val="0"/>
      <w:marBottom w:val="0"/>
      <w:divBdr>
        <w:top w:val="none" w:sz="0" w:space="0" w:color="auto"/>
        <w:left w:val="none" w:sz="0" w:space="0" w:color="auto"/>
        <w:bottom w:val="none" w:sz="0" w:space="0" w:color="auto"/>
        <w:right w:val="none" w:sz="0" w:space="0" w:color="auto"/>
      </w:divBdr>
    </w:div>
    <w:div w:id="1794323378">
      <w:bodyDiv w:val="1"/>
      <w:marLeft w:val="0"/>
      <w:marRight w:val="0"/>
      <w:marTop w:val="0"/>
      <w:marBottom w:val="0"/>
      <w:divBdr>
        <w:top w:val="none" w:sz="0" w:space="0" w:color="auto"/>
        <w:left w:val="none" w:sz="0" w:space="0" w:color="auto"/>
        <w:bottom w:val="none" w:sz="0" w:space="0" w:color="auto"/>
        <w:right w:val="none" w:sz="0" w:space="0" w:color="auto"/>
      </w:divBdr>
    </w:div>
    <w:div w:id="1796369480">
      <w:bodyDiv w:val="1"/>
      <w:marLeft w:val="0"/>
      <w:marRight w:val="0"/>
      <w:marTop w:val="0"/>
      <w:marBottom w:val="0"/>
      <w:divBdr>
        <w:top w:val="none" w:sz="0" w:space="0" w:color="auto"/>
        <w:left w:val="none" w:sz="0" w:space="0" w:color="auto"/>
        <w:bottom w:val="none" w:sz="0" w:space="0" w:color="auto"/>
        <w:right w:val="none" w:sz="0" w:space="0" w:color="auto"/>
      </w:divBdr>
      <w:divsChild>
        <w:div w:id="727264499">
          <w:marLeft w:val="480"/>
          <w:marRight w:val="0"/>
          <w:marTop w:val="0"/>
          <w:marBottom w:val="0"/>
          <w:divBdr>
            <w:top w:val="none" w:sz="0" w:space="0" w:color="auto"/>
            <w:left w:val="none" w:sz="0" w:space="0" w:color="auto"/>
            <w:bottom w:val="none" w:sz="0" w:space="0" w:color="auto"/>
            <w:right w:val="none" w:sz="0" w:space="0" w:color="auto"/>
          </w:divBdr>
          <w:divsChild>
            <w:div w:id="4387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001580">
      <w:bodyDiv w:val="1"/>
      <w:marLeft w:val="0"/>
      <w:marRight w:val="0"/>
      <w:marTop w:val="0"/>
      <w:marBottom w:val="0"/>
      <w:divBdr>
        <w:top w:val="none" w:sz="0" w:space="0" w:color="auto"/>
        <w:left w:val="none" w:sz="0" w:space="0" w:color="auto"/>
        <w:bottom w:val="none" w:sz="0" w:space="0" w:color="auto"/>
        <w:right w:val="none" w:sz="0" w:space="0" w:color="auto"/>
      </w:divBdr>
    </w:div>
    <w:div w:id="1820341092">
      <w:bodyDiv w:val="1"/>
      <w:marLeft w:val="0"/>
      <w:marRight w:val="0"/>
      <w:marTop w:val="0"/>
      <w:marBottom w:val="0"/>
      <w:divBdr>
        <w:top w:val="none" w:sz="0" w:space="0" w:color="auto"/>
        <w:left w:val="none" w:sz="0" w:space="0" w:color="auto"/>
        <w:bottom w:val="none" w:sz="0" w:space="0" w:color="auto"/>
        <w:right w:val="none" w:sz="0" w:space="0" w:color="auto"/>
      </w:divBdr>
    </w:div>
    <w:div w:id="1820657246">
      <w:bodyDiv w:val="1"/>
      <w:marLeft w:val="0"/>
      <w:marRight w:val="0"/>
      <w:marTop w:val="0"/>
      <w:marBottom w:val="0"/>
      <w:divBdr>
        <w:top w:val="none" w:sz="0" w:space="0" w:color="auto"/>
        <w:left w:val="none" w:sz="0" w:space="0" w:color="auto"/>
        <w:bottom w:val="none" w:sz="0" w:space="0" w:color="auto"/>
        <w:right w:val="none" w:sz="0" w:space="0" w:color="auto"/>
      </w:divBdr>
    </w:div>
    <w:div w:id="1836450937">
      <w:bodyDiv w:val="1"/>
      <w:marLeft w:val="0"/>
      <w:marRight w:val="0"/>
      <w:marTop w:val="0"/>
      <w:marBottom w:val="0"/>
      <w:divBdr>
        <w:top w:val="none" w:sz="0" w:space="0" w:color="auto"/>
        <w:left w:val="none" w:sz="0" w:space="0" w:color="auto"/>
        <w:bottom w:val="none" w:sz="0" w:space="0" w:color="auto"/>
        <w:right w:val="none" w:sz="0" w:space="0" w:color="auto"/>
      </w:divBdr>
    </w:div>
    <w:div w:id="1841893421">
      <w:bodyDiv w:val="1"/>
      <w:marLeft w:val="0"/>
      <w:marRight w:val="0"/>
      <w:marTop w:val="0"/>
      <w:marBottom w:val="0"/>
      <w:divBdr>
        <w:top w:val="none" w:sz="0" w:space="0" w:color="auto"/>
        <w:left w:val="none" w:sz="0" w:space="0" w:color="auto"/>
        <w:bottom w:val="none" w:sz="0" w:space="0" w:color="auto"/>
        <w:right w:val="none" w:sz="0" w:space="0" w:color="auto"/>
      </w:divBdr>
    </w:div>
    <w:div w:id="1912227252">
      <w:bodyDiv w:val="1"/>
      <w:marLeft w:val="0"/>
      <w:marRight w:val="0"/>
      <w:marTop w:val="0"/>
      <w:marBottom w:val="0"/>
      <w:divBdr>
        <w:top w:val="none" w:sz="0" w:space="0" w:color="auto"/>
        <w:left w:val="none" w:sz="0" w:space="0" w:color="auto"/>
        <w:bottom w:val="none" w:sz="0" w:space="0" w:color="auto"/>
        <w:right w:val="none" w:sz="0" w:space="0" w:color="auto"/>
      </w:divBdr>
    </w:div>
    <w:div w:id="1914268656">
      <w:bodyDiv w:val="1"/>
      <w:marLeft w:val="0"/>
      <w:marRight w:val="0"/>
      <w:marTop w:val="0"/>
      <w:marBottom w:val="0"/>
      <w:divBdr>
        <w:top w:val="none" w:sz="0" w:space="0" w:color="auto"/>
        <w:left w:val="none" w:sz="0" w:space="0" w:color="auto"/>
        <w:bottom w:val="none" w:sz="0" w:space="0" w:color="auto"/>
        <w:right w:val="none" w:sz="0" w:space="0" w:color="auto"/>
      </w:divBdr>
      <w:divsChild>
        <w:div w:id="1476070971">
          <w:marLeft w:val="480"/>
          <w:marRight w:val="0"/>
          <w:marTop w:val="0"/>
          <w:marBottom w:val="0"/>
          <w:divBdr>
            <w:top w:val="none" w:sz="0" w:space="0" w:color="auto"/>
            <w:left w:val="none" w:sz="0" w:space="0" w:color="auto"/>
            <w:bottom w:val="none" w:sz="0" w:space="0" w:color="auto"/>
            <w:right w:val="none" w:sz="0" w:space="0" w:color="auto"/>
          </w:divBdr>
          <w:divsChild>
            <w:div w:id="71388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07623">
      <w:bodyDiv w:val="1"/>
      <w:marLeft w:val="0"/>
      <w:marRight w:val="0"/>
      <w:marTop w:val="0"/>
      <w:marBottom w:val="0"/>
      <w:divBdr>
        <w:top w:val="none" w:sz="0" w:space="0" w:color="auto"/>
        <w:left w:val="none" w:sz="0" w:space="0" w:color="auto"/>
        <w:bottom w:val="none" w:sz="0" w:space="0" w:color="auto"/>
        <w:right w:val="none" w:sz="0" w:space="0" w:color="auto"/>
      </w:divBdr>
    </w:div>
    <w:div w:id="1957102964">
      <w:bodyDiv w:val="1"/>
      <w:marLeft w:val="0"/>
      <w:marRight w:val="0"/>
      <w:marTop w:val="0"/>
      <w:marBottom w:val="0"/>
      <w:divBdr>
        <w:top w:val="none" w:sz="0" w:space="0" w:color="auto"/>
        <w:left w:val="none" w:sz="0" w:space="0" w:color="auto"/>
        <w:bottom w:val="none" w:sz="0" w:space="0" w:color="auto"/>
        <w:right w:val="none" w:sz="0" w:space="0" w:color="auto"/>
      </w:divBdr>
    </w:div>
    <w:div w:id="1963343730">
      <w:bodyDiv w:val="1"/>
      <w:marLeft w:val="0"/>
      <w:marRight w:val="0"/>
      <w:marTop w:val="0"/>
      <w:marBottom w:val="0"/>
      <w:divBdr>
        <w:top w:val="none" w:sz="0" w:space="0" w:color="auto"/>
        <w:left w:val="none" w:sz="0" w:space="0" w:color="auto"/>
        <w:bottom w:val="none" w:sz="0" w:space="0" w:color="auto"/>
        <w:right w:val="none" w:sz="0" w:space="0" w:color="auto"/>
      </w:divBdr>
    </w:div>
    <w:div w:id="1968389594">
      <w:bodyDiv w:val="1"/>
      <w:marLeft w:val="0"/>
      <w:marRight w:val="0"/>
      <w:marTop w:val="0"/>
      <w:marBottom w:val="0"/>
      <w:divBdr>
        <w:top w:val="none" w:sz="0" w:space="0" w:color="auto"/>
        <w:left w:val="none" w:sz="0" w:space="0" w:color="auto"/>
        <w:bottom w:val="none" w:sz="0" w:space="0" w:color="auto"/>
        <w:right w:val="none" w:sz="0" w:space="0" w:color="auto"/>
      </w:divBdr>
    </w:div>
    <w:div w:id="2036802956">
      <w:bodyDiv w:val="1"/>
      <w:marLeft w:val="0"/>
      <w:marRight w:val="0"/>
      <w:marTop w:val="0"/>
      <w:marBottom w:val="0"/>
      <w:divBdr>
        <w:top w:val="none" w:sz="0" w:space="0" w:color="auto"/>
        <w:left w:val="none" w:sz="0" w:space="0" w:color="auto"/>
        <w:bottom w:val="none" w:sz="0" w:space="0" w:color="auto"/>
        <w:right w:val="none" w:sz="0" w:space="0" w:color="auto"/>
      </w:divBdr>
    </w:div>
    <w:div w:id="2041934335">
      <w:bodyDiv w:val="1"/>
      <w:marLeft w:val="0"/>
      <w:marRight w:val="0"/>
      <w:marTop w:val="0"/>
      <w:marBottom w:val="0"/>
      <w:divBdr>
        <w:top w:val="none" w:sz="0" w:space="0" w:color="auto"/>
        <w:left w:val="none" w:sz="0" w:space="0" w:color="auto"/>
        <w:bottom w:val="none" w:sz="0" w:space="0" w:color="auto"/>
        <w:right w:val="none" w:sz="0" w:space="0" w:color="auto"/>
      </w:divBdr>
    </w:div>
    <w:div w:id="2087265611">
      <w:bodyDiv w:val="1"/>
      <w:marLeft w:val="0"/>
      <w:marRight w:val="0"/>
      <w:marTop w:val="0"/>
      <w:marBottom w:val="0"/>
      <w:divBdr>
        <w:top w:val="none" w:sz="0" w:space="0" w:color="auto"/>
        <w:left w:val="none" w:sz="0" w:space="0" w:color="auto"/>
        <w:bottom w:val="none" w:sz="0" w:space="0" w:color="auto"/>
        <w:right w:val="none" w:sz="0" w:space="0" w:color="auto"/>
      </w:divBdr>
    </w:div>
    <w:div w:id="2104183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eg"/><Relationship Id="rId42" Type="http://schemas.openxmlformats.org/officeDocument/2006/relationships/image" Target="media/image32.jpeg"/><Relationship Id="rId47" Type="http://schemas.openxmlformats.org/officeDocument/2006/relationships/image" Target="media/image37.png"/><Relationship Id="rId63" Type="http://schemas.openxmlformats.org/officeDocument/2006/relationships/image" Target="media/image53.jpeg"/><Relationship Id="rId68" Type="http://schemas.openxmlformats.org/officeDocument/2006/relationships/image" Target="media/image58.png"/><Relationship Id="rId84" Type="http://schemas.openxmlformats.org/officeDocument/2006/relationships/image" Target="media/image70.jpeg"/><Relationship Id="rId89" Type="http://schemas.openxmlformats.org/officeDocument/2006/relationships/hyperlink" Target="https://epidoc.stoa.org/gl/latest/intro-eps.html" TargetMode="External"/><Relationship Id="rId16" Type="http://schemas.openxmlformats.org/officeDocument/2006/relationships/image" Target="media/image6.jpg"/><Relationship Id="rId11" Type="http://schemas.openxmlformats.org/officeDocument/2006/relationships/hyperlink" Target="https://github.com/erc-dharma/project-documentation/blob/master/stylesheets/README.md" TargetMode="External"/><Relationship Id="rId32" Type="http://schemas.openxmlformats.org/officeDocument/2006/relationships/image" Target="media/image22.jpeg"/><Relationship Id="rId37" Type="http://schemas.openxmlformats.org/officeDocument/2006/relationships/image" Target="media/image27.png"/><Relationship Id="rId53" Type="http://schemas.openxmlformats.org/officeDocument/2006/relationships/image" Target="media/image43.jpeg"/><Relationship Id="rId58" Type="http://schemas.openxmlformats.org/officeDocument/2006/relationships/image" Target="media/image48.jpeg"/><Relationship Id="rId74" Type="http://schemas.openxmlformats.org/officeDocument/2006/relationships/image" Target="media/image64.png"/><Relationship Id="rId79" Type="http://schemas.openxmlformats.org/officeDocument/2006/relationships/hyperlink" Target="https://dharmalekha.info/contributors" TargetMode="External"/><Relationship Id="rId5" Type="http://schemas.openxmlformats.org/officeDocument/2006/relationships/webSettings" Target="webSettings.xml"/><Relationship Id="rId90" Type="http://schemas.openxmlformats.org/officeDocument/2006/relationships/hyperlink" Target="http://www.tei-c.org/Guidelines/P5/" TargetMode="External"/><Relationship Id="rId22" Type="http://schemas.openxmlformats.org/officeDocument/2006/relationships/image" Target="media/image12.png"/><Relationship Id="rId27" Type="http://schemas.openxmlformats.org/officeDocument/2006/relationships/image" Target="media/image17.jpeg"/><Relationship Id="rId43" Type="http://schemas.openxmlformats.org/officeDocument/2006/relationships/image" Target="media/image33.jpg"/><Relationship Id="rId48" Type="http://schemas.openxmlformats.org/officeDocument/2006/relationships/image" Target="media/image38.png"/><Relationship Id="rId64" Type="http://schemas.openxmlformats.org/officeDocument/2006/relationships/image" Target="media/image54.jpeg"/><Relationship Id="rId69" Type="http://schemas.openxmlformats.org/officeDocument/2006/relationships/image" Target="media/image59.png"/><Relationship Id="rId8" Type="http://schemas.openxmlformats.org/officeDocument/2006/relationships/image" Target="media/image1.emf"/><Relationship Id="rId51" Type="http://schemas.openxmlformats.org/officeDocument/2006/relationships/image" Target="media/image41.jpeg"/><Relationship Id="rId72" Type="http://schemas.openxmlformats.org/officeDocument/2006/relationships/image" Target="media/image62.jpg"/><Relationship Id="rId80" Type="http://schemas.openxmlformats.org/officeDocument/2006/relationships/hyperlink" Target="https://dharmalekha.info/contributors" TargetMode="External"/><Relationship Id="rId85" Type="http://schemas.openxmlformats.org/officeDocument/2006/relationships/image" Target="media/image71.jp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erc-dharma.github.io/project-documentation/visual-code/UsingVS_v01" TargetMode="External"/><Relationship Id="rId17" Type="http://schemas.openxmlformats.org/officeDocument/2006/relationships/image" Target="media/image7.jp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tiff"/><Relationship Id="rId67" Type="http://schemas.openxmlformats.org/officeDocument/2006/relationships/image" Target="media/image57.png"/><Relationship Id="rId20" Type="http://schemas.openxmlformats.org/officeDocument/2006/relationships/image" Target="media/image10.jpg"/><Relationship Id="rId41" Type="http://schemas.openxmlformats.org/officeDocument/2006/relationships/image" Target="media/image31.jpeg"/><Relationship Id="rId54" Type="http://schemas.openxmlformats.org/officeDocument/2006/relationships/image" Target="media/image44.png"/><Relationship Id="rId62" Type="http://schemas.openxmlformats.org/officeDocument/2006/relationships/image" Target="media/image52.jpe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69.jpeg"/><Relationship Id="rId88" Type="http://schemas.openxmlformats.org/officeDocument/2006/relationships/hyperlink" Target="https://blog.stoa.org/files/2010/09/Chapter05_EpiDoc_Bodard.pdf"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wmf"/><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hyperlink" Target="https://github.com/erc-dharma/project-documentation/blob/66167c20f4be621256460be1640cb7a727104854/schema/README.md" TargetMode="External"/><Relationship Id="rId31" Type="http://schemas.openxmlformats.org/officeDocument/2006/relationships/image" Target="media/image21.jpe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55.jpeg"/><Relationship Id="rId73" Type="http://schemas.openxmlformats.org/officeDocument/2006/relationships/image" Target="media/image63.png"/><Relationship Id="rId78" Type="http://schemas.openxmlformats.org/officeDocument/2006/relationships/hyperlink" Target="https://github.com/erc-dharma/project-documentation/blob/master/DHARMA_languages.tsv" TargetMode="External"/><Relationship Id="rId81" Type="http://schemas.openxmlformats.org/officeDocument/2006/relationships/hyperlink" Target="https://dharmalekha.info/contributors" TargetMode="External"/><Relationship Id="rId86" Type="http://schemas.openxmlformats.org/officeDocument/2006/relationships/image" Target="media/image72.jpe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wmf"/><Relationship Id="rId18" Type="http://schemas.openxmlformats.org/officeDocument/2006/relationships/image" Target="media/image8.jpg"/><Relationship Id="rId39" Type="http://schemas.openxmlformats.org/officeDocument/2006/relationships/image" Target="media/image29.jpeg"/><Relationship Id="rId34" Type="http://schemas.openxmlformats.org/officeDocument/2006/relationships/image" Target="media/image24.jpeg"/><Relationship Id="rId50" Type="http://schemas.openxmlformats.org/officeDocument/2006/relationships/image" Target="media/image40.png"/><Relationship Id="rId55" Type="http://schemas.openxmlformats.org/officeDocument/2006/relationships/image" Target="media/image45.jpe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footer" Target="footer2.xml"/><Relationship Id="rId2" Type="http://schemas.openxmlformats.org/officeDocument/2006/relationships/numbering" Target="numbering.xml"/><Relationship Id="rId29" Type="http://schemas.openxmlformats.org/officeDocument/2006/relationships/image" Target="media/image19.jpeg"/><Relationship Id="rId24" Type="http://schemas.openxmlformats.org/officeDocument/2006/relationships/image" Target="media/image14.jpeg"/><Relationship Id="rId40" Type="http://schemas.openxmlformats.org/officeDocument/2006/relationships/image" Target="media/image30.jpe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hyperlink" Target="http://dh.obdurodon.org/what-is-xml.xhtml" TargetMode="External"/><Relationship Id="rId61" Type="http://schemas.openxmlformats.org/officeDocument/2006/relationships/image" Target="media/image51.jpeg"/><Relationship Id="rId82" Type="http://schemas.openxmlformats.org/officeDocument/2006/relationships/image" Target="media/image68.jpeg"/><Relationship Id="rId19" Type="http://schemas.openxmlformats.org/officeDocument/2006/relationships/image" Target="media/image9.jpeg"/><Relationship Id="rId14" Type="http://schemas.openxmlformats.org/officeDocument/2006/relationships/image" Target="media/image4.wmf"/><Relationship Id="rId30" Type="http://schemas.openxmlformats.org/officeDocument/2006/relationships/image" Target="media/image20.jpg"/><Relationship Id="rId35" Type="http://schemas.openxmlformats.org/officeDocument/2006/relationships/image" Target="media/image25.jpeg"/><Relationship Id="rId56" Type="http://schemas.openxmlformats.org/officeDocument/2006/relationships/image" Target="media/image46.jpg"/><Relationship Id="rId77" Type="http://schemas.openxmlformats.org/officeDocument/2006/relationships/image" Target="media/image67.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s>
</file>

<file path=word/_rels/footnotes.xml.rels><?xml version="1.0" encoding="UTF-8" standalone="yes"?>
<Relationships xmlns="http://schemas.openxmlformats.org/package/2006/relationships"><Relationship Id="rId8" Type="http://schemas.openxmlformats.org/officeDocument/2006/relationships/hyperlink" Target="https://en.wiktionary.org/wiki/gaiji" TargetMode="External"/><Relationship Id="rId13" Type="http://schemas.openxmlformats.org/officeDocument/2006/relationships/hyperlink" Target="https://opentheso.huma-num.fr/opentheso/?idc=84156&amp;idt=th347" TargetMode="External"/><Relationship Id="rId18" Type="http://schemas.openxmlformats.org/officeDocument/2006/relationships/hyperlink" Target="https://wiki.tei-c.org/index.php/XML_Whitespace" TargetMode="External"/><Relationship Id="rId3" Type="http://schemas.openxmlformats.org/officeDocument/2006/relationships/hyperlink" Target="https://tei-c.org/release/doc/tei-p5-doc/en/html/index.html" TargetMode="External"/><Relationship Id="rId7" Type="http://schemas.openxmlformats.org/officeDocument/2006/relationships/hyperlink" Target="https://en.wiktionary.org/wiki/gaiji" TargetMode="External"/><Relationship Id="rId12" Type="http://schemas.openxmlformats.org/officeDocument/2006/relationships/hyperlink" Target="https://opentheso.huma-num.fr/opentheso/?idc=84154&amp;idt=th347" TargetMode="External"/><Relationship Id="rId17" Type="http://schemas.openxmlformats.org/officeDocument/2006/relationships/hyperlink" Target="https://en.wikipedia.org/wiki/ISO_15924" TargetMode="External"/><Relationship Id="rId2" Type="http://schemas.openxmlformats.org/officeDocument/2006/relationships/hyperlink" Target="https://epidoc.stoa.org/gl/latest/" TargetMode="External"/><Relationship Id="rId16" Type="http://schemas.openxmlformats.org/officeDocument/2006/relationships/hyperlink" Target="https://iso639-3.sil.org/code_tables/639/data" TargetMode="External"/><Relationship Id="rId1" Type="http://schemas.openxmlformats.org/officeDocument/2006/relationships/hyperlink" Target="https://docs.google.com/document/d/1hjWrrwRZQp4hmEqw4jBhhqoXdwJvRlw3EWboJteOPw0" TargetMode="External"/><Relationship Id="rId6" Type="http://schemas.openxmlformats.org/officeDocument/2006/relationships/hyperlink" Target="https://epidoc.stoa.org/gl/latest/trans-linebreak.html" TargetMode="External"/><Relationship Id="rId11" Type="http://schemas.openxmlformats.org/officeDocument/2006/relationships/hyperlink" Target="https://epidoc.stoa.org/gl/latest/trans-ambiguous.html" TargetMode="External"/><Relationship Id="rId5" Type="http://schemas.openxmlformats.org/officeDocument/2006/relationships/hyperlink" Target="https://dharmalekha.info/prosody" TargetMode="External"/><Relationship Id="rId15" Type="http://schemas.openxmlformats.org/officeDocument/2006/relationships/hyperlink" Target="https://epidoc.stoa.org/gl/latest/trans-numnoncongruent.html" TargetMode="External"/><Relationship Id="rId10" Type="http://schemas.openxmlformats.org/officeDocument/2006/relationships/hyperlink" Target="https://www.tei-c.org/release/doc/tei-p5-doc/en/html/PH.html" TargetMode="External"/><Relationship Id="rId4" Type="http://schemas.openxmlformats.org/officeDocument/2006/relationships/hyperlink" Target="https://github.com/erc-dharma/project-documentation/blob/master/templates/inscriptions/DHARMA_INSencodingTemplate.xml" TargetMode="External"/><Relationship Id="rId9" Type="http://schemas.openxmlformats.org/officeDocument/2006/relationships/hyperlink" Target="https://dharmalekha.info/glyphs" TargetMode="External"/><Relationship Id="rId14" Type="http://schemas.openxmlformats.org/officeDocument/2006/relationships/hyperlink" Target="https://www.tei-c.org/release/doc/tei-p5-doc/en/html/WD.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GoogleDrive\Handy%20stuff\Templates\DHARMA%20guide%202024.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C1C529-8F06-411A-BE2B-F56574124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DHARMA guide 2024.dotx</Template>
  <TotalTime>0</TotalTime>
  <Pages>212</Pages>
  <Words>101555</Words>
  <Characters>578864</Characters>
  <Application>Microsoft Office Word</Application>
  <DocSecurity>0</DocSecurity>
  <Lines>4823</Lines>
  <Paragraphs>1358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679061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Dániel Balogh</dc:creator>
  <cp:keywords/>
  <dc:description/>
  <cp:lastModifiedBy>Dániel Balogh</cp:lastModifiedBy>
  <cp:revision>274</cp:revision>
  <cp:lastPrinted>2026-04-27T09:41:00Z</cp:lastPrinted>
  <dcterms:created xsi:type="dcterms:W3CDTF">2024-11-19T16:04:00Z</dcterms:created>
  <dcterms:modified xsi:type="dcterms:W3CDTF">2026-10-15T15:58:00Z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id="NxK2qKsS"/&gt;&lt;style id="" hasBibliography="0" bibliographyStyleHasBeenSet="0"/&gt;&lt;prefs/&gt;&lt;/data&gt;</vt:lpwstr>
  </property>
</Properties>
</file>