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D7CC" w14:textId="77777777" w:rsidR="00431357" w:rsidRDefault="00431357" w:rsidP="00431357">
      <w:pPr>
        <w:pStyle w:val="Cm"/>
      </w:pPr>
      <w:bookmarkStart w:id="0" w:name="_Hlk19355849"/>
      <w:bookmarkStart w:id="1" w:name="_Toc17811402"/>
      <w:bookmarkStart w:id="2" w:name="_Toc17811457"/>
      <w:bookmarkEnd w:id="0"/>
      <w:r>
        <w:rPr>
          <w:noProof/>
          <w:szCs w:val="96"/>
        </w:rPr>
        <w:drawing>
          <wp:anchor distT="0" distB="0" distL="114300" distR="114300" simplePos="0" relativeHeight="251665408" behindDoc="0" locked="0" layoutInCell="1" allowOverlap="1" wp14:anchorId="6D03D1F3" wp14:editId="469A56BB">
            <wp:simplePos x="902525" y="724395"/>
            <wp:positionH relativeFrom="margin">
              <wp:align>center</wp:align>
            </wp:positionH>
            <wp:positionV relativeFrom="margin">
              <wp:posOffset>0</wp:posOffset>
            </wp:positionV>
            <wp:extent cx="5000400" cy="3963600"/>
            <wp:effectExtent l="0" t="0" r="0"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0400" cy="396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96"/>
        </w:rPr>
        <w:t>Transliteration Guide</w:t>
      </w:r>
      <w:bookmarkEnd w:id="1"/>
      <w:bookmarkEnd w:id="2"/>
    </w:p>
    <w:p w14:paraId="772A6DB2" w14:textId="77777777" w:rsidR="00431357" w:rsidRDefault="00431357" w:rsidP="00431357">
      <w:pPr>
        <w:pStyle w:val="Frontmatter"/>
      </w:pPr>
      <w:bookmarkStart w:id="3" w:name="_nlm3dlptfwlj" w:colFirst="0" w:colLast="0"/>
      <w:bookmarkStart w:id="4" w:name="_Toc17811404"/>
      <w:bookmarkStart w:id="5" w:name="_Toc17811459"/>
      <w:bookmarkEnd w:id="3"/>
      <w:r>
        <w:t>Dániel Balogh &amp; Arlo Griffiths</w:t>
      </w:r>
      <w:bookmarkEnd w:id="4"/>
      <w:bookmarkEnd w:id="5"/>
    </w:p>
    <w:p w14:paraId="31BF3589" w14:textId="77777777" w:rsidR="00431357" w:rsidRDefault="00431357" w:rsidP="00431357">
      <w:pPr>
        <w:pStyle w:val="Frontmatter"/>
      </w:pPr>
    </w:p>
    <w:p w14:paraId="0F758F21" w14:textId="77777777" w:rsidR="00431357" w:rsidRDefault="00431357" w:rsidP="00431357">
      <w:pPr>
        <w:pStyle w:val="Frontmatter"/>
      </w:pPr>
      <w:bookmarkStart w:id="6" w:name="_Toc17811403"/>
      <w:bookmarkStart w:id="7" w:name="_Toc17811458"/>
      <w:r>
        <w:rPr>
          <w:noProof/>
          <w:highlight w:val="yellow"/>
        </w:rPr>
        <w:drawing>
          <wp:anchor distT="0" distB="0" distL="114300" distR="114300" simplePos="0" relativeHeight="251664384" behindDoc="1" locked="0" layoutInCell="1" allowOverlap="1" wp14:anchorId="29FE1CBA" wp14:editId="14A0C86A">
            <wp:simplePos x="0" y="0"/>
            <wp:positionH relativeFrom="margin">
              <wp:align>center</wp:align>
            </wp:positionH>
            <wp:positionV relativeFrom="bottomMargin">
              <wp:posOffset>-2880360</wp:posOffset>
            </wp:positionV>
            <wp:extent cx="2408400" cy="2415600"/>
            <wp:effectExtent l="0" t="0" r="0" b="3810"/>
            <wp:wrapNone/>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400" cy="241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yellow"/>
        </w:rPr>
        <w:t>Release Version 4 DRAFT, 2025-</w:t>
      </w:r>
      <w:bookmarkEnd w:id="6"/>
      <w:bookmarkEnd w:id="7"/>
      <w:r>
        <w:rPr>
          <w:highlight w:val="yellow"/>
        </w:rPr>
        <w:t>##-##</w:t>
      </w:r>
    </w:p>
    <w:p w14:paraId="2C00ADF8" w14:textId="77777777" w:rsidR="00431357" w:rsidRDefault="00431357" w:rsidP="00431357">
      <w:pPr>
        <w:pStyle w:val="Frontmatter"/>
      </w:pPr>
    </w:p>
    <w:p w14:paraId="311ED9C9" w14:textId="77777777" w:rsidR="00431357" w:rsidRDefault="00431357" w:rsidP="00431357">
      <w:pPr>
        <w:pStyle w:val="Frontmatter"/>
      </w:pPr>
    </w:p>
    <w:p w14:paraId="0795D3EE" w14:textId="77777777" w:rsidR="00431357" w:rsidRDefault="00431357" w:rsidP="00431357">
      <w:pPr>
        <w:pStyle w:val="Frontmatter"/>
      </w:pPr>
    </w:p>
    <w:p w14:paraId="19F0181F" w14:textId="77777777" w:rsidR="00431357" w:rsidRDefault="00431357" w:rsidP="00431357">
      <w:pPr>
        <w:pStyle w:val="Frontmatter"/>
      </w:pPr>
    </w:p>
    <w:p w14:paraId="2ADA1BC1" w14:textId="77777777" w:rsidR="00431357" w:rsidRDefault="00431357" w:rsidP="00431357">
      <w:pPr>
        <w:pStyle w:val="Frontmatter"/>
      </w:pPr>
    </w:p>
    <w:p w14:paraId="0C678153" w14:textId="77777777" w:rsidR="00431357" w:rsidRDefault="00431357" w:rsidP="00431357">
      <w:pPr>
        <w:pStyle w:val="Frontmatter"/>
      </w:pPr>
    </w:p>
    <w:p w14:paraId="79D90831" w14:textId="77777777" w:rsidR="00431357" w:rsidRDefault="00431357" w:rsidP="00431357">
      <w:pPr>
        <w:pStyle w:val="Frontmatter"/>
      </w:pPr>
    </w:p>
    <w:p w14:paraId="161C451A" w14:textId="77777777" w:rsidR="00431357" w:rsidRDefault="00431357" w:rsidP="00431357">
      <w:pPr>
        <w:pStyle w:val="Frontmatter"/>
      </w:pPr>
    </w:p>
    <w:p w14:paraId="5593AF51" w14:textId="77777777" w:rsidR="00431357" w:rsidRDefault="00431357" w:rsidP="00431357">
      <w:pPr>
        <w:pStyle w:val="Frontmatter"/>
      </w:pPr>
    </w:p>
    <w:p w14:paraId="1DB98B19" w14:textId="77777777" w:rsidR="00431357" w:rsidRDefault="00431357" w:rsidP="00431357">
      <w:pPr>
        <w:pStyle w:val="Frontmatter"/>
      </w:pPr>
    </w:p>
    <w:p w14:paraId="7219FB4C" w14:textId="77777777" w:rsidR="00431357" w:rsidRDefault="00431357" w:rsidP="00431357">
      <w:pPr>
        <w:pStyle w:val="Frontmatter"/>
      </w:pPr>
    </w:p>
    <w:p w14:paraId="69CA7BCE" w14:textId="77777777" w:rsidR="00431357" w:rsidRDefault="00431357" w:rsidP="00431357">
      <w:pPr>
        <w:pStyle w:val="Frontmatter"/>
      </w:pPr>
    </w:p>
    <w:p w14:paraId="17FC8EF1" w14:textId="77777777" w:rsidR="00431357" w:rsidRDefault="00431357" w:rsidP="00431357">
      <w:pPr>
        <w:pStyle w:val="Frontmatter"/>
      </w:pPr>
    </w:p>
    <w:p w14:paraId="4F0465C1" w14:textId="77777777" w:rsidR="00431357" w:rsidRDefault="00431357" w:rsidP="00431357">
      <w:pPr>
        <w:pStyle w:val="Frontmatter"/>
      </w:pPr>
      <w:r>
        <w:t>This project has received funding from the European Research Council (ERC)</w:t>
      </w:r>
      <w:r>
        <w:br/>
        <w:t>under the European Union’s Horizon 2020 research and innovation programme</w:t>
      </w:r>
      <w:r>
        <w:br/>
        <w:t>(grant agreement No 809994).</w:t>
      </w:r>
    </w:p>
    <w:p w14:paraId="76C06B69" w14:textId="77777777" w:rsidR="00431357" w:rsidRDefault="00431357" w:rsidP="00431357">
      <w:pPr>
        <w:pStyle w:val="Cm"/>
        <w:sectPr w:rsidR="00431357" w:rsidSect="00431357">
          <w:footerReference w:type="even" r:id="rId10"/>
          <w:footerReference w:type="default" r:id="rId11"/>
          <w:pgSz w:w="11906" w:h="16838" w:code="9"/>
          <w:pgMar w:top="1134" w:right="1134" w:bottom="1134" w:left="1134" w:header="851" w:footer="851" w:gutter="0"/>
          <w:pgNumType w:fmt="lowerRoman" w:start="1"/>
          <w:cols w:space="720"/>
          <w:titlePg/>
        </w:sectPr>
      </w:pPr>
      <w:bookmarkStart w:id="8" w:name="_Toc17811405"/>
      <w:bookmarkStart w:id="9" w:name="_Toc17811460"/>
    </w:p>
    <w:p w14:paraId="4EE5943A" w14:textId="77777777" w:rsidR="00431357" w:rsidRDefault="00431357" w:rsidP="00431357">
      <w:pPr>
        <w:pStyle w:val="Cm"/>
      </w:pPr>
      <w:r>
        <w:lastRenderedPageBreak/>
        <w:t>Contents</w:t>
      </w:r>
      <w:bookmarkEnd w:id="8"/>
      <w:bookmarkEnd w:id="9"/>
    </w:p>
    <w:p w14:paraId="6D71DE90" w14:textId="5A94A402" w:rsidR="00CA5448" w:rsidRDefault="00B34223">
      <w:pPr>
        <w:pStyle w:val="TJ1"/>
        <w:rPr>
          <w:rFonts w:asciiTheme="minorHAnsi" w:hAnsiTheme="minorHAnsi" w:cstheme="minorBidi"/>
          <w:b w:val="0"/>
          <w:noProof/>
          <w:sz w:val="24"/>
          <w:szCs w:val="21"/>
          <w:lang w:eastAsia="en-GB" w:bidi="sa-IN"/>
        </w:rPr>
      </w:pPr>
      <w:r>
        <w:rPr>
          <w:rFonts w:asciiTheme="majorHAnsi" w:hAnsiTheme="majorHAnsi"/>
          <w:sz w:val="18"/>
        </w:rPr>
        <w:fldChar w:fldCharType="begin"/>
      </w:r>
      <w:r>
        <w:rPr>
          <w:rFonts w:asciiTheme="majorHAnsi" w:hAnsiTheme="majorHAnsi"/>
          <w:sz w:val="18"/>
        </w:rPr>
        <w:instrText xml:space="preserve"> TOC \o "3-5" \h \z \t "Címsor 1,1,Címsor 2,2" </w:instrText>
      </w:r>
      <w:r>
        <w:rPr>
          <w:rFonts w:asciiTheme="majorHAnsi" w:hAnsiTheme="majorHAnsi"/>
          <w:sz w:val="18"/>
        </w:rPr>
        <w:fldChar w:fldCharType="separate"/>
      </w:r>
      <w:hyperlink w:anchor="_Toc200963234" w:history="1">
        <w:r w:rsidR="00CA5448" w:rsidRPr="005C1402">
          <w:rPr>
            <w:rStyle w:val="Hiperhivatkozs"/>
            <w:noProof/>
            <w:lang w:bidi="ar-SA"/>
          </w:rPr>
          <w:t>1. Introduction</w:t>
        </w:r>
        <w:r w:rsidR="00CA5448">
          <w:rPr>
            <w:noProof/>
            <w:webHidden/>
          </w:rPr>
          <w:tab/>
        </w:r>
        <w:r w:rsidR="00CA5448">
          <w:rPr>
            <w:noProof/>
            <w:webHidden/>
          </w:rPr>
          <w:fldChar w:fldCharType="begin"/>
        </w:r>
        <w:r w:rsidR="00CA5448">
          <w:rPr>
            <w:noProof/>
            <w:webHidden/>
          </w:rPr>
          <w:instrText xml:space="preserve"> PAGEREF _Toc200963234 \h </w:instrText>
        </w:r>
        <w:r w:rsidR="00CA5448">
          <w:rPr>
            <w:noProof/>
            <w:webHidden/>
          </w:rPr>
        </w:r>
        <w:r w:rsidR="00CA5448">
          <w:rPr>
            <w:noProof/>
            <w:webHidden/>
          </w:rPr>
          <w:fldChar w:fldCharType="separate"/>
        </w:r>
        <w:r w:rsidR="00CA5448">
          <w:rPr>
            <w:noProof/>
            <w:webHidden/>
          </w:rPr>
          <w:t>0</w:t>
        </w:r>
        <w:r w:rsidR="00CA5448">
          <w:rPr>
            <w:noProof/>
            <w:webHidden/>
          </w:rPr>
          <w:fldChar w:fldCharType="end"/>
        </w:r>
      </w:hyperlink>
    </w:p>
    <w:p w14:paraId="447430ED" w14:textId="1C196A0C" w:rsidR="00CA5448" w:rsidRDefault="00CA5448">
      <w:pPr>
        <w:pStyle w:val="TJ2"/>
        <w:rPr>
          <w:rFonts w:asciiTheme="minorHAnsi" w:hAnsiTheme="minorHAnsi" w:cstheme="minorBidi"/>
          <w:noProof/>
          <w:sz w:val="24"/>
          <w:szCs w:val="21"/>
          <w:lang w:eastAsia="en-GB" w:bidi="sa-IN"/>
        </w:rPr>
      </w:pPr>
      <w:hyperlink w:anchor="_Toc200963235" w:history="1">
        <w:r w:rsidRPr="005C1402">
          <w:rPr>
            <w:rStyle w:val="Hiperhivatkozs"/>
            <w:noProof/>
            <w:lang w:bidi="ar-SA"/>
          </w:rPr>
          <w:t>1.1. Version History</w:t>
        </w:r>
        <w:r>
          <w:rPr>
            <w:noProof/>
            <w:webHidden/>
          </w:rPr>
          <w:tab/>
        </w:r>
        <w:r>
          <w:rPr>
            <w:noProof/>
            <w:webHidden/>
          </w:rPr>
          <w:fldChar w:fldCharType="begin"/>
        </w:r>
        <w:r>
          <w:rPr>
            <w:noProof/>
            <w:webHidden/>
          </w:rPr>
          <w:instrText xml:space="preserve"> PAGEREF _Toc200963235 \h </w:instrText>
        </w:r>
        <w:r>
          <w:rPr>
            <w:noProof/>
            <w:webHidden/>
          </w:rPr>
        </w:r>
        <w:r>
          <w:rPr>
            <w:noProof/>
            <w:webHidden/>
          </w:rPr>
          <w:fldChar w:fldCharType="separate"/>
        </w:r>
        <w:r>
          <w:rPr>
            <w:noProof/>
            <w:webHidden/>
          </w:rPr>
          <w:t>0</w:t>
        </w:r>
        <w:r>
          <w:rPr>
            <w:noProof/>
            <w:webHidden/>
          </w:rPr>
          <w:fldChar w:fldCharType="end"/>
        </w:r>
      </w:hyperlink>
    </w:p>
    <w:p w14:paraId="3885BC41" w14:textId="00365845" w:rsidR="00CA5448" w:rsidRDefault="00CA5448">
      <w:pPr>
        <w:pStyle w:val="TJ2"/>
        <w:rPr>
          <w:rFonts w:asciiTheme="minorHAnsi" w:hAnsiTheme="minorHAnsi" w:cstheme="minorBidi"/>
          <w:noProof/>
          <w:sz w:val="24"/>
          <w:szCs w:val="21"/>
          <w:lang w:eastAsia="en-GB" w:bidi="sa-IN"/>
        </w:rPr>
      </w:pPr>
      <w:hyperlink w:anchor="_Toc200963236" w:history="1">
        <w:r w:rsidRPr="005C1402">
          <w:rPr>
            <w:rStyle w:val="Hiperhivatkozs"/>
            <w:noProof/>
            <w:lang w:bidi="ar-SA"/>
          </w:rPr>
          <w:t>1.2. Coverage</w:t>
        </w:r>
        <w:r>
          <w:rPr>
            <w:noProof/>
            <w:webHidden/>
          </w:rPr>
          <w:tab/>
        </w:r>
        <w:r>
          <w:rPr>
            <w:noProof/>
            <w:webHidden/>
          </w:rPr>
          <w:fldChar w:fldCharType="begin"/>
        </w:r>
        <w:r>
          <w:rPr>
            <w:noProof/>
            <w:webHidden/>
          </w:rPr>
          <w:instrText xml:space="preserve"> PAGEREF _Toc200963236 \h </w:instrText>
        </w:r>
        <w:r>
          <w:rPr>
            <w:noProof/>
            <w:webHidden/>
          </w:rPr>
        </w:r>
        <w:r>
          <w:rPr>
            <w:noProof/>
            <w:webHidden/>
          </w:rPr>
          <w:fldChar w:fldCharType="separate"/>
        </w:r>
        <w:r>
          <w:rPr>
            <w:noProof/>
            <w:webHidden/>
          </w:rPr>
          <w:t>0</w:t>
        </w:r>
        <w:r>
          <w:rPr>
            <w:noProof/>
            <w:webHidden/>
          </w:rPr>
          <w:fldChar w:fldCharType="end"/>
        </w:r>
      </w:hyperlink>
    </w:p>
    <w:p w14:paraId="7D93E060" w14:textId="50E4318E" w:rsidR="00CA5448" w:rsidRDefault="00CA5448">
      <w:pPr>
        <w:pStyle w:val="TJ2"/>
        <w:rPr>
          <w:rFonts w:asciiTheme="minorHAnsi" w:hAnsiTheme="minorHAnsi" w:cstheme="minorBidi"/>
          <w:noProof/>
          <w:sz w:val="24"/>
          <w:szCs w:val="21"/>
          <w:lang w:eastAsia="en-GB" w:bidi="sa-IN"/>
        </w:rPr>
      </w:pPr>
      <w:hyperlink w:anchor="_Toc200963237" w:history="1">
        <w:r w:rsidRPr="005C1402">
          <w:rPr>
            <w:rStyle w:val="Hiperhivatkozs"/>
            <w:noProof/>
            <w:lang w:bidi="ar-SA"/>
          </w:rPr>
          <w:t>1.3. Abbreviations</w:t>
        </w:r>
        <w:r>
          <w:rPr>
            <w:noProof/>
            <w:webHidden/>
          </w:rPr>
          <w:tab/>
        </w:r>
        <w:r>
          <w:rPr>
            <w:noProof/>
            <w:webHidden/>
          </w:rPr>
          <w:fldChar w:fldCharType="begin"/>
        </w:r>
        <w:r>
          <w:rPr>
            <w:noProof/>
            <w:webHidden/>
          </w:rPr>
          <w:instrText xml:space="preserve"> PAGEREF _Toc200963237 \h </w:instrText>
        </w:r>
        <w:r>
          <w:rPr>
            <w:noProof/>
            <w:webHidden/>
          </w:rPr>
        </w:r>
        <w:r>
          <w:rPr>
            <w:noProof/>
            <w:webHidden/>
          </w:rPr>
          <w:fldChar w:fldCharType="separate"/>
        </w:r>
        <w:r>
          <w:rPr>
            <w:noProof/>
            <w:webHidden/>
          </w:rPr>
          <w:t>0</w:t>
        </w:r>
        <w:r>
          <w:rPr>
            <w:noProof/>
            <w:webHidden/>
          </w:rPr>
          <w:fldChar w:fldCharType="end"/>
        </w:r>
      </w:hyperlink>
    </w:p>
    <w:p w14:paraId="2D13D01E" w14:textId="130B2E66" w:rsidR="00CA5448" w:rsidRDefault="00CA5448">
      <w:pPr>
        <w:pStyle w:val="TJ2"/>
        <w:rPr>
          <w:rFonts w:asciiTheme="minorHAnsi" w:hAnsiTheme="minorHAnsi" w:cstheme="minorBidi"/>
          <w:noProof/>
          <w:sz w:val="24"/>
          <w:szCs w:val="21"/>
          <w:lang w:eastAsia="en-GB" w:bidi="sa-IN"/>
        </w:rPr>
      </w:pPr>
      <w:hyperlink w:anchor="_Toc200963238" w:history="1">
        <w:r w:rsidRPr="005C1402">
          <w:rPr>
            <w:rStyle w:val="Hiperhivatkozs"/>
            <w:noProof/>
            <w:lang w:bidi="ar-SA"/>
          </w:rPr>
          <w:t>1.4. Brackets for linguistic notation</w:t>
        </w:r>
        <w:r>
          <w:rPr>
            <w:noProof/>
            <w:webHidden/>
          </w:rPr>
          <w:tab/>
        </w:r>
        <w:r>
          <w:rPr>
            <w:noProof/>
            <w:webHidden/>
          </w:rPr>
          <w:fldChar w:fldCharType="begin"/>
        </w:r>
        <w:r>
          <w:rPr>
            <w:noProof/>
            <w:webHidden/>
          </w:rPr>
          <w:instrText xml:space="preserve"> PAGEREF _Toc200963238 \h </w:instrText>
        </w:r>
        <w:r>
          <w:rPr>
            <w:noProof/>
            <w:webHidden/>
          </w:rPr>
        </w:r>
        <w:r>
          <w:rPr>
            <w:noProof/>
            <w:webHidden/>
          </w:rPr>
          <w:fldChar w:fldCharType="separate"/>
        </w:r>
        <w:r>
          <w:rPr>
            <w:noProof/>
            <w:webHidden/>
          </w:rPr>
          <w:t>0</w:t>
        </w:r>
        <w:r>
          <w:rPr>
            <w:noProof/>
            <w:webHidden/>
          </w:rPr>
          <w:fldChar w:fldCharType="end"/>
        </w:r>
      </w:hyperlink>
    </w:p>
    <w:p w14:paraId="6C23D182" w14:textId="2617130D" w:rsidR="00CA5448" w:rsidRDefault="00CA5448">
      <w:pPr>
        <w:pStyle w:val="TJ2"/>
        <w:rPr>
          <w:rFonts w:asciiTheme="minorHAnsi" w:hAnsiTheme="minorHAnsi" w:cstheme="minorBidi"/>
          <w:noProof/>
          <w:sz w:val="24"/>
          <w:szCs w:val="21"/>
          <w:lang w:eastAsia="en-GB" w:bidi="sa-IN"/>
        </w:rPr>
      </w:pPr>
      <w:hyperlink w:anchor="_Toc200963239" w:history="1">
        <w:r w:rsidRPr="005C1402">
          <w:rPr>
            <w:rStyle w:val="Hiperhivatkozs"/>
            <w:noProof/>
            <w:lang w:bidi="ar-SA"/>
          </w:rPr>
          <w:t>1.5. Terms and definitions</w:t>
        </w:r>
        <w:r>
          <w:rPr>
            <w:noProof/>
            <w:webHidden/>
          </w:rPr>
          <w:tab/>
        </w:r>
        <w:r>
          <w:rPr>
            <w:noProof/>
            <w:webHidden/>
          </w:rPr>
          <w:fldChar w:fldCharType="begin"/>
        </w:r>
        <w:r>
          <w:rPr>
            <w:noProof/>
            <w:webHidden/>
          </w:rPr>
          <w:instrText xml:space="preserve"> PAGEREF _Toc200963239 \h </w:instrText>
        </w:r>
        <w:r>
          <w:rPr>
            <w:noProof/>
            <w:webHidden/>
          </w:rPr>
        </w:r>
        <w:r>
          <w:rPr>
            <w:noProof/>
            <w:webHidden/>
          </w:rPr>
          <w:fldChar w:fldCharType="separate"/>
        </w:r>
        <w:r>
          <w:rPr>
            <w:noProof/>
            <w:webHidden/>
          </w:rPr>
          <w:t>1</w:t>
        </w:r>
        <w:r>
          <w:rPr>
            <w:noProof/>
            <w:webHidden/>
          </w:rPr>
          <w:fldChar w:fldCharType="end"/>
        </w:r>
      </w:hyperlink>
    </w:p>
    <w:p w14:paraId="3529546D" w14:textId="3A9FCA28" w:rsidR="00CA5448" w:rsidRDefault="00CA5448">
      <w:pPr>
        <w:pStyle w:val="TJ2"/>
        <w:rPr>
          <w:rFonts w:asciiTheme="minorHAnsi" w:hAnsiTheme="minorHAnsi" w:cstheme="minorBidi"/>
          <w:noProof/>
          <w:sz w:val="24"/>
          <w:szCs w:val="21"/>
          <w:lang w:eastAsia="en-GB" w:bidi="sa-IN"/>
        </w:rPr>
      </w:pPr>
      <w:hyperlink w:anchor="_Toc200963240" w:history="1">
        <w:r w:rsidRPr="005C1402">
          <w:rPr>
            <w:rStyle w:val="Hiperhivatkozs"/>
            <w:noProof/>
            <w:lang w:bidi="ar-SA"/>
          </w:rPr>
          <w:t>1.6. Working with Unicode</w:t>
        </w:r>
        <w:r>
          <w:rPr>
            <w:noProof/>
            <w:webHidden/>
          </w:rPr>
          <w:tab/>
        </w:r>
        <w:r>
          <w:rPr>
            <w:noProof/>
            <w:webHidden/>
          </w:rPr>
          <w:fldChar w:fldCharType="begin"/>
        </w:r>
        <w:r>
          <w:rPr>
            <w:noProof/>
            <w:webHidden/>
          </w:rPr>
          <w:instrText xml:space="preserve"> PAGEREF _Toc200963240 \h </w:instrText>
        </w:r>
        <w:r>
          <w:rPr>
            <w:noProof/>
            <w:webHidden/>
          </w:rPr>
        </w:r>
        <w:r>
          <w:rPr>
            <w:noProof/>
            <w:webHidden/>
          </w:rPr>
          <w:fldChar w:fldCharType="separate"/>
        </w:r>
        <w:r>
          <w:rPr>
            <w:noProof/>
            <w:webHidden/>
          </w:rPr>
          <w:t>2</w:t>
        </w:r>
        <w:r>
          <w:rPr>
            <w:noProof/>
            <w:webHidden/>
          </w:rPr>
          <w:fldChar w:fldCharType="end"/>
        </w:r>
      </w:hyperlink>
    </w:p>
    <w:p w14:paraId="0D98982B" w14:textId="71730D80" w:rsidR="00CA5448" w:rsidRDefault="00CA5448">
      <w:pPr>
        <w:pStyle w:val="TJ3"/>
        <w:rPr>
          <w:rFonts w:asciiTheme="minorHAnsi" w:hAnsiTheme="minorHAnsi" w:cstheme="minorBidi"/>
          <w:noProof/>
          <w:sz w:val="24"/>
          <w:szCs w:val="21"/>
          <w:lang w:eastAsia="en-GB" w:bidi="sa-IN"/>
        </w:rPr>
      </w:pPr>
      <w:hyperlink w:anchor="_Toc200963241" w:history="1">
        <w:r w:rsidRPr="005C1402">
          <w:rPr>
            <w:rStyle w:val="Hiperhivatkozs"/>
            <w:noProof/>
            <w:lang w:bidi="ar-SA"/>
          </w:rPr>
          <w:t>1.6.1. Fonts and supported characters</w:t>
        </w:r>
        <w:r>
          <w:rPr>
            <w:noProof/>
            <w:webHidden/>
          </w:rPr>
          <w:tab/>
        </w:r>
        <w:r>
          <w:rPr>
            <w:noProof/>
            <w:webHidden/>
          </w:rPr>
          <w:fldChar w:fldCharType="begin"/>
        </w:r>
        <w:r>
          <w:rPr>
            <w:noProof/>
            <w:webHidden/>
          </w:rPr>
          <w:instrText xml:space="preserve"> PAGEREF _Toc200963241 \h </w:instrText>
        </w:r>
        <w:r>
          <w:rPr>
            <w:noProof/>
            <w:webHidden/>
          </w:rPr>
        </w:r>
        <w:r>
          <w:rPr>
            <w:noProof/>
            <w:webHidden/>
          </w:rPr>
          <w:fldChar w:fldCharType="separate"/>
        </w:r>
        <w:r>
          <w:rPr>
            <w:noProof/>
            <w:webHidden/>
          </w:rPr>
          <w:t>2</w:t>
        </w:r>
        <w:r>
          <w:rPr>
            <w:noProof/>
            <w:webHidden/>
          </w:rPr>
          <w:fldChar w:fldCharType="end"/>
        </w:r>
      </w:hyperlink>
    </w:p>
    <w:p w14:paraId="3212506F" w14:textId="73E852B8" w:rsidR="00CA5448" w:rsidRDefault="00CA5448">
      <w:pPr>
        <w:pStyle w:val="TJ3"/>
        <w:rPr>
          <w:rFonts w:asciiTheme="minorHAnsi" w:hAnsiTheme="minorHAnsi" w:cstheme="minorBidi"/>
          <w:noProof/>
          <w:sz w:val="24"/>
          <w:szCs w:val="21"/>
          <w:lang w:eastAsia="en-GB" w:bidi="sa-IN"/>
        </w:rPr>
      </w:pPr>
      <w:hyperlink w:anchor="_Toc200963242" w:history="1">
        <w:r w:rsidRPr="005C1402">
          <w:rPr>
            <w:rStyle w:val="Hiperhivatkozs"/>
            <w:noProof/>
            <w:lang w:bidi="ar-SA"/>
          </w:rPr>
          <w:t>1.6.2. Entering Unicode characters</w:t>
        </w:r>
        <w:r>
          <w:rPr>
            <w:noProof/>
            <w:webHidden/>
          </w:rPr>
          <w:tab/>
        </w:r>
        <w:r>
          <w:rPr>
            <w:noProof/>
            <w:webHidden/>
          </w:rPr>
          <w:fldChar w:fldCharType="begin"/>
        </w:r>
        <w:r>
          <w:rPr>
            <w:noProof/>
            <w:webHidden/>
          </w:rPr>
          <w:instrText xml:space="preserve"> PAGEREF _Toc200963242 \h </w:instrText>
        </w:r>
        <w:r>
          <w:rPr>
            <w:noProof/>
            <w:webHidden/>
          </w:rPr>
        </w:r>
        <w:r>
          <w:rPr>
            <w:noProof/>
            <w:webHidden/>
          </w:rPr>
          <w:fldChar w:fldCharType="separate"/>
        </w:r>
        <w:r>
          <w:rPr>
            <w:noProof/>
            <w:webHidden/>
          </w:rPr>
          <w:t>3</w:t>
        </w:r>
        <w:r>
          <w:rPr>
            <w:noProof/>
            <w:webHidden/>
          </w:rPr>
          <w:fldChar w:fldCharType="end"/>
        </w:r>
      </w:hyperlink>
    </w:p>
    <w:p w14:paraId="03A48F9D" w14:textId="2F68AB86" w:rsidR="00CA5448" w:rsidRDefault="00CA5448">
      <w:pPr>
        <w:pStyle w:val="TJ3"/>
        <w:rPr>
          <w:rFonts w:asciiTheme="minorHAnsi" w:hAnsiTheme="minorHAnsi" w:cstheme="minorBidi"/>
          <w:noProof/>
          <w:sz w:val="24"/>
          <w:szCs w:val="21"/>
          <w:lang w:eastAsia="en-GB" w:bidi="sa-IN"/>
        </w:rPr>
      </w:pPr>
      <w:hyperlink w:anchor="_Toc200963243" w:history="1">
        <w:r w:rsidRPr="005C1402">
          <w:rPr>
            <w:rStyle w:val="Hiperhivatkozs"/>
            <w:noProof/>
            <w:lang w:bidi="ar-SA"/>
          </w:rPr>
          <w:t>1.6.3. Precomposed characters</w:t>
        </w:r>
        <w:r>
          <w:rPr>
            <w:noProof/>
            <w:webHidden/>
          </w:rPr>
          <w:tab/>
        </w:r>
        <w:r>
          <w:rPr>
            <w:noProof/>
            <w:webHidden/>
          </w:rPr>
          <w:fldChar w:fldCharType="begin"/>
        </w:r>
        <w:r>
          <w:rPr>
            <w:noProof/>
            <w:webHidden/>
          </w:rPr>
          <w:instrText xml:space="preserve"> PAGEREF _Toc200963243 \h </w:instrText>
        </w:r>
        <w:r>
          <w:rPr>
            <w:noProof/>
            <w:webHidden/>
          </w:rPr>
        </w:r>
        <w:r>
          <w:rPr>
            <w:noProof/>
            <w:webHidden/>
          </w:rPr>
          <w:fldChar w:fldCharType="separate"/>
        </w:r>
        <w:r>
          <w:rPr>
            <w:noProof/>
            <w:webHidden/>
          </w:rPr>
          <w:t>3</w:t>
        </w:r>
        <w:r>
          <w:rPr>
            <w:noProof/>
            <w:webHidden/>
          </w:rPr>
          <w:fldChar w:fldCharType="end"/>
        </w:r>
      </w:hyperlink>
    </w:p>
    <w:p w14:paraId="5B2632FB" w14:textId="6B2F37A3" w:rsidR="00CA5448" w:rsidRDefault="00CA5448">
      <w:pPr>
        <w:pStyle w:val="TJ1"/>
        <w:rPr>
          <w:rFonts w:asciiTheme="minorHAnsi" w:hAnsiTheme="minorHAnsi" w:cstheme="minorBidi"/>
          <w:b w:val="0"/>
          <w:noProof/>
          <w:sz w:val="24"/>
          <w:szCs w:val="21"/>
          <w:lang w:eastAsia="en-GB" w:bidi="sa-IN"/>
        </w:rPr>
      </w:pPr>
      <w:hyperlink w:anchor="_Toc200963244" w:history="1">
        <w:r w:rsidRPr="005C1402">
          <w:rPr>
            <w:rStyle w:val="Hiperhivatkozs"/>
            <w:noProof/>
            <w:lang w:bidi="ar-SA"/>
          </w:rPr>
          <w:t>2. Theoretical framework</w:t>
        </w:r>
        <w:r>
          <w:rPr>
            <w:noProof/>
            <w:webHidden/>
          </w:rPr>
          <w:tab/>
        </w:r>
        <w:r>
          <w:rPr>
            <w:noProof/>
            <w:webHidden/>
          </w:rPr>
          <w:fldChar w:fldCharType="begin"/>
        </w:r>
        <w:r>
          <w:rPr>
            <w:noProof/>
            <w:webHidden/>
          </w:rPr>
          <w:instrText xml:space="preserve"> PAGEREF _Toc200963244 \h </w:instrText>
        </w:r>
        <w:r>
          <w:rPr>
            <w:noProof/>
            <w:webHidden/>
          </w:rPr>
        </w:r>
        <w:r>
          <w:rPr>
            <w:noProof/>
            <w:webHidden/>
          </w:rPr>
          <w:fldChar w:fldCharType="separate"/>
        </w:r>
        <w:r>
          <w:rPr>
            <w:noProof/>
            <w:webHidden/>
          </w:rPr>
          <w:t>4</w:t>
        </w:r>
        <w:r>
          <w:rPr>
            <w:noProof/>
            <w:webHidden/>
          </w:rPr>
          <w:fldChar w:fldCharType="end"/>
        </w:r>
      </w:hyperlink>
    </w:p>
    <w:p w14:paraId="637EA2D2" w14:textId="0F632725" w:rsidR="00CA5448" w:rsidRDefault="00CA5448">
      <w:pPr>
        <w:pStyle w:val="TJ2"/>
        <w:rPr>
          <w:rFonts w:asciiTheme="minorHAnsi" w:hAnsiTheme="minorHAnsi" w:cstheme="minorBidi"/>
          <w:noProof/>
          <w:sz w:val="24"/>
          <w:szCs w:val="21"/>
          <w:lang w:eastAsia="en-GB" w:bidi="sa-IN"/>
        </w:rPr>
      </w:pPr>
      <w:hyperlink w:anchor="_Toc200963245" w:history="1">
        <w:r w:rsidRPr="005C1402">
          <w:rPr>
            <w:rStyle w:val="Hiperhivatkozs"/>
            <w:noProof/>
            <w:lang w:bidi="ar-SA"/>
          </w:rPr>
          <w:t>2.1. Scripts and writing systems</w:t>
        </w:r>
        <w:r>
          <w:rPr>
            <w:noProof/>
            <w:webHidden/>
          </w:rPr>
          <w:tab/>
        </w:r>
        <w:r>
          <w:rPr>
            <w:noProof/>
            <w:webHidden/>
          </w:rPr>
          <w:fldChar w:fldCharType="begin"/>
        </w:r>
        <w:r>
          <w:rPr>
            <w:noProof/>
            <w:webHidden/>
          </w:rPr>
          <w:instrText xml:space="preserve"> PAGEREF _Toc200963245 \h </w:instrText>
        </w:r>
        <w:r>
          <w:rPr>
            <w:noProof/>
            <w:webHidden/>
          </w:rPr>
        </w:r>
        <w:r>
          <w:rPr>
            <w:noProof/>
            <w:webHidden/>
          </w:rPr>
          <w:fldChar w:fldCharType="separate"/>
        </w:r>
        <w:r>
          <w:rPr>
            <w:noProof/>
            <w:webHidden/>
          </w:rPr>
          <w:t>4</w:t>
        </w:r>
        <w:r>
          <w:rPr>
            <w:noProof/>
            <w:webHidden/>
          </w:rPr>
          <w:fldChar w:fldCharType="end"/>
        </w:r>
      </w:hyperlink>
    </w:p>
    <w:p w14:paraId="0C3931C0" w14:textId="09E53450" w:rsidR="00CA5448" w:rsidRDefault="00CA5448">
      <w:pPr>
        <w:pStyle w:val="TJ3"/>
        <w:rPr>
          <w:rFonts w:asciiTheme="minorHAnsi" w:hAnsiTheme="minorHAnsi" w:cstheme="minorBidi"/>
          <w:noProof/>
          <w:sz w:val="24"/>
          <w:szCs w:val="21"/>
          <w:lang w:eastAsia="en-GB" w:bidi="sa-IN"/>
        </w:rPr>
      </w:pPr>
      <w:hyperlink w:anchor="_Toc200963246" w:history="1">
        <w:r w:rsidRPr="005C1402">
          <w:rPr>
            <w:rStyle w:val="Hiperhivatkozs"/>
            <w:noProof/>
            <w:lang w:bidi="ar-SA"/>
          </w:rPr>
          <w:t>2.1.1. Writing system typology</w:t>
        </w:r>
        <w:r>
          <w:rPr>
            <w:noProof/>
            <w:webHidden/>
          </w:rPr>
          <w:tab/>
        </w:r>
        <w:r>
          <w:rPr>
            <w:noProof/>
            <w:webHidden/>
          </w:rPr>
          <w:fldChar w:fldCharType="begin"/>
        </w:r>
        <w:r>
          <w:rPr>
            <w:noProof/>
            <w:webHidden/>
          </w:rPr>
          <w:instrText xml:space="preserve"> PAGEREF _Toc200963246 \h </w:instrText>
        </w:r>
        <w:r>
          <w:rPr>
            <w:noProof/>
            <w:webHidden/>
          </w:rPr>
        </w:r>
        <w:r>
          <w:rPr>
            <w:noProof/>
            <w:webHidden/>
          </w:rPr>
          <w:fldChar w:fldCharType="separate"/>
        </w:r>
        <w:r>
          <w:rPr>
            <w:noProof/>
            <w:webHidden/>
          </w:rPr>
          <w:t>4</w:t>
        </w:r>
        <w:r>
          <w:rPr>
            <w:noProof/>
            <w:webHidden/>
          </w:rPr>
          <w:fldChar w:fldCharType="end"/>
        </w:r>
      </w:hyperlink>
    </w:p>
    <w:p w14:paraId="093655F7" w14:textId="63573D8A" w:rsidR="00CA5448" w:rsidRDefault="00CA5448">
      <w:pPr>
        <w:pStyle w:val="TJ2"/>
        <w:rPr>
          <w:rFonts w:asciiTheme="minorHAnsi" w:hAnsiTheme="minorHAnsi" w:cstheme="minorBidi"/>
          <w:noProof/>
          <w:sz w:val="24"/>
          <w:szCs w:val="21"/>
          <w:lang w:eastAsia="en-GB" w:bidi="sa-IN"/>
        </w:rPr>
      </w:pPr>
      <w:hyperlink w:anchor="_Toc200963247" w:history="1">
        <w:r w:rsidRPr="005C1402">
          <w:rPr>
            <w:rStyle w:val="Hiperhivatkozs"/>
            <w:noProof/>
            <w:lang w:bidi="ar-SA"/>
          </w:rPr>
          <w:t>2.2. Conversion between writing systems</w:t>
        </w:r>
        <w:r>
          <w:rPr>
            <w:noProof/>
            <w:webHidden/>
          </w:rPr>
          <w:tab/>
        </w:r>
        <w:r>
          <w:rPr>
            <w:noProof/>
            <w:webHidden/>
          </w:rPr>
          <w:fldChar w:fldCharType="begin"/>
        </w:r>
        <w:r>
          <w:rPr>
            <w:noProof/>
            <w:webHidden/>
          </w:rPr>
          <w:instrText xml:space="preserve"> PAGEREF _Toc200963247 \h </w:instrText>
        </w:r>
        <w:r>
          <w:rPr>
            <w:noProof/>
            <w:webHidden/>
          </w:rPr>
        </w:r>
        <w:r>
          <w:rPr>
            <w:noProof/>
            <w:webHidden/>
          </w:rPr>
          <w:fldChar w:fldCharType="separate"/>
        </w:r>
        <w:r>
          <w:rPr>
            <w:noProof/>
            <w:webHidden/>
          </w:rPr>
          <w:t>5</w:t>
        </w:r>
        <w:r>
          <w:rPr>
            <w:noProof/>
            <w:webHidden/>
          </w:rPr>
          <w:fldChar w:fldCharType="end"/>
        </w:r>
      </w:hyperlink>
    </w:p>
    <w:p w14:paraId="048C9596" w14:textId="5D0B99F2" w:rsidR="00CA5448" w:rsidRDefault="00CA5448">
      <w:pPr>
        <w:pStyle w:val="TJ3"/>
        <w:rPr>
          <w:rFonts w:asciiTheme="minorHAnsi" w:hAnsiTheme="minorHAnsi" w:cstheme="minorBidi"/>
          <w:noProof/>
          <w:sz w:val="24"/>
          <w:szCs w:val="21"/>
          <w:lang w:eastAsia="en-GB" w:bidi="sa-IN"/>
        </w:rPr>
      </w:pPr>
      <w:hyperlink w:anchor="_Toc200963248" w:history="1">
        <w:r w:rsidRPr="005C1402">
          <w:rPr>
            <w:rStyle w:val="Hiperhivatkozs"/>
            <w:noProof/>
            <w:lang w:bidi="ar-SA"/>
          </w:rPr>
          <w:t>2.2.1. Transliteration and transcription</w:t>
        </w:r>
        <w:r>
          <w:rPr>
            <w:noProof/>
            <w:webHidden/>
          </w:rPr>
          <w:tab/>
        </w:r>
        <w:r>
          <w:rPr>
            <w:noProof/>
            <w:webHidden/>
          </w:rPr>
          <w:fldChar w:fldCharType="begin"/>
        </w:r>
        <w:r>
          <w:rPr>
            <w:noProof/>
            <w:webHidden/>
          </w:rPr>
          <w:instrText xml:space="preserve"> PAGEREF _Toc200963248 \h </w:instrText>
        </w:r>
        <w:r>
          <w:rPr>
            <w:noProof/>
            <w:webHidden/>
          </w:rPr>
        </w:r>
        <w:r>
          <w:rPr>
            <w:noProof/>
            <w:webHidden/>
          </w:rPr>
          <w:fldChar w:fldCharType="separate"/>
        </w:r>
        <w:r>
          <w:rPr>
            <w:noProof/>
            <w:webHidden/>
          </w:rPr>
          <w:t>5</w:t>
        </w:r>
        <w:r>
          <w:rPr>
            <w:noProof/>
            <w:webHidden/>
          </w:rPr>
          <w:fldChar w:fldCharType="end"/>
        </w:r>
      </w:hyperlink>
    </w:p>
    <w:p w14:paraId="20535F74" w14:textId="0ACCCE62" w:rsidR="00CA5448" w:rsidRDefault="00CA5448">
      <w:pPr>
        <w:pStyle w:val="TJ2"/>
        <w:rPr>
          <w:rFonts w:asciiTheme="minorHAnsi" w:hAnsiTheme="minorHAnsi" w:cstheme="minorBidi"/>
          <w:noProof/>
          <w:sz w:val="24"/>
          <w:szCs w:val="21"/>
          <w:lang w:eastAsia="en-GB" w:bidi="sa-IN"/>
        </w:rPr>
      </w:pPr>
      <w:hyperlink w:anchor="_Toc200963249" w:history="1">
        <w:r w:rsidRPr="005C1402">
          <w:rPr>
            <w:rStyle w:val="Hiperhivatkozs"/>
            <w:noProof/>
            <w:lang w:bidi="ar-SA"/>
          </w:rPr>
          <w:t>2.3. The elusive grapheme</w:t>
        </w:r>
        <w:r>
          <w:rPr>
            <w:noProof/>
            <w:webHidden/>
          </w:rPr>
          <w:tab/>
        </w:r>
        <w:r>
          <w:rPr>
            <w:noProof/>
            <w:webHidden/>
          </w:rPr>
          <w:fldChar w:fldCharType="begin"/>
        </w:r>
        <w:r>
          <w:rPr>
            <w:noProof/>
            <w:webHidden/>
          </w:rPr>
          <w:instrText xml:space="preserve"> PAGEREF _Toc200963249 \h </w:instrText>
        </w:r>
        <w:r>
          <w:rPr>
            <w:noProof/>
            <w:webHidden/>
          </w:rPr>
        </w:r>
        <w:r>
          <w:rPr>
            <w:noProof/>
            <w:webHidden/>
          </w:rPr>
          <w:fldChar w:fldCharType="separate"/>
        </w:r>
        <w:r>
          <w:rPr>
            <w:noProof/>
            <w:webHidden/>
          </w:rPr>
          <w:t>6</w:t>
        </w:r>
        <w:r>
          <w:rPr>
            <w:noProof/>
            <w:webHidden/>
          </w:rPr>
          <w:fldChar w:fldCharType="end"/>
        </w:r>
      </w:hyperlink>
    </w:p>
    <w:p w14:paraId="3981B551" w14:textId="68478707" w:rsidR="00CA5448" w:rsidRDefault="00CA5448">
      <w:pPr>
        <w:pStyle w:val="TJ3"/>
        <w:rPr>
          <w:rFonts w:asciiTheme="minorHAnsi" w:hAnsiTheme="minorHAnsi" w:cstheme="minorBidi"/>
          <w:noProof/>
          <w:sz w:val="24"/>
          <w:szCs w:val="21"/>
          <w:lang w:eastAsia="en-GB" w:bidi="sa-IN"/>
        </w:rPr>
      </w:pPr>
      <w:hyperlink w:anchor="_Toc200963250" w:history="1">
        <w:r w:rsidRPr="005C1402">
          <w:rPr>
            <w:rStyle w:val="Hiperhivatkozs"/>
            <w:noProof/>
            <w:lang w:bidi="ar-SA"/>
          </w:rPr>
          <w:t>2.3.1. A sketch of grapholinguistic concepts</w:t>
        </w:r>
        <w:r>
          <w:rPr>
            <w:noProof/>
            <w:webHidden/>
          </w:rPr>
          <w:tab/>
        </w:r>
        <w:r>
          <w:rPr>
            <w:noProof/>
            <w:webHidden/>
          </w:rPr>
          <w:fldChar w:fldCharType="begin"/>
        </w:r>
        <w:r>
          <w:rPr>
            <w:noProof/>
            <w:webHidden/>
          </w:rPr>
          <w:instrText xml:space="preserve"> PAGEREF _Toc200963250 \h </w:instrText>
        </w:r>
        <w:r>
          <w:rPr>
            <w:noProof/>
            <w:webHidden/>
          </w:rPr>
        </w:r>
        <w:r>
          <w:rPr>
            <w:noProof/>
            <w:webHidden/>
          </w:rPr>
          <w:fldChar w:fldCharType="separate"/>
        </w:r>
        <w:r>
          <w:rPr>
            <w:noProof/>
            <w:webHidden/>
          </w:rPr>
          <w:t>6</w:t>
        </w:r>
        <w:r>
          <w:rPr>
            <w:noProof/>
            <w:webHidden/>
          </w:rPr>
          <w:fldChar w:fldCharType="end"/>
        </w:r>
      </w:hyperlink>
    </w:p>
    <w:p w14:paraId="4015A58A" w14:textId="68F1B952" w:rsidR="00CA5448" w:rsidRDefault="00CA5448">
      <w:pPr>
        <w:pStyle w:val="TJ3"/>
        <w:rPr>
          <w:rFonts w:asciiTheme="minorHAnsi" w:hAnsiTheme="minorHAnsi" w:cstheme="minorBidi"/>
          <w:noProof/>
          <w:sz w:val="24"/>
          <w:szCs w:val="21"/>
          <w:lang w:eastAsia="en-GB" w:bidi="sa-IN"/>
        </w:rPr>
      </w:pPr>
      <w:hyperlink w:anchor="_Toc200963251" w:history="1">
        <w:r w:rsidRPr="005C1402">
          <w:rPr>
            <w:rStyle w:val="Hiperhivatkozs"/>
            <w:noProof/>
            <w:lang w:bidi="ar-SA"/>
          </w:rPr>
          <w:t>2.3.2. Refining the concept of the grapheme</w:t>
        </w:r>
        <w:r>
          <w:rPr>
            <w:noProof/>
            <w:webHidden/>
          </w:rPr>
          <w:tab/>
        </w:r>
        <w:r>
          <w:rPr>
            <w:noProof/>
            <w:webHidden/>
          </w:rPr>
          <w:fldChar w:fldCharType="begin"/>
        </w:r>
        <w:r>
          <w:rPr>
            <w:noProof/>
            <w:webHidden/>
          </w:rPr>
          <w:instrText xml:space="preserve"> PAGEREF _Toc200963251 \h </w:instrText>
        </w:r>
        <w:r>
          <w:rPr>
            <w:noProof/>
            <w:webHidden/>
          </w:rPr>
        </w:r>
        <w:r>
          <w:rPr>
            <w:noProof/>
            <w:webHidden/>
          </w:rPr>
          <w:fldChar w:fldCharType="separate"/>
        </w:r>
        <w:r>
          <w:rPr>
            <w:noProof/>
            <w:webHidden/>
          </w:rPr>
          <w:t>7</w:t>
        </w:r>
        <w:r>
          <w:rPr>
            <w:noProof/>
            <w:webHidden/>
          </w:rPr>
          <w:fldChar w:fldCharType="end"/>
        </w:r>
      </w:hyperlink>
    </w:p>
    <w:p w14:paraId="197C730E" w14:textId="1436435E" w:rsidR="00CA5448" w:rsidRDefault="00CA5448">
      <w:pPr>
        <w:pStyle w:val="TJ4"/>
        <w:rPr>
          <w:rFonts w:asciiTheme="minorHAnsi" w:hAnsiTheme="minorHAnsi" w:cstheme="minorBidi"/>
          <w:noProof/>
          <w:sz w:val="24"/>
          <w:szCs w:val="21"/>
          <w:lang w:eastAsia="en-GB" w:bidi="sa-IN"/>
        </w:rPr>
      </w:pPr>
      <w:hyperlink w:anchor="_Toc200963252" w:history="1">
        <w:r w:rsidRPr="005C1402">
          <w:rPr>
            <w:rStyle w:val="Hiperhivatkozs"/>
            <w:noProof/>
            <w:lang w:bidi="ar-SA"/>
          </w:rPr>
          <w:t>2.3.2.1. The linguistic aspect of the grapheme</w:t>
        </w:r>
        <w:r>
          <w:rPr>
            <w:noProof/>
            <w:webHidden/>
          </w:rPr>
          <w:tab/>
        </w:r>
        <w:r>
          <w:rPr>
            <w:noProof/>
            <w:webHidden/>
          </w:rPr>
          <w:fldChar w:fldCharType="begin"/>
        </w:r>
        <w:r>
          <w:rPr>
            <w:noProof/>
            <w:webHidden/>
          </w:rPr>
          <w:instrText xml:space="preserve"> PAGEREF _Toc200963252 \h </w:instrText>
        </w:r>
        <w:r>
          <w:rPr>
            <w:noProof/>
            <w:webHidden/>
          </w:rPr>
        </w:r>
        <w:r>
          <w:rPr>
            <w:noProof/>
            <w:webHidden/>
          </w:rPr>
          <w:fldChar w:fldCharType="separate"/>
        </w:r>
        <w:r>
          <w:rPr>
            <w:noProof/>
            <w:webHidden/>
          </w:rPr>
          <w:t>8</w:t>
        </w:r>
        <w:r>
          <w:rPr>
            <w:noProof/>
            <w:webHidden/>
          </w:rPr>
          <w:fldChar w:fldCharType="end"/>
        </w:r>
      </w:hyperlink>
    </w:p>
    <w:p w14:paraId="5656A458" w14:textId="5768BB93" w:rsidR="00CA5448" w:rsidRDefault="00CA5448">
      <w:pPr>
        <w:pStyle w:val="TJ4"/>
        <w:rPr>
          <w:rFonts w:asciiTheme="minorHAnsi" w:hAnsiTheme="minorHAnsi" w:cstheme="minorBidi"/>
          <w:noProof/>
          <w:sz w:val="24"/>
          <w:szCs w:val="21"/>
          <w:lang w:eastAsia="en-GB" w:bidi="sa-IN"/>
        </w:rPr>
      </w:pPr>
      <w:hyperlink w:anchor="_Toc200963253" w:history="1">
        <w:r w:rsidRPr="005C1402">
          <w:rPr>
            <w:rStyle w:val="Hiperhivatkozs"/>
            <w:noProof/>
            <w:lang w:bidi="ar-SA"/>
          </w:rPr>
          <w:t>2.3.2.2. The graphic aspect of the grapheme</w:t>
        </w:r>
        <w:r>
          <w:rPr>
            <w:noProof/>
            <w:webHidden/>
          </w:rPr>
          <w:tab/>
        </w:r>
        <w:r>
          <w:rPr>
            <w:noProof/>
            <w:webHidden/>
          </w:rPr>
          <w:fldChar w:fldCharType="begin"/>
        </w:r>
        <w:r>
          <w:rPr>
            <w:noProof/>
            <w:webHidden/>
          </w:rPr>
          <w:instrText xml:space="preserve"> PAGEREF _Toc200963253 \h </w:instrText>
        </w:r>
        <w:r>
          <w:rPr>
            <w:noProof/>
            <w:webHidden/>
          </w:rPr>
        </w:r>
        <w:r>
          <w:rPr>
            <w:noProof/>
            <w:webHidden/>
          </w:rPr>
          <w:fldChar w:fldCharType="separate"/>
        </w:r>
        <w:r>
          <w:rPr>
            <w:noProof/>
            <w:webHidden/>
          </w:rPr>
          <w:t>9</w:t>
        </w:r>
        <w:r>
          <w:rPr>
            <w:noProof/>
            <w:webHidden/>
          </w:rPr>
          <w:fldChar w:fldCharType="end"/>
        </w:r>
      </w:hyperlink>
    </w:p>
    <w:p w14:paraId="54EBB004" w14:textId="1CFBB174" w:rsidR="00CA5448" w:rsidRDefault="00CA5448">
      <w:pPr>
        <w:pStyle w:val="TJ2"/>
        <w:rPr>
          <w:rFonts w:asciiTheme="minorHAnsi" w:hAnsiTheme="minorHAnsi" w:cstheme="minorBidi"/>
          <w:noProof/>
          <w:sz w:val="24"/>
          <w:szCs w:val="21"/>
          <w:lang w:eastAsia="en-GB" w:bidi="sa-IN"/>
        </w:rPr>
      </w:pPr>
      <w:hyperlink w:anchor="_Toc200963254" w:history="1">
        <w:r w:rsidRPr="005C1402">
          <w:rPr>
            <w:rStyle w:val="Hiperhivatkozs"/>
            <w:noProof/>
          </w:rPr>
          <w:t>2.4. Graphic structures and their elements</w:t>
        </w:r>
        <w:r>
          <w:rPr>
            <w:noProof/>
            <w:webHidden/>
          </w:rPr>
          <w:tab/>
        </w:r>
        <w:r>
          <w:rPr>
            <w:noProof/>
            <w:webHidden/>
          </w:rPr>
          <w:fldChar w:fldCharType="begin"/>
        </w:r>
        <w:r>
          <w:rPr>
            <w:noProof/>
            <w:webHidden/>
          </w:rPr>
          <w:instrText xml:space="preserve"> PAGEREF _Toc200963254 \h </w:instrText>
        </w:r>
        <w:r>
          <w:rPr>
            <w:noProof/>
            <w:webHidden/>
          </w:rPr>
        </w:r>
        <w:r>
          <w:rPr>
            <w:noProof/>
            <w:webHidden/>
          </w:rPr>
          <w:fldChar w:fldCharType="separate"/>
        </w:r>
        <w:r>
          <w:rPr>
            <w:noProof/>
            <w:webHidden/>
          </w:rPr>
          <w:t>10</w:t>
        </w:r>
        <w:r>
          <w:rPr>
            <w:noProof/>
            <w:webHidden/>
          </w:rPr>
          <w:fldChar w:fldCharType="end"/>
        </w:r>
      </w:hyperlink>
    </w:p>
    <w:p w14:paraId="70CC6071" w14:textId="12100FD2" w:rsidR="00CA5448" w:rsidRDefault="00CA5448">
      <w:pPr>
        <w:pStyle w:val="TJ3"/>
        <w:rPr>
          <w:rFonts w:asciiTheme="minorHAnsi" w:hAnsiTheme="minorHAnsi" w:cstheme="minorBidi"/>
          <w:noProof/>
          <w:sz w:val="24"/>
          <w:szCs w:val="21"/>
          <w:lang w:eastAsia="en-GB" w:bidi="sa-IN"/>
        </w:rPr>
      </w:pPr>
      <w:hyperlink w:anchor="_Toc200963255" w:history="1">
        <w:r w:rsidRPr="005C1402">
          <w:rPr>
            <w:rStyle w:val="Hiperhivatkozs"/>
            <w:noProof/>
          </w:rPr>
          <w:t>2.4.1. Characters and glyphs</w:t>
        </w:r>
        <w:r>
          <w:rPr>
            <w:noProof/>
            <w:webHidden/>
          </w:rPr>
          <w:tab/>
        </w:r>
        <w:r>
          <w:rPr>
            <w:noProof/>
            <w:webHidden/>
          </w:rPr>
          <w:fldChar w:fldCharType="begin"/>
        </w:r>
        <w:r>
          <w:rPr>
            <w:noProof/>
            <w:webHidden/>
          </w:rPr>
          <w:instrText xml:space="preserve"> PAGEREF _Toc200963255 \h </w:instrText>
        </w:r>
        <w:r>
          <w:rPr>
            <w:noProof/>
            <w:webHidden/>
          </w:rPr>
        </w:r>
        <w:r>
          <w:rPr>
            <w:noProof/>
            <w:webHidden/>
          </w:rPr>
          <w:fldChar w:fldCharType="separate"/>
        </w:r>
        <w:r>
          <w:rPr>
            <w:noProof/>
            <w:webHidden/>
          </w:rPr>
          <w:t>10</w:t>
        </w:r>
        <w:r>
          <w:rPr>
            <w:noProof/>
            <w:webHidden/>
          </w:rPr>
          <w:fldChar w:fldCharType="end"/>
        </w:r>
      </w:hyperlink>
    </w:p>
    <w:p w14:paraId="6B9CCAD4" w14:textId="41AE693D" w:rsidR="00CA5448" w:rsidRDefault="00CA5448">
      <w:pPr>
        <w:pStyle w:val="TJ3"/>
        <w:rPr>
          <w:rFonts w:asciiTheme="minorHAnsi" w:hAnsiTheme="minorHAnsi" w:cstheme="minorBidi"/>
          <w:noProof/>
          <w:sz w:val="24"/>
          <w:szCs w:val="21"/>
          <w:lang w:eastAsia="en-GB" w:bidi="sa-IN"/>
        </w:rPr>
      </w:pPr>
      <w:hyperlink w:anchor="_Toc200963256" w:history="1">
        <w:r w:rsidRPr="005C1402">
          <w:rPr>
            <w:rStyle w:val="Hiperhivatkozs"/>
            <w:noProof/>
          </w:rPr>
          <w:t>2.4.2. Polygraphy</w:t>
        </w:r>
        <w:r>
          <w:rPr>
            <w:noProof/>
            <w:webHidden/>
          </w:rPr>
          <w:tab/>
        </w:r>
        <w:r>
          <w:rPr>
            <w:noProof/>
            <w:webHidden/>
          </w:rPr>
          <w:fldChar w:fldCharType="begin"/>
        </w:r>
        <w:r>
          <w:rPr>
            <w:noProof/>
            <w:webHidden/>
          </w:rPr>
          <w:instrText xml:space="preserve"> PAGEREF _Toc200963256 \h </w:instrText>
        </w:r>
        <w:r>
          <w:rPr>
            <w:noProof/>
            <w:webHidden/>
          </w:rPr>
        </w:r>
        <w:r>
          <w:rPr>
            <w:noProof/>
            <w:webHidden/>
          </w:rPr>
          <w:fldChar w:fldCharType="separate"/>
        </w:r>
        <w:r>
          <w:rPr>
            <w:noProof/>
            <w:webHidden/>
          </w:rPr>
          <w:t>11</w:t>
        </w:r>
        <w:r>
          <w:rPr>
            <w:noProof/>
            <w:webHidden/>
          </w:rPr>
          <w:fldChar w:fldCharType="end"/>
        </w:r>
      </w:hyperlink>
    </w:p>
    <w:p w14:paraId="791E29EA" w14:textId="6397F8A2" w:rsidR="00CA5448" w:rsidRDefault="00CA5448">
      <w:pPr>
        <w:pStyle w:val="TJ3"/>
        <w:rPr>
          <w:rFonts w:asciiTheme="minorHAnsi" w:hAnsiTheme="minorHAnsi" w:cstheme="minorBidi"/>
          <w:noProof/>
          <w:sz w:val="24"/>
          <w:szCs w:val="21"/>
          <w:lang w:eastAsia="en-GB" w:bidi="sa-IN"/>
        </w:rPr>
      </w:pPr>
      <w:hyperlink w:anchor="_Toc200963257" w:history="1">
        <w:r w:rsidRPr="005C1402">
          <w:rPr>
            <w:rStyle w:val="Hiperhivatkozs"/>
            <w:noProof/>
            <w:lang w:bidi="ar-SA"/>
          </w:rPr>
          <w:t>2.4.3. Glyph complexity</w:t>
        </w:r>
        <w:r>
          <w:rPr>
            <w:noProof/>
            <w:webHidden/>
          </w:rPr>
          <w:tab/>
        </w:r>
        <w:r>
          <w:rPr>
            <w:noProof/>
            <w:webHidden/>
          </w:rPr>
          <w:fldChar w:fldCharType="begin"/>
        </w:r>
        <w:r>
          <w:rPr>
            <w:noProof/>
            <w:webHidden/>
          </w:rPr>
          <w:instrText xml:space="preserve"> PAGEREF _Toc200963257 \h </w:instrText>
        </w:r>
        <w:r>
          <w:rPr>
            <w:noProof/>
            <w:webHidden/>
          </w:rPr>
        </w:r>
        <w:r>
          <w:rPr>
            <w:noProof/>
            <w:webHidden/>
          </w:rPr>
          <w:fldChar w:fldCharType="separate"/>
        </w:r>
        <w:r>
          <w:rPr>
            <w:noProof/>
            <w:webHidden/>
          </w:rPr>
          <w:t>11</w:t>
        </w:r>
        <w:r>
          <w:rPr>
            <w:noProof/>
            <w:webHidden/>
          </w:rPr>
          <w:fldChar w:fldCharType="end"/>
        </w:r>
      </w:hyperlink>
    </w:p>
    <w:p w14:paraId="153ADC70" w14:textId="6AA4C3BE" w:rsidR="00CA5448" w:rsidRDefault="00CA5448">
      <w:pPr>
        <w:pStyle w:val="TJ4"/>
        <w:rPr>
          <w:rFonts w:asciiTheme="minorHAnsi" w:hAnsiTheme="minorHAnsi" w:cstheme="minorBidi"/>
          <w:noProof/>
          <w:sz w:val="24"/>
          <w:szCs w:val="21"/>
          <w:lang w:eastAsia="en-GB" w:bidi="sa-IN"/>
        </w:rPr>
      </w:pPr>
      <w:hyperlink w:anchor="_Toc200963258" w:history="1">
        <w:r w:rsidRPr="005C1402">
          <w:rPr>
            <w:rStyle w:val="Hiperhivatkozs"/>
            <w:noProof/>
            <w:lang w:bidi="ar-SA"/>
          </w:rPr>
          <w:t>2.4.3.1. Glyph components</w:t>
        </w:r>
        <w:r>
          <w:rPr>
            <w:noProof/>
            <w:webHidden/>
          </w:rPr>
          <w:tab/>
        </w:r>
        <w:r>
          <w:rPr>
            <w:noProof/>
            <w:webHidden/>
          </w:rPr>
          <w:fldChar w:fldCharType="begin"/>
        </w:r>
        <w:r>
          <w:rPr>
            <w:noProof/>
            <w:webHidden/>
          </w:rPr>
          <w:instrText xml:space="preserve"> PAGEREF _Toc200963258 \h </w:instrText>
        </w:r>
        <w:r>
          <w:rPr>
            <w:noProof/>
            <w:webHidden/>
          </w:rPr>
        </w:r>
        <w:r>
          <w:rPr>
            <w:noProof/>
            <w:webHidden/>
          </w:rPr>
          <w:fldChar w:fldCharType="separate"/>
        </w:r>
        <w:r>
          <w:rPr>
            <w:noProof/>
            <w:webHidden/>
          </w:rPr>
          <w:t>12</w:t>
        </w:r>
        <w:r>
          <w:rPr>
            <w:noProof/>
            <w:webHidden/>
          </w:rPr>
          <w:fldChar w:fldCharType="end"/>
        </w:r>
      </w:hyperlink>
    </w:p>
    <w:p w14:paraId="0E2773DB" w14:textId="7920C466" w:rsidR="00CA5448" w:rsidRDefault="00CA5448">
      <w:pPr>
        <w:pStyle w:val="TJ4"/>
        <w:rPr>
          <w:rFonts w:asciiTheme="minorHAnsi" w:hAnsiTheme="minorHAnsi" w:cstheme="minorBidi"/>
          <w:noProof/>
          <w:sz w:val="24"/>
          <w:szCs w:val="21"/>
          <w:lang w:eastAsia="en-GB" w:bidi="sa-IN"/>
        </w:rPr>
      </w:pPr>
      <w:hyperlink w:anchor="_Toc200963259" w:history="1">
        <w:r w:rsidRPr="005C1402">
          <w:rPr>
            <w:rStyle w:val="Hiperhivatkozs"/>
            <w:noProof/>
            <w:lang w:bidi="ar-SA"/>
          </w:rPr>
          <w:t>2.4.3.2. Graphic elements</w:t>
        </w:r>
        <w:r>
          <w:rPr>
            <w:noProof/>
            <w:webHidden/>
          </w:rPr>
          <w:tab/>
        </w:r>
        <w:r>
          <w:rPr>
            <w:noProof/>
            <w:webHidden/>
          </w:rPr>
          <w:fldChar w:fldCharType="begin"/>
        </w:r>
        <w:r>
          <w:rPr>
            <w:noProof/>
            <w:webHidden/>
          </w:rPr>
          <w:instrText xml:space="preserve"> PAGEREF _Toc200963259 \h </w:instrText>
        </w:r>
        <w:r>
          <w:rPr>
            <w:noProof/>
            <w:webHidden/>
          </w:rPr>
        </w:r>
        <w:r>
          <w:rPr>
            <w:noProof/>
            <w:webHidden/>
          </w:rPr>
          <w:fldChar w:fldCharType="separate"/>
        </w:r>
        <w:r>
          <w:rPr>
            <w:noProof/>
            <w:webHidden/>
          </w:rPr>
          <w:t>12</w:t>
        </w:r>
        <w:r>
          <w:rPr>
            <w:noProof/>
            <w:webHidden/>
          </w:rPr>
          <w:fldChar w:fldCharType="end"/>
        </w:r>
      </w:hyperlink>
    </w:p>
    <w:p w14:paraId="1A9450C2" w14:textId="2FFFCEF2" w:rsidR="00CA5448" w:rsidRDefault="00CA5448">
      <w:pPr>
        <w:pStyle w:val="TJ2"/>
        <w:rPr>
          <w:rFonts w:asciiTheme="minorHAnsi" w:hAnsiTheme="minorHAnsi" w:cstheme="minorBidi"/>
          <w:noProof/>
          <w:sz w:val="24"/>
          <w:szCs w:val="21"/>
          <w:lang w:eastAsia="en-GB" w:bidi="sa-IN"/>
        </w:rPr>
      </w:pPr>
      <w:hyperlink w:anchor="_Toc200963260" w:history="1">
        <w:r w:rsidRPr="005C1402">
          <w:rPr>
            <w:rStyle w:val="Hiperhivatkozs"/>
            <w:noProof/>
            <w:lang w:bidi="ar-SA"/>
          </w:rPr>
          <w:t>2.5. Problematic cases: what is a grapheme, and what is not?</w:t>
        </w:r>
        <w:r>
          <w:rPr>
            <w:noProof/>
            <w:webHidden/>
          </w:rPr>
          <w:tab/>
        </w:r>
        <w:r>
          <w:rPr>
            <w:noProof/>
            <w:webHidden/>
          </w:rPr>
          <w:fldChar w:fldCharType="begin"/>
        </w:r>
        <w:r>
          <w:rPr>
            <w:noProof/>
            <w:webHidden/>
          </w:rPr>
          <w:instrText xml:space="preserve"> PAGEREF _Toc200963260 \h </w:instrText>
        </w:r>
        <w:r>
          <w:rPr>
            <w:noProof/>
            <w:webHidden/>
          </w:rPr>
        </w:r>
        <w:r>
          <w:rPr>
            <w:noProof/>
            <w:webHidden/>
          </w:rPr>
          <w:fldChar w:fldCharType="separate"/>
        </w:r>
        <w:r>
          <w:rPr>
            <w:noProof/>
            <w:webHidden/>
          </w:rPr>
          <w:t>13</w:t>
        </w:r>
        <w:r>
          <w:rPr>
            <w:noProof/>
            <w:webHidden/>
          </w:rPr>
          <w:fldChar w:fldCharType="end"/>
        </w:r>
      </w:hyperlink>
    </w:p>
    <w:p w14:paraId="46EADECB" w14:textId="039FC064" w:rsidR="00CA5448" w:rsidRDefault="00CA5448">
      <w:pPr>
        <w:pStyle w:val="TJ3"/>
        <w:rPr>
          <w:rFonts w:asciiTheme="minorHAnsi" w:hAnsiTheme="minorHAnsi" w:cstheme="minorBidi"/>
          <w:noProof/>
          <w:sz w:val="24"/>
          <w:szCs w:val="21"/>
          <w:lang w:eastAsia="en-GB" w:bidi="sa-IN"/>
        </w:rPr>
      </w:pPr>
      <w:hyperlink w:anchor="_Toc200963261" w:history="1">
        <w:r w:rsidRPr="005C1402">
          <w:rPr>
            <w:rStyle w:val="Hiperhivatkozs"/>
            <w:noProof/>
            <w:lang w:bidi="ar-SA"/>
          </w:rPr>
          <w:t>2.5.1.</w:t>
        </w:r>
        <w:r w:rsidRPr="005C1402">
          <w:rPr>
            <w:rStyle w:val="Hiperhivatkozs"/>
            <w:i/>
            <w:iCs/>
            <w:noProof/>
            <w:lang w:bidi="ar-SA"/>
          </w:rPr>
          <w:t xml:space="preserve"> Diacritical marks</w:t>
        </w:r>
        <w:r>
          <w:rPr>
            <w:noProof/>
            <w:webHidden/>
          </w:rPr>
          <w:tab/>
        </w:r>
        <w:r>
          <w:rPr>
            <w:noProof/>
            <w:webHidden/>
          </w:rPr>
          <w:fldChar w:fldCharType="begin"/>
        </w:r>
        <w:r>
          <w:rPr>
            <w:noProof/>
            <w:webHidden/>
          </w:rPr>
          <w:instrText xml:space="preserve"> PAGEREF _Toc200963261 \h </w:instrText>
        </w:r>
        <w:r>
          <w:rPr>
            <w:noProof/>
            <w:webHidden/>
          </w:rPr>
        </w:r>
        <w:r>
          <w:rPr>
            <w:noProof/>
            <w:webHidden/>
          </w:rPr>
          <w:fldChar w:fldCharType="separate"/>
        </w:r>
        <w:r>
          <w:rPr>
            <w:noProof/>
            <w:webHidden/>
          </w:rPr>
          <w:t>13</w:t>
        </w:r>
        <w:r>
          <w:rPr>
            <w:noProof/>
            <w:webHidden/>
          </w:rPr>
          <w:fldChar w:fldCharType="end"/>
        </w:r>
      </w:hyperlink>
    </w:p>
    <w:p w14:paraId="3B71F40D" w14:textId="1B506D44" w:rsidR="00CA5448" w:rsidRDefault="00CA5448">
      <w:pPr>
        <w:pStyle w:val="TJ3"/>
        <w:rPr>
          <w:rFonts w:asciiTheme="minorHAnsi" w:hAnsiTheme="minorHAnsi" w:cstheme="minorBidi"/>
          <w:noProof/>
          <w:sz w:val="24"/>
          <w:szCs w:val="21"/>
          <w:lang w:eastAsia="en-GB" w:bidi="sa-IN"/>
        </w:rPr>
      </w:pPr>
      <w:hyperlink w:anchor="_Toc200963262" w:history="1">
        <w:r w:rsidRPr="005C1402">
          <w:rPr>
            <w:rStyle w:val="Hiperhivatkozs"/>
            <w:noProof/>
            <w:lang w:bidi="ar-SA"/>
          </w:rPr>
          <w:t>2.5.2.</w:t>
        </w:r>
        <w:r w:rsidRPr="005C1402">
          <w:rPr>
            <w:rStyle w:val="Hiperhivatkozs"/>
            <w:i/>
            <w:iCs/>
            <w:noProof/>
            <w:lang w:bidi="ar-SA"/>
          </w:rPr>
          <w:t xml:space="preserve"> Virāma</w:t>
        </w:r>
        <w:r>
          <w:rPr>
            <w:noProof/>
            <w:webHidden/>
          </w:rPr>
          <w:tab/>
        </w:r>
        <w:r>
          <w:rPr>
            <w:noProof/>
            <w:webHidden/>
          </w:rPr>
          <w:fldChar w:fldCharType="begin"/>
        </w:r>
        <w:r>
          <w:rPr>
            <w:noProof/>
            <w:webHidden/>
          </w:rPr>
          <w:instrText xml:space="preserve"> PAGEREF _Toc200963262 \h </w:instrText>
        </w:r>
        <w:r>
          <w:rPr>
            <w:noProof/>
            <w:webHidden/>
          </w:rPr>
        </w:r>
        <w:r>
          <w:rPr>
            <w:noProof/>
            <w:webHidden/>
          </w:rPr>
          <w:fldChar w:fldCharType="separate"/>
        </w:r>
        <w:r>
          <w:rPr>
            <w:noProof/>
            <w:webHidden/>
          </w:rPr>
          <w:t>13</w:t>
        </w:r>
        <w:r>
          <w:rPr>
            <w:noProof/>
            <w:webHidden/>
          </w:rPr>
          <w:fldChar w:fldCharType="end"/>
        </w:r>
      </w:hyperlink>
    </w:p>
    <w:p w14:paraId="1DAC7C8D" w14:textId="00CC3D81" w:rsidR="00CA5448" w:rsidRDefault="00CA5448">
      <w:pPr>
        <w:pStyle w:val="TJ3"/>
        <w:rPr>
          <w:rFonts w:asciiTheme="minorHAnsi" w:hAnsiTheme="minorHAnsi" w:cstheme="minorBidi"/>
          <w:noProof/>
          <w:sz w:val="24"/>
          <w:szCs w:val="21"/>
          <w:lang w:eastAsia="en-GB" w:bidi="sa-IN"/>
        </w:rPr>
      </w:pPr>
      <w:hyperlink w:anchor="_Toc200963263" w:history="1">
        <w:r w:rsidRPr="005C1402">
          <w:rPr>
            <w:rStyle w:val="Hiperhivatkozs"/>
            <w:noProof/>
            <w:lang w:bidi="ar-SA"/>
          </w:rPr>
          <w:t>2.5.3.</w:t>
        </w:r>
        <w:r w:rsidRPr="005C1402">
          <w:rPr>
            <w:rStyle w:val="Hiperhivatkozs"/>
            <w:i/>
            <w:iCs/>
            <w:noProof/>
            <w:lang w:bidi="ar-SA"/>
          </w:rPr>
          <w:t xml:space="preserve"> Anusvāra</w:t>
        </w:r>
        <w:r w:rsidRPr="005C1402">
          <w:rPr>
            <w:rStyle w:val="Hiperhivatkozs"/>
            <w:noProof/>
            <w:lang w:bidi="ar-SA"/>
          </w:rPr>
          <w:t xml:space="preserve"> relatives</w:t>
        </w:r>
        <w:r>
          <w:rPr>
            <w:noProof/>
            <w:webHidden/>
          </w:rPr>
          <w:tab/>
        </w:r>
        <w:r>
          <w:rPr>
            <w:noProof/>
            <w:webHidden/>
          </w:rPr>
          <w:fldChar w:fldCharType="begin"/>
        </w:r>
        <w:r>
          <w:rPr>
            <w:noProof/>
            <w:webHidden/>
          </w:rPr>
          <w:instrText xml:space="preserve"> PAGEREF _Toc200963263 \h </w:instrText>
        </w:r>
        <w:r>
          <w:rPr>
            <w:noProof/>
            <w:webHidden/>
          </w:rPr>
        </w:r>
        <w:r>
          <w:rPr>
            <w:noProof/>
            <w:webHidden/>
          </w:rPr>
          <w:fldChar w:fldCharType="separate"/>
        </w:r>
        <w:r>
          <w:rPr>
            <w:noProof/>
            <w:webHidden/>
          </w:rPr>
          <w:t>14</w:t>
        </w:r>
        <w:r>
          <w:rPr>
            <w:noProof/>
            <w:webHidden/>
          </w:rPr>
          <w:fldChar w:fldCharType="end"/>
        </w:r>
      </w:hyperlink>
    </w:p>
    <w:p w14:paraId="7D33014A" w14:textId="226BB2A0" w:rsidR="00CA5448" w:rsidRDefault="00CA5448">
      <w:pPr>
        <w:pStyle w:val="TJ3"/>
        <w:rPr>
          <w:rFonts w:asciiTheme="minorHAnsi" w:hAnsiTheme="minorHAnsi" w:cstheme="minorBidi"/>
          <w:noProof/>
          <w:sz w:val="24"/>
          <w:szCs w:val="21"/>
          <w:lang w:eastAsia="en-GB" w:bidi="sa-IN"/>
        </w:rPr>
      </w:pPr>
      <w:hyperlink w:anchor="_Toc200963264" w:history="1">
        <w:r w:rsidRPr="005C1402">
          <w:rPr>
            <w:rStyle w:val="Hiperhivatkozs"/>
            <w:noProof/>
            <w:lang w:bidi="ar-SA"/>
          </w:rPr>
          <w:t>2.5.4. Other signs of vague status</w:t>
        </w:r>
        <w:r>
          <w:rPr>
            <w:noProof/>
            <w:webHidden/>
          </w:rPr>
          <w:tab/>
        </w:r>
        <w:r>
          <w:rPr>
            <w:noProof/>
            <w:webHidden/>
          </w:rPr>
          <w:fldChar w:fldCharType="begin"/>
        </w:r>
        <w:r>
          <w:rPr>
            <w:noProof/>
            <w:webHidden/>
          </w:rPr>
          <w:instrText xml:space="preserve"> PAGEREF _Toc200963264 \h </w:instrText>
        </w:r>
        <w:r>
          <w:rPr>
            <w:noProof/>
            <w:webHidden/>
          </w:rPr>
        </w:r>
        <w:r>
          <w:rPr>
            <w:noProof/>
            <w:webHidden/>
          </w:rPr>
          <w:fldChar w:fldCharType="separate"/>
        </w:r>
        <w:r>
          <w:rPr>
            <w:noProof/>
            <w:webHidden/>
          </w:rPr>
          <w:t>14</w:t>
        </w:r>
        <w:r>
          <w:rPr>
            <w:noProof/>
            <w:webHidden/>
          </w:rPr>
          <w:fldChar w:fldCharType="end"/>
        </w:r>
      </w:hyperlink>
    </w:p>
    <w:p w14:paraId="28C56C72" w14:textId="452DE64B" w:rsidR="00CA5448" w:rsidRDefault="00CA5448">
      <w:pPr>
        <w:pStyle w:val="TJ3"/>
        <w:rPr>
          <w:rFonts w:asciiTheme="minorHAnsi" w:hAnsiTheme="minorHAnsi" w:cstheme="minorBidi"/>
          <w:noProof/>
          <w:sz w:val="24"/>
          <w:szCs w:val="21"/>
          <w:lang w:eastAsia="en-GB" w:bidi="sa-IN"/>
        </w:rPr>
      </w:pPr>
      <w:hyperlink w:anchor="_Toc200963265" w:history="1">
        <w:r w:rsidRPr="005C1402">
          <w:rPr>
            <w:rStyle w:val="Hiperhivatkozs"/>
            <w:noProof/>
            <w:lang w:bidi="ar-SA"/>
          </w:rPr>
          <w:t>2.5.5. Non-phonographic signs</w:t>
        </w:r>
        <w:r>
          <w:rPr>
            <w:noProof/>
            <w:webHidden/>
          </w:rPr>
          <w:tab/>
        </w:r>
        <w:r>
          <w:rPr>
            <w:noProof/>
            <w:webHidden/>
          </w:rPr>
          <w:fldChar w:fldCharType="begin"/>
        </w:r>
        <w:r>
          <w:rPr>
            <w:noProof/>
            <w:webHidden/>
          </w:rPr>
          <w:instrText xml:space="preserve"> PAGEREF _Toc200963265 \h </w:instrText>
        </w:r>
        <w:r>
          <w:rPr>
            <w:noProof/>
            <w:webHidden/>
          </w:rPr>
        </w:r>
        <w:r>
          <w:rPr>
            <w:noProof/>
            <w:webHidden/>
          </w:rPr>
          <w:fldChar w:fldCharType="separate"/>
        </w:r>
        <w:r>
          <w:rPr>
            <w:noProof/>
            <w:webHidden/>
          </w:rPr>
          <w:t>15</w:t>
        </w:r>
        <w:r>
          <w:rPr>
            <w:noProof/>
            <w:webHidden/>
          </w:rPr>
          <w:fldChar w:fldCharType="end"/>
        </w:r>
      </w:hyperlink>
    </w:p>
    <w:p w14:paraId="38DE0EEE" w14:textId="516E8D0E" w:rsidR="00CA5448" w:rsidRDefault="00CA5448">
      <w:pPr>
        <w:pStyle w:val="TJ3"/>
        <w:rPr>
          <w:rFonts w:asciiTheme="minorHAnsi" w:hAnsiTheme="minorHAnsi" w:cstheme="minorBidi"/>
          <w:noProof/>
          <w:sz w:val="24"/>
          <w:szCs w:val="21"/>
          <w:lang w:eastAsia="en-GB" w:bidi="sa-IN"/>
        </w:rPr>
      </w:pPr>
      <w:hyperlink w:anchor="_Toc200963266" w:history="1">
        <w:r w:rsidRPr="005C1402">
          <w:rPr>
            <w:rStyle w:val="Hiperhivatkozs"/>
            <w:noProof/>
            <w:lang w:bidi="ar-SA"/>
          </w:rPr>
          <w:t>2.5.6. Fuzzy segmentation</w:t>
        </w:r>
        <w:r>
          <w:rPr>
            <w:noProof/>
            <w:webHidden/>
          </w:rPr>
          <w:tab/>
        </w:r>
        <w:r>
          <w:rPr>
            <w:noProof/>
            <w:webHidden/>
          </w:rPr>
          <w:fldChar w:fldCharType="begin"/>
        </w:r>
        <w:r>
          <w:rPr>
            <w:noProof/>
            <w:webHidden/>
          </w:rPr>
          <w:instrText xml:space="preserve"> PAGEREF _Toc200963266 \h </w:instrText>
        </w:r>
        <w:r>
          <w:rPr>
            <w:noProof/>
            <w:webHidden/>
          </w:rPr>
        </w:r>
        <w:r>
          <w:rPr>
            <w:noProof/>
            <w:webHidden/>
          </w:rPr>
          <w:fldChar w:fldCharType="separate"/>
        </w:r>
        <w:r>
          <w:rPr>
            <w:noProof/>
            <w:webHidden/>
          </w:rPr>
          <w:t>15</w:t>
        </w:r>
        <w:r>
          <w:rPr>
            <w:noProof/>
            <w:webHidden/>
          </w:rPr>
          <w:fldChar w:fldCharType="end"/>
        </w:r>
      </w:hyperlink>
    </w:p>
    <w:p w14:paraId="39EF9F2C" w14:textId="69C60561" w:rsidR="00CA5448" w:rsidRDefault="00CA5448">
      <w:pPr>
        <w:pStyle w:val="TJ2"/>
        <w:rPr>
          <w:rFonts w:asciiTheme="minorHAnsi" w:hAnsiTheme="minorHAnsi" w:cstheme="minorBidi"/>
          <w:noProof/>
          <w:sz w:val="24"/>
          <w:szCs w:val="21"/>
          <w:lang w:eastAsia="en-GB" w:bidi="sa-IN"/>
        </w:rPr>
      </w:pPr>
      <w:hyperlink w:anchor="_Toc200963267" w:history="1">
        <w:r w:rsidRPr="005C1402">
          <w:rPr>
            <w:rStyle w:val="Hiperhivatkozs"/>
            <w:noProof/>
            <w:lang w:bidi="ar-SA"/>
          </w:rPr>
          <w:t>2.6. Revisiting allography</w:t>
        </w:r>
        <w:r>
          <w:rPr>
            <w:noProof/>
            <w:webHidden/>
          </w:rPr>
          <w:tab/>
        </w:r>
        <w:r>
          <w:rPr>
            <w:noProof/>
            <w:webHidden/>
          </w:rPr>
          <w:fldChar w:fldCharType="begin"/>
        </w:r>
        <w:r>
          <w:rPr>
            <w:noProof/>
            <w:webHidden/>
          </w:rPr>
          <w:instrText xml:space="preserve"> PAGEREF _Toc200963267 \h </w:instrText>
        </w:r>
        <w:r>
          <w:rPr>
            <w:noProof/>
            <w:webHidden/>
          </w:rPr>
        </w:r>
        <w:r>
          <w:rPr>
            <w:noProof/>
            <w:webHidden/>
          </w:rPr>
          <w:fldChar w:fldCharType="separate"/>
        </w:r>
        <w:r>
          <w:rPr>
            <w:noProof/>
            <w:webHidden/>
          </w:rPr>
          <w:t>16</w:t>
        </w:r>
        <w:r>
          <w:rPr>
            <w:noProof/>
            <w:webHidden/>
          </w:rPr>
          <w:fldChar w:fldCharType="end"/>
        </w:r>
      </w:hyperlink>
    </w:p>
    <w:p w14:paraId="38BA253D" w14:textId="7F0D875B" w:rsidR="00CA5448" w:rsidRDefault="00CA5448">
      <w:pPr>
        <w:pStyle w:val="TJ1"/>
        <w:rPr>
          <w:rFonts w:asciiTheme="minorHAnsi" w:hAnsiTheme="minorHAnsi" w:cstheme="minorBidi"/>
          <w:b w:val="0"/>
          <w:noProof/>
          <w:sz w:val="24"/>
          <w:szCs w:val="21"/>
          <w:lang w:eastAsia="en-GB" w:bidi="sa-IN"/>
        </w:rPr>
      </w:pPr>
      <w:hyperlink w:anchor="_Toc200963268" w:history="1">
        <w:r w:rsidRPr="005C1402">
          <w:rPr>
            <w:rStyle w:val="Hiperhivatkozs"/>
            <w:noProof/>
            <w:lang w:bidi="ar-SA"/>
          </w:rPr>
          <w:t>3. General principles of the DHARMA transliteration scheme</w:t>
        </w:r>
        <w:r>
          <w:rPr>
            <w:noProof/>
            <w:webHidden/>
          </w:rPr>
          <w:tab/>
        </w:r>
        <w:r>
          <w:rPr>
            <w:noProof/>
            <w:webHidden/>
          </w:rPr>
          <w:fldChar w:fldCharType="begin"/>
        </w:r>
        <w:r>
          <w:rPr>
            <w:noProof/>
            <w:webHidden/>
          </w:rPr>
          <w:instrText xml:space="preserve"> PAGEREF _Toc200963268 \h </w:instrText>
        </w:r>
        <w:r>
          <w:rPr>
            <w:noProof/>
            <w:webHidden/>
          </w:rPr>
        </w:r>
        <w:r>
          <w:rPr>
            <w:noProof/>
            <w:webHidden/>
          </w:rPr>
          <w:fldChar w:fldCharType="separate"/>
        </w:r>
        <w:r>
          <w:rPr>
            <w:noProof/>
            <w:webHidden/>
          </w:rPr>
          <w:t>18</w:t>
        </w:r>
        <w:r>
          <w:rPr>
            <w:noProof/>
            <w:webHidden/>
          </w:rPr>
          <w:fldChar w:fldCharType="end"/>
        </w:r>
      </w:hyperlink>
    </w:p>
    <w:p w14:paraId="58336F39" w14:textId="5D96A53A" w:rsidR="00CA5448" w:rsidRDefault="00CA5448">
      <w:pPr>
        <w:pStyle w:val="TJ2"/>
        <w:rPr>
          <w:rFonts w:asciiTheme="minorHAnsi" w:hAnsiTheme="minorHAnsi" w:cstheme="minorBidi"/>
          <w:noProof/>
          <w:sz w:val="24"/>
          <w:szCs w:val="21"/>
          <w:lang w:eastAsia="en-GB" w:bidi="sa-IN"/>
        </w:rPr>
      </w:pPr>
      <w:hyperlink w:anchor="_Toc200963269" w:history="1">
        <w:r w:rsidRPr="005C1402">
          <w:rPr>
            <w:rStyle w:val="Hiperhivatkozs"/>
            <w:noProof/>
            <w:lang w:bidi="ar-SA"/>
          </w:rPr>
          <w:t>3.1. DHARMA transliteration, ISO-15919 and IAST</w:t>
        </w:r>
        <w:r>
          <w:rPr>
            <w:noProof/>
            <w:webHidden/>
          </w:rPr>
          <w:tab/>
        </w:r>
        <w:r>
          <w:rPr>
            <w:noProof/>
            <w:webHidden/>
          </w:rPr>
          <w:fldChar w:fldCharType="begin"/>
        </w:r>
        <w:r>
          <w:rPr>
            <w:noProof/>
            <w:webHidden/>
          </w:rPr>
          <w:instrText xml:space="preserve"> PAGEREF _Toc200963269 \h </w:instrText>
        </w:r>
        <w:r>
          <w:rPr>
            <w:noProof/>
            <w:webHidden/>
          </w:rPr>
        </w:r>
        <w:r>
          <w:rPr>
            <w:noProof/>
            <w:webHidden/>
          </w:rPr>
          <w:fldChar w:fldCharType="separate"/>
        </w:r>
        <w:r>
          <w:rPr>
            <w:noProof/>
            <w:webHidden/>
          </w:rPr>
          <w:t>18</w:t>
        </w:r>
        <w:r>
          <w:rPr>
            <w:noProof/>
            <w:webHidden/>
          </w:rPr>
          <w:fldChar w:fldCharType="end"/>
        </w:r>
      </w:hyperlink>
    </w:p>
    <w:p w14:paraId="483EC449" w14:textId="72FC06CA" w:rsidR="00CA5448" w:rsidRDefault="00CA5448">
      <w:pPr>
        <w:pStyle w:val="TJ2"/>
        <w:rPr>
          <w:rFonts w:asciiTheme="minorHAnsi" w:hAnsiTheme="minorHAnsi" w:cstheme="minorBidi"/>
          <w:noProof/>
          <w:sz w:val="24"/>
          <w:szCs w:val="21"/>
          <w:lang w:eastAsia="en-GB" w:bidi="sa-IN"/>
        </w:rPr>
      </w:pPr>
      <w:hyperlink w:anchor="_Toc200963270" w:history="1">
        <w:r w:rsidRPr="005C1402">
          <w:rPr>
            <w:rStyle w:val="Hiperhivatkozs"/>
            <w:noProof/>
            <w:lang w:bidi="ar-SA"/>
          </w:rPr>
          <w:t>3.2. Case sensitivity</w:t>
        </w:r>
        <w:r>
          <w:rPr>
            <w:noProof/>
            <w:webHidden/>
          </w:rPr>
          <w:tab/>
        </w:r>
        <w:r>
          <w:rPr>
            <w:noProof/>
            <w:webHidden/>
          </w:rPr>
          <w:fldChar w:fldCharType="begin"/>
        </w:r>
        <w:r>
          <w:rPr>
            <w:noProof/>
            <w:webHidden/>
          </w:rPr>
          <w:instrText xml:space="preserve"> PAGEREF _Toc200963270 \h </w:instrText>
        </w:r>
        <w:r>
          <w:rPr>
            <w:noProof/>
            <w:webHidden/>
          </w:rPr>
        </w:r>
        <w:r>
          <w:rPr>
            <w:noProof/>
            <w:webHidden/>
          </w:rPr>
          <w:fldChar w:fldCharType="separate"/>
        </w:r>
        <w:r>
          <w:rPr>
            <w:noProof/>
            <w:webHidden/>
          </w:rPr>
          <w:t>18</w:t>
        </w:r>
        <w:r>
          <w:rPr>
            <w:noProof/>
            <w:webHidden/>
          </w:rPr>
          <w:fldChar w:fldCharType="end"/>
        </w:r>
      </w:hyperlink>
    </w:p>
    <w:p w14:paraId="2AFCF18C" w14:textId="33FB8632" w:rsidR="00CA5448" w:rsidRDefault="00CA5448">
      <w:pPr>
        <w:pStyle w:val="TJ3"/>
        <w:rPr>
          <w:rFonts w:asciiTheme="minorHAnsi" w:hAnsiTheme="minorHAnsi" w:cstheme="minorBidi"/>
          <w:noProof/>
          <w:sz w:val="24"/>
          <w:szCs w:val="21"/>
          <w:lang w:eastAsia="en-GB" w:bidi="sa-IN"/>
        </w:rPr>
      </w:pPr>
      <w:hyperlink w:anchor="_Toc200963271" w:history="1">
        <w:r w:rsidRPr="005C1402">
          <w:rPr>
            <w:rStyle w:val="Hiperhivatkozs"/>
            <w:noProof/>
            <w:lang w:bidi="ar-SA"/>
          </w:rPr>
          <w:t>3.2.1. A note on the use of uppercase for independent vowels and consonants</w:t>
        </w:r>
        <w:r>
          <w:rPr>
            <w:noProof/>
            <w:webHidden/>
          </w:rPr>
          <w:tab/>
        </w:r>
        <w:r>
          <w:rPr>
            <w:noProof/>
            <w:webHidden/>
          </w:rPr>
          <w:fldChar w:fldCharType="begin"/>
        </w:r>
        <w:r>
          <w:rPr>
            <w:noProof/>
            <w:webHidden/>
          </w:rPr>
          <w:instrText xml:space="preserve"> PAGEREF _Toc200963271 \h </w:instrText>
        </w:r>
        <w:r>
          <w:rPr>
            <w:noProof/>
            <w:webHidden/>
          </w:rPr>
        </w:r>
        <w:r>
          <w:rPr>
            <w:noProof/>
            <w:webHidden/>
          </w:rPr>
          <w:fldChar w:fldCharType="separate"/>
        </w:r>
        <w:r>
          <w:rPr>
            <w:noProof/>
            <w:webHidden/>
          </w:rPr>
          <w:t>18</w:t>
        </w:r>
        <w:r>
          <w:rPr>
            <w:noProof/>
            <w:webHidden/>
          </w:rPr>
          <w:fldChar w:fldCharType="end"/>
        </w:r>
      </w:hyperlink>
    </w:p>
    <w:p w14:paraId="44CB5735" w14:textId="7002A787" w:rsidR="00CA5448" w:rsidRDefault="00CA5448">
      <w:pPr>
        <w:pStyle w:val="TJ2"/>
        <w:rPr>
          <w:rFonts w:asciiTheme="minorHAnsi" w:hAnsiTheme="minorHAnsi" w:cstheme="minorBidi"/>
          <w:noProof/>
          <w:sz w:val="24"/>
          <w:szCs w:val="21"/>
          <w:lang w:eastAsia="en-GB" w:bidi="sa-IN"/>
        </w:rPr>
      </w:pPr>
      <w:hyperlink w:anchor="_Toc200963272" w:history="1">
        <w:r w:rsidRPr="005C1402">
          <w:rPr>
            <w:rStyle w:val="Hiperhivatkozs"/>
            <w:noProof/>
            <w:lang w:bidi="ar-SA"/>
          </w:rPr>
          <w:t>3.3. Transliteration and graphemes</w:t>
        </w:r>
        <w:r>
          <w:rPr>
            <w:noProof/>
            <w:webHidden/>
          </w:rPr>
          <w:tab/>
        </w:r>
        <w:r>
          <w:rPr>
            <w:noProof/>
            <w:webHidden/>
          </w:rPr>
          <w:fldChar w:fldCharType="begin"/>
        </w:r>
        <w:r>
          <w:rPr>
            <w:noProof/>
            <w:webHidden/>
          </w:rPr>
          <w:instrText xml:space="preserve"> PAGEREF _Toc200963272 \h </w:instrText>
        </w:r>
        <w:r>
          <w:rPr>
            <w:noProof/>
            <w:webHidden/>
          </w:rPr>
        </w:r>
        <w:r>
          <w:rPr>
            <w:noProof/>
            <w:webHidden/>
          </w:rPr>
          <w:fldChar w:fldCharType="separate"/>
        </w:r>
        <w:r>
          <w:rPr>
            <w:noProof/>
            <w:webHidden/>
          </w:rPr>
          <w:t>19</w:t>
        </w:r>
        <w:r>
          <w:rPr>
            <w:noProof/>
            <w:webHidden/>
          </w:rPr>
          <w:fldChar w:fldCharType="end"/>
        </w:r>
      </w:hyperlink>
    </w:p>
    <w:p w14:paraId="47DD73CE" w14:textId="6433FD40" w:rsidR="00CA5448" w:rsidRDefault="00CA5448">
      <w:pPr>
        <w:pStyle w:val="TJ2"/>
        <w:rPr>
          <w:rFonts w:asciiTheme="minorHAnsi" w:hAnsiTheme="minorHAnsi" w:cstheme="minorBidi"/>
          <w:noProof/>
          <w:sz w:val="24"/>
          <w:szCs w:val="21"/>
          <w:lang w:eastAsia="en-GB" w:bidi="sa-IN"/>
        </w:rPr>
      </w:pPr>
      <w:hyperlink w:anchor="_Toc200963273" w:history="1">
        <w:r w:rsidRPr="005C1402">
          <w:rPr>
            <w:rStyle w:val="Hiperhivatkozs"/>
            <w:noProof/>
            <w:lang w:bidi="ar-SA"/>
          </w:rPr>
          <w:t>3.4. Transliteration and allographs</w:t>
        </w:r>
        <w:r>
          <w:rPr>
            <w:noProof/>
            <w:webHidden/>
          </w:rPr>
          <w:tab/>
        </w:r>
        <w:r>
          <w:rPr>
            <w:noProof/>
            <w:webHidden/>
          </w:rPr>
          <w:fldChar w:fldCharType="begin"/>
        </w:r>
        <w:r>
          <w:rPr>
            <w:noProof/>
            <w:webHidden/>
          </w:rPr>
          <w:instrText xml:space="preserve"> PAGEREF _Toc200963273 \h </w:instrText>
        </w:r>
        <w:r>
          <w:rPr>
            <w:noProof/>
            <w:webHidden/>
          </w:rPr>
        </w:r>
        <w:r>
          <w:rPr>
            <w:noProof/>
            <w:webHidden/>
          </w:rPr>
          <w:fldChar w:fldCharType="separate"/>
        </w:r>
        <w:r>
          <w:rPr>
            <w:noProof/>
            <w:webHidden/>
          </w:rPr>
          <w:t>19</w:t>
        </w:r>
        <w:r>
          <w:rPr>
            <w:noProof/>
            <w:webHidden/>
          </w:rPr>
          <w:fldChar w:fldCharType="end"/>
        </w:r>
      </w:hyperlink>
    </w:p>
    <w:p w14:paraId="15B080BA" w14:textId="1D0762F2" w:rsidR="00CA5448" w:rsidRDefault="00CA5448">
      <w:pPr>
        <w:pStyle w:val="TJ2"/>
        <w:rPr>
          <w:rFonts w:asciiTheme="minorHAnsi" w:hAnsiTheme="minorHAnsi" w:cstheme="minorBidi"/>
          <w:noProof/>
          <w:sz w:val="24"/>
          <w:szCs w:val="21"/>
          <w:lang w:eastAsia="en-GB" w:bidi="sa-IN"/>
        </w:rPr>
      </w:pPr>
      <w:hyperlink w:anchor="_Toc200963274" w:history="1">
        <w:r w:rsidRPr="005C1402">
          <w:rPr>
            <w:rStyle w:val="Hiperhivatkozs"/>
            <w:noProof/>
            <w:lang w:bidi="ar-SA"/>
          </w:rPr>
          <w:t>3.5. Strict transliteration</w:t>
        </w:r>
        <w:r>
          <w:rPr>
            <w:noProof/>
            <w:webHidden/>
          </w:rPr>
          <w:tab/>
        </w:r>
        <w:r>
          <w:rPr>
            <w:noProof/>
            <w:webHidden/>
          </w:rPr>
          <w:fldChar w:fldCharType="begin"/>
        </w:r>
        <w:r>
          <w:rPr>
            <w:noProof/>
            <w:webHidden/>
          </w:rPr>
          <w:instrText xml:space="preserve"> PAGEREF _Toc200963274 \h </w:instrText>
        </w:r>
        <w:r>
          <w:rPr>
            <w:noProof/>
            <w:webHidden/>
          </w:rPr>
        </w:r>
        <w:r>
          <w:rPr>
            <w:noProof/>
            <w:webHidden/>
          </w:rPr>
          <w:fldChar w:fldCharType="separate"/>
        </w:r>
        <w:r>
          <w:rPr>
            <w:noProof/>
            <w:webHidden/>
          </w:rPr>
          <w:t>19</w:t>
        </w:r>
        <w:r>
          <w:rPr>
            <w:noProof/>
            <w:webHidden/>
          </w:rPr>
          <w:fldChar w:fldCharType="end"/>
        </w:r>
      </w:hyperlink>
    </w:p>
    <w:p w14:paraId="2F471FB6" w14:textId="1FE8B625" w:rsidR="00CA5448" w:rsidRDefault="00CA5448">
      <w:pPr>
        <w:pStyle w:val="TJ2"/>
        <w:rPr>
          <w:rFonts w:asciiTheme="minorHAnsi" w:hAnsiTheme="minorHAnsi" w:cstheme="minorBidi"/>
          <w:noProof/>
          <w:sz w:val="24"/>
          <w:szCs w:val="21"/>
          <w:lang w:eastAsia="en-GB" w:bidi="sa-IN"/>
        </w:rPr>
      </w:pPr>
      <w:hyperlink w:anchor="_Toc200963275" w:history="1">
        <w:r w:rsidRPr="005C1402">
          <w:rPr>
            <w:rStyle w:val="Hiperhivatkozs"/>
            <w:noProof/>
            <w:lang w:bidi="ar-SA"/>
          </w:rPr>
          <w:t>3.6. Loose transliteration</w:t>
        </w:r>
        <w:r>
          <w:rPr>
            <w:noProof/>
            <w:webHidden/>
          </w:rPr>
          <w:tab/>
        </w:r>
        <w:r>
          <w:rPr>
            <w:noProof/>
            <w:webHidden/>
          </w:rPr>
          <w:fldChar w:fldCharType="begin"/>
        </w:r>
        <w:r>
          <w:rPr>
            <w:noProof/>
            <w:webHidden/>
          </w:rPr>
          <w:instrText xml:space="preserve"> PAGEREF _Toc200963275 \h </w:instrText>
        </w:r>
        <w:r>
          <w:rPr>
            <w:noProof/>
            <w:webHidden/>
          </w:rPr>
        </w:r>
        <w:r>
          <w:rPr>
            <w:noProof/>
            <w:webHidden/>
          </w:rPr>
          <w:fldChar w:fldCharType="separate"/>
        </w:r>
        <w:r>
          <w:rPr>
            <w:noProof/>
            <w:webHidden/>
          </w:rPr>
          <w:t>20</w:t>
        </w:r>
        <w:r>
          <w:rPr>
            <w:noProof/>
            <w:webHidden/>
          </w:rPr>
          <w:fldChar w:fldCharType="end"/>
        </w:r>
      </w:hyperlink>
    </w:p>
    <w:p w14:paraId="56984F2D" w14:textId="4E3E7C57" w:rsidR="00CA5448" w:rsidRDefault="00CA5448">
      <w:pPr>
        <w:pStyle w:val="TJ2"/>
        <w:rPr>
          <w:rFonts w:asciiTheme="minorHAnsi" w:hAnsiTheme="minorHAnsi" w:cstheme="minorBidi"/>
          <w:noProof/>
          <w:sz w:val="24"/>
          <w:szCs w:val="21"/>
          <w:lang w:eastAsia="en-GB" w:bidi="sa-IN"/>
        </w:rPr>
      </w:pPr>
      <w:hyperlink w:anchor="_Toc200963276" w:history="1">
        <w:r w:rsidRPr="005C1402">
          <w:rPr>
            <w:rStyle w:val="Hiperhivatkozs"/>
            <w:noProof/>
            <w:lang w:bidi="ar-SA"/>
          </w:rPr>
          <w:t>3.7. Disambiguation</w:t>
        </w:r>
        <w:r>
          <w:rPr>
            <w:noProof/>
            <w:webHidden/>
          </w:rPr>
          <w:tab/>
        </w:r>
        <w:r>
          <w:rPr>
            <w:noProof/>
            <w:webHidden/>
          </w:rPr>
          <w:fldChar w:fldCharType="begin"/>
        </w:r>
        <w:r>
          <w:rPr>
            <w:noProof/>
            <w:webHidden/>
          </w:rPr>
          <w:instrText xml:space="preserve"> PAGEREF _Toc200963276 \h </w:instrText>
        </w:r>
        <w:r>
          <w:rPr>
            <w:noProof/>
            <w:webHidden/>
          </w:rPr>
        </w:r>
        <w:r>
          <w:rPr>
            <w:noProof/>
            <w:webHidden/>
          </w:rPr>
          <w:fldChar w:fldCharType="separate"/>
        </w:r>
        <w:r>
          <w:rPr>
            <w:noProof/>
            <w:webHidden/>
          </w:rPr>
          <w:t>20</w:t>
        </w:r>
        <w:r>
          <w:rPr>
            <w:noProof/>
            <w:webHidden/>
          </w:rPr>
          <w:fldChar w:fldCharType="end"/>
        </w:r>
      </w:hyperlink>
    </w:p>
    <w:p w14:paraId="2C2244D2" w14:textId="62877AEB" w:rsidR="00CA5448" w:rsidRDefault="00CA5448">
      <w:pPr>
        <w:pStyle w:val="TJ2"/>
        <w:rPr>
          <w:rFonts w:asciiTheme="minorHAnsi" w:hAnsiTheme="minorHAnsi" w:cstheme="minorBidi"/>
          <w:noProof/>
          <w:sz w:val="24"/>
          <w:szCs w:val="21"/>
          <w:lang w:eastAsia="en-GB" w:bidi="sa-IN"/>
        </w:rPr>
      </w:pPr>
      <w:hyperlink w:anchor="_Toc200963277" w:history="1">
        <w:r w:rsidRPr="005C1402">
          <w:rPr>
            <w:rStyle w:val="Hiperhivatkozs"/>
            <w:noProof/>
            <w:lang w:bidi="ar-SA"/>
          </w:rPr>
          <w:t>3.8. Transliteration and TEI encoding</w:t>
        </w:r>
        <w:r>
          <w:rPr>
            <w:noProof/>
            <w:webHidden/>
          </w:rPr>
          <w:tab/>
        </w:r>
        <w:r>
          <w:rPr>
            <w:noProof/>
            <w:webHidden/>
          </w:rPr>
          <w:fldChar w:fldCharType="begin"/>
        </w:r>
        <w:r>
          <w:rPr>
            <w:noProof/>
            <w:webHidden/>
          </w:rPr>
          <w:instrText xml:space="preserve"> PAGEREF _Toc200963277 \h </w:instrText>
        </w:r>
        <w:r>
          <w:rPr>
            <w:noProof/>
            <w:webHidden/>
          </w:rPr>
        </w:r>
        <w:r>
          <w:rPr>
            <w:noProof/>
            <w:webHidden/>
          </w:rPr>
          <w:fldChar w:fldCharType="separate"/>
        </w:r>
        <w:r>
          <w:rPr>
            <w:noProof/>
            <w:webHidden/>
          </w:rPr>
          <w:t>21</w:t>
        </w:r>
        <w:r>
          <w:rPr>
            <w:noProof/>
            <w:webHidden/>
          </w:rPr>
          <w:fldChar w:fldCharType="end"/>
        </w:r>
      </w:hyperlink>
    </w:p>
    <w:p w14:paraId="39B6ED1A" w14:textId="061479B3" w:rsidR="00CA5448" w:rsidRDefault="00CA5448">
      <w:pPr>
        <w:pStyle w:val="TJ2"/>
        <w:rPr>
          <w:rFonts w:asciiTheme="minorHAnsi" w:hAnsiTheme="minorHAnsi" w:cstheme="minorBidi"/>
          <w:noProof/>
          <w:sz w:val="24"/>
          <w:szCs w:val="21"/>
          <w:lang w:eastAsia="en-GB" w:bidi="sa-IN"/>
        </w:rPr>
      </w:pPr>
      <w:hyperlink w:anchor="_Toc200963278" w:history="1">
        <w:r w:rsidRPr="005C1402">
          <w:rPr>
            <w:rStyle w:val="Hiperhivatkozs"/>
            <w:noProof/>
            <w:lang w:bidi="ar-SA"/>
          </w:rPr>
          <w:t>3.9. Shorthand</w:t>
        </w:r>
        <w:r>
          <w:rPr>
            <w:noProof/>
            <w:webHidden/>
          </w:rPr>
          <w:tab/>
        </w:r>
        <w:r>
          <w:rPr>
            <w:noProof/>
            <w:webHidden/>
          </w:rPr>
          <w:fldChar w:fldCharType="begin"/>
        </w:r>
        <w:r>
          <w:rPr>
            <w:noProof/>
            <w:webHidden/>
          </w:rPr>
          <w:instrText xml:space="preserve"> PAGEREF _Toc200963278 \h </w:instrText>
        </w:r>
        <w:r>
          <w:rPr>
            <w:noProof/>
            <w:webHidden/>
          </w:rPr>
        </w:r>
        <w:r>
          <w:rPr>
            <w:noProof/>
            <w:webHidden/>
          </w:rPr>
          <w:fldChar w:fldCharType="separate"/>
        </w:r>
        <w:r>
          <w:rPr>
            <w:noProof/>
            <w:webHidden/>
          </w:rPr>
          <w:t>21</w:t>
        </w:r>
        <w:r>
          <w:rPr>
            <w:noProof/>
            <w:webHidden/>
          </w:rPr>
          <w:fldChar w:fldCharType="end"/>
        </w:r>
      </w:hyperlink>
    </w:p>
    <w:p w14:paraId="39B2DCDB" w14:textId="7DF66CFC" w:rsidR="00CA5448" w:rsidRDefault="00CA5448">
      <w:pPr>
        <w:pStyle w:val="TJ3"/>
        <w:rPr>
          <w:rFonts w:asciiTheme="minorHAnsi" w:hAnsiTheme="minorHAnsi" w:cstheme="minorBidi"/>
          <w:noProof/>
          <w:sz w:val="24"/>
          <w:szCs w:val="21"/>
          <w:lang w:eastAsia="en-GB" w:bidi="sa-IN"/>
        </w:rPr>
      </w:pPr>
      <w:hyperlink w:anchor="_Toc200963279" w:history="1">
        <w:r w:rsidRPr="005C1402">
          <w:rPr>
            <w:rStyle w:val="Hiperhivatkozs"/>
            <w:noProof/>
            <w:lang w:bidi="ar-SA"/>
          </w:rPr>
          <w:t>3.9.1. Private transliteration shorthand</w:t>
        </w:r>
        <w:r>
          <w:rPr>
            <w:noProof/>
            <w:webHidden/>
          </w:rPr>
          <w:tab/>
        </w:r>
        <w:r>
          <w:rPr>
            <w:noProof/>
            <w:webHidden/>
          </w:rPr>
          <w:fldChar w:fldCharType="begin"/>
        </w:r>
        <w:r>
          <w:rPr>
            <w:noProof/>
            <w:webHidden/>
          </w:rPr>
          <w:instrText xml:space="preserve"> PAGEREF _Toc200963279 \h </w:instrText>
        </w:r>
        <w:r>
          <w:rPr>
            <w:noProof/>
            <w:webHidden/>
          </w:rPr>
        </w:r>
        <w:r>
          <w:rPr>
            <w:noProof/>
            <w:webHidden/>
          </w:rPr>
          <w:fldChar w:fldCharType="separate"/>
        </w:r>
        <w:r>
          <w:rPr>
            <w:noProof/>
            <w:webHidden/>
          </w:rPr>
          <w:t>22</w:t>
        </w:r>
        <w:r>
          <w:rPr>
            <w:noProof/>
            <w:webHidden/>
          </w:rPr>
          <w:fldChar w:fldCharType="end"/>
        </w:r>
      </w:hyperlink>
    </w:p>
    <w:p w14:paraId="1DCF924E" w14:textId="6F94E58B" w:rsidR="00CA5448" w:rsidRDefault="00CA5448">
      <w:pPr>
        <w:pStyle w:val="TJ3"/>
        <w:rPr>
          <w:rFonts w:asciiTheme="minorHAnsi" w:hAnsiTheme="minorHAnsi" w:cstheme="minorBidi"/>
          <w:noProof/>
          <w:sz w:val="24"/>
          <w:szCs w:val="21"/>
          <w:lang w:eastAsia="en-GB" w:bidi="sa-IN"/>
        </w:rPr>
      </w:pPr>
      <w:hyperlink w:anchor="_Toc200963280" w:history="1">
        <w:r w:rsidRPr="005C1402">
          <w:rPr>
            <w:rStyle w:val="Hiperhivatkozs"/>
            <w:noProof/>
            <w:lang w:bidi="ar-SA"/>
          </w:rPr>
          <w:t>3.9.2. Private markup shorthand</w:t>
        </w:r>
        <w:r>
          <w:rPr>
            <w:noProof/>
            <w:webHidden/>
          </w:rPr>
          <w:tab/>
        </w:r>
        <w:r>
          <w:rPr>
            <w:noProof/>
            <w:webHidden/>
          </w:rPr>
          <w:fldChar w:fldCharType="begin"/>
        </w:r>
        <w:r>
          <w:rPr>
            <w:noProof/>
            <w:webHidden/>
          </w:rPr>
          <w:instrText xml:space="preserve"> PAGEREF _Toc200963280 \h </w:instrText>
        </w:r>
        <w:r>
          <w:rPr>
            <w:noProof/>
            <w:webHidden/>
          </w:rPr>
        </w:r>
        <w:r>
          <w:rPr>
            <w:noProof/>
            <w:webHidden/>
          </w:rPr>
          <w:fldChar w:fldCharType="separate"/>
        </w:r>
        <w:r>
          <w:rPr>
            <w:noProof/>
            <w:webHidden/>
          </w:rPr>
          <w:t>22</w:t>
        </w:r>
        <w:r>
          <w:rPr>
            <w:noProof/>
            <w:webHidden/>
          </w:rPr>
          <w:fldChar w:fldCharType="end"/>
        </w:r>
      </w:hyperlink>
    </w:p>
    <w:p w14:paraId="3F2C7E85" w14:textId="5E8F4508" w:rsidR="00CA5448" w:rsidRDefault="00CA5448">
      <w:pPr>
        <w:pStyle w:val="TJ3"/>
        <w:rPr>
          <w:rFonts w:asciiTheme="minorHAnsi" w:hAnsiTheme="minorHAnsi" w:cstheme="minorBidi"/>
          <w:noProof/>
          <w:sz w:val="24"/>
          <w:szCs w:val="21"/>
          <w:lang w:eastAsia="en-GB" w:bidi="sa-IN"/>
        </w:rPr>
      </w:pPr>
      <w:hyperlink w:anchor="_Toc200963281" w:history="1">
        <w:r w:rsidRPr="005C1402">
          <w:rPr>
            <w:rStyle w:val="Hiperhivatkozs"/>
            <w:noProof/>
            <w:lang w:bidi="ar-SA"/>
          </w:rPr>
          <w:t>3.9.3. Public markup shorthand</w:t>
        </w:r>
        <w:r>
          <w:rPr>
            <w:noProof/>
            <w:webHidden/>
          </w:rPr>
          <w:tab/>
        </w:r>
        <w:r>
          <w:rPr>
            <w:noProof/>
            <w:webHidden/>
          </w:rPr>
          <w:fldChar w:fldCharType="begin"/>
        </w:r>
        <w:r>
          <w:rPr>
            <w:noProof/>
            <w:webHidden/>
          </w:rPr>
          <w:instrText xml:space="preserve"> PAGEREF _Toc200963281 \h </w:instrText>
        </w:r>
        <w:r>
          <w:rPr>
            <w:noProof/>
            <w:webHidden/>
          </w:rPr>
        </w:r>
        <w:r>
          <w:rPr>
            <w:noProof/>
            <w:webHidden/>
          </w:rPr>
          <w:fldChar w:fldCharType="separate"/>
        </w:r>
        <w:r>
          <w:rPr>
            <w:noProof/>
            <w:webHidden/>
          </w:rPr>
          <w:t>22</w:t>
        </w:r>
        <w:r>
          <w:rPr>
            <w:noProof/>
            <w:webHidden/>
          </w:rPr>
          <w:fldChar w:fldCharType="end"/>
        </w:r>
      </w:hyperlink>
    </w:p>
    <w:p w14:paraId="28FE9965" w14:textId="0956A210" w:rsidR="00CA5448" w:rsidRDefault="00CA5448">
      <w:pPr>
        <w:pStyle w:val="TJ2"/>
        <w:rPr>
          <w:rFonts w:asciiTheme="minorHAnsi" w:hAnsiTheme="minorHAnsi" w:cstheme="minorBidi"/>
          <w:noProof/>
          <w:sz w:val="24"/>
          <w:szCs w:val="21"/>
          <w:lang w:eastAsia="en-GB" w:bidi="sa-IN"/>
        </w:rPr>
      </w:pPr>
      <w:hyperlink w:anchor="_Toc200963282" w:history="1">
        <w:r w:rsidRPr="005C1402">
          <w:rPr>
            <w:rStyle w:val="Hiperhivatkozs"/>
            <w:noProof/>
            <w:lang w:bidi="ar-SA"/>
          </w:rPr>
          <w:t>3.10. Low-level editorial markup in transliteration</w:t>
        </w:r>
        <w:r>
          <w:rPr>
            <w:noProof/>
            <w:webHidden/>
          </w:rPr>
          <w:tab/>
        </w:r>
        <w:r>
          <w:rPr>
            <w:noProof/>
            <w:webHidden/>
          </w:rPr>
          <w:fldChar w:fldCharType="begin"/>
        </w:r>
        <w:r>
          <w:rPr>
            <w:noProof/>
            <w:webHidden/>
          </w:rPr>
          <w:instrText xml:space="preserve"> PAGEREF _Toc200963282 \h </w:instrText>
        </w:r>
        <w:r>
          <w:rPr>
            <w:noProof/>
            <w:webHidden/>
          </w:rPr>
        </w:r>
        <w:r>
          <w:rPr>
            <w:noProof/>
            <w:webHidden/>
          </w:rPr>
          <w:fldChar w:fldCharType="separate"/>
        </w:r>
        <w:r>
          <w:rPr>
            <w:noProof/>
            <w:webHidden/>
          </w:rPr>
          <w:t>23</w:t>
        </w:r>
        <w:r>
          <w:rPr>
            <w:noProof/>
            <w:webHidden/>
          </w:rPr>
          <w:fldChar w:fldCharType="end"/>
        </w:r>
      </w:hyperlink>
    </w:p>
    <w:p w14:paraId="4A4F92CE" w14:textId="58A3B021" w:rsidR="00CA5448" w:rsidRDefault="00CA5448">
      <w:pPr>
        <w:pStyle w:val="TJ2"/>
        <w:rPr>
          <w:rFonts w:asciiTheme="minorHAnsi" w:hAnsiTheme="minorHAnsi" w:cstheme="minorBidi"/>
          <w:noProof/>
          <w:sz w:val="24"/>
          <w:szCs w:val="21"/>
          <w:lang w:eastAsia="en-GB" w:bidi="sa-IN"/>
        </w:rPr>
      </w:pPr>
      <w:hyperlink w:anchor="_Toc200963283" w:history="1">
        <w:r w:rsidRPr="005C1402">
          <w:rPr>
            <w:rStyle w:val="Hiperhivatkozs"/>
            <w:noProof/>
            <w:lang w:bidi="ar-SA"/>
          </w:rPr>
          <w:t>3.11. @DESCRIPTIVE: ENCODING PREFERRED</w:t>
        </w:r>
        <w:r>
          <w:rPr>
            <w:noProof/>
            <w:webHidden/>
          </w:rPr>
          <w:tab/>
        </w:r>
        <w:r>
          <w:rPr>
            <w:noProof/>
            <w:webHidden/>
          </w:rPr>
          <w:fldChar w:fldCharType="begin"/>
        </w:r>
        <w:r>
          <w:rPr>
            <w:noProof/>
            <w:webHidden/>
          </w:rPr>
          <w:instrText xml:space="preserve"> PAGEREF _Toc200963283 \h </w:instrText>
        </w:r>
        <w:r>
          <w:rPr>
            <w:noProof/>
            <w:webHidden/>
          </w:rPr>
        </w:r>
        <w:r>
          <w:rPr>
            <w:noProof/>
            <w:webHidden/>
          </w:rPr>
          <w:fldChar w:fldCharType="separate"/>
        </w:r>
        <w:r>
          <w:rPr>
            <w:noProof/>
            <w:webHidden/>
          </w:rPr>
          <w:t>23</w:t>
        </w:r>
        <w:r>
          <w:rPr>
            <w:noProof/>
            <w:webHidden/>
          </w:rPr>
          <w:fldChar w:fldCharType="end"/>
        </w:r>
      </w:hyperlink>
    </w:p>
    <w:p w14:paraId="69BFBDE1" w14:textId="5590ED51" w:rsidR="00CA5448" w:rsidRDefault="00CA5448">
      <w:pPr>
        <w:pStyle w:val="TJ3"/>
        <w:rPr>
          <w:rFonts w:asciiTheme="minorHAnsi" w:hAnsiTheme="minorHAnsi" w:cstheme="minorBidi"/>
          <w:noProof/>
          <w:sz w:val="24"/>
          <w:szCs w:val="21"/>
          <w:lang w:eastAsia="en-GB" w:bidi="sa-IN"/>
        </w:rPr>
      </w:pPr>
      <w:hyperlink w:anchor="_Toc200963284" w:history="1">
        <w:r w:rsidRPr="005C1402">
          <w:rPr>
            <w:rStyle w:val="Hiperhivatkozs"/>
            <w:noProof/>
            <w:lang w:bidi="ar-SA"/>
          </w:rPr>
          <w:t xml:space="preserve">3.11.1. Representation of </w:t>
        </w:r>
        <w:r w:rsidRPr="005C1402">
          <w:rPr>
            <w:rStyle w:val="Hiperhivatkozs"/>
            <w:i/>
            <w:iCs/>
            <w:noProof/>
            <w:lang w:bidi="ar-SA"/>
          </w:rPr>
          <w:t>akṣara</w:t>
        </w:r>
        <w:r w:rsidRPr="005C1402">
          <w:rPr>
            <w:rStyle w:val="Hiperhivatkozs"/>
            <w:noProof/>
            <w:lang w:bidi="ar-SA"/>
          </w:rPr>
          <w:t xml:space="preserve"> composition @i.e. graphetic particulars</w:t>
        </w:r>
        <w:r>
          <w:rPr>
            <w:noProof/>
            <w:webHidden/>
          </w:rPr>
          <w:tab/>
        </w:r>
        <w:r>
          <w:rPr>
            <w:noProof/>
            <w:webHidden/>
          </w:rPr>
          <w:fldChar w:fldCharType="begin"/>
        </w:r>
        <w:r>
          <w:rPr>
            <w:noProof/>
            <w:webHidden/>
          </w:rPr>
          <w:instrText xml:space="preserve"> PAGEREF _Toc200963284 \h </w:instrText>
        </w:r>
        <w:r>
          <w:rPr>
            <w:noProof/>
            <w:webHidden/>
          </w:rPr>
        </w:r>
        <w:r>
          <w:rPr>
            <w:noProof/>
            <w:webHidden/>
          </w:rPr>
          <w:fldChar w:fldCharType="separate"/>
        </w:r>
        <w:r>
          <w:rPr>
            <w:noProof/>
            <w:webHidden/>
          </w:rPr>
          <w:t>23</w:t>
        </w:r>
        <w:r>
          <w:rPr>
            <w:noProof/>
            <w:webHidden/>
          </w:rPr>
          <w:fldChar w:fldCharType="end"/>
        </w:r>
      </w:hyperlink>
    </w:p>
    <w:p w14:paraId="7BE440CB" w14:textId="2B5C0AC7" w:rsidR="00CA5448" w:rsidRDefault="00CA5448">
      <w:pPr>
        <w:pStyle w:val="TJ3"/>
        <w:rPr>
          <w:rFonts w:asciiTheme="minorHAnsi" w:hAnsiTheme="minorHAnsi" w:cstheme="minorBidi"/>
          <w:noProof/>
          <w:sz w:val="24"/>
          <w:szCs w:val="21"/>
          <w:lang w:eastAsia="en-GB" w:bidi="sa-IN"/>
        </w:rPr>
      </w:pPr>
      <w:hyperlink w:anchor="_Toc200963285" w:history="1">
        <w:r w:rsidRPr="005C1402">
          <w:rPr>
            <w:rStyle w:val="Hiperhivatkozs"/>
            <w:noProof/>
            <w:lang w:bidi="ar-SA"/>
          </w:rPr>
          <w:t xml:space="preserve">3.11.2. Split </w:t>
        </w:r>
        <w:r w:rsidRPr="005C1402">
          <w:rPr>
            <w:rStyle w:val="Hiperhivatkozs"/>
            <w:i/>
            <w:iCs/>
            <w:noProof/>
            <w:lang w:bidi="ar-SA"/>
          </w:rPr>
          <w:t>akṣaras</w:t>
        </w:r>
        <w:r>
          <w:rPr>
            <w:noProof/>
            <w:webHidden/>
          </w:rPr>
          <w:tab/>
        </w:r>
        <w:r>
          <w:rPr>
            <w:noProof/>
            <w:webHidden/>
          </w:rPr>
          <w:fldChar w:fldCharType="begin"/>
        </w:r>
        <w:r>
          <w:rPr>
            <w:noProof/>
            <w:webHidden/>
          </w:rPr>
          <w:instrText xml:space="preserve"> PAGEREF _Toc200963285 \h </w:instrText>
        </w:r>
        <w:r>
          <w:rPr>
            <w:noProof/>
            <w:webHidden/>
          </w:rPr>
        </w:r>
        <w:r>
          <w:rPr>
            <w:noProof/>
            <w:webHidden/>
          </w:rPr>
          <w:fldChar w:fldCharType="separate"/>
        </w:r>
        <w:r>
          <w:rPr>
            <w:noProof/>
            <w:webHidden/>
          </w:rPr>
          <w:t>23</w:t>
        </w:r>
        <w:r>
          <w:rPr>
            <w:noProof/>
            <w:webHidden/>
          </w:rPr>
          <w:fldChar w:fldCharType="end"/>
        </w:r>
      </w:hyperlink>
    </w:p>
    <w:p w14:paraId="7E96A6B3" w14:textId="44081CCA" w:rsidR="00CA5448" w:rsidRDefault="00CA5448">
      <w:pPr>
        <w:pStyle w:val="TJ2"/>
        <w:rPr>
          <w:rFonts w:asciiTheme="minorHAnsi" w:hAnsiTheme="minorHAnsi" w:cstheme="minorBidi"/>
          <w:noProof/>
          <w:sz w:val="24"/>
          <w:szCs w:val="21"/>
          <w:lang w:eastAsia="en-GB" w:bidi="sa-IN"/>
        </w:rPr>
      </w:pPr>
      <w:hyperlink w:anchor="_Toc200963286" w:history="1">
        <w:r w:rsidRPr="005C1402">
          <w:rPr>
            <w:rStyle w:val="Hiperhivatkozs"/>
            <w:noProof/>
            <w:lang w:bidi="ar-SA"/>
          </w:rPr>
          <w:t>3.12. @INTERPRETIVE ADDITIONS</w:t>
        </w:r>
        <w:r>
          <w:rPr>
            <w:noProof/>
            <w:webHidden/>
          </w:rPr>
          <w:tab/>
        </w:r>
        <w:r>
          <w:rPr>
            <w:noProof/>
            <w:webHidden/>
          </w:rPr>
          <w:fldChar w:fldCharType="begin"/>
        </w:r>
        <w:r>
          <w:rPr>
            <w:noProof/>
            <w:webHidden/>
          </w:rPr>
          <w:instrText xml:space="preserve"> PAGEREF _Toc200963286 \h </w:instrText>
        </w:r>
        <w:r>
          <w:rPr>
            <w:noProof/>
            <w:webHidden/>
          </w:rPr>
        </w:r>
        <w:r>
          <w:rPr>
            <w:noProof/>
            <w:webHidden/>
          </w:rPr>
          <w:fldChar w:fldCharType="separate"/>
        </w:r>
        <w:r>
          <w:rPr>
            <w:noProof/>
            <w:webHidden/>
          </w:rPr>
          <w:t>24</w:t>
        </w:r>
        <w:r>
          <w:rPr>
            <w:noProof/>
            <w:webHidden/>
          </w:rPr>
          <w:fldChar w:fldCharType="end"/>
        </w:r>
      </w:hyperlink>
    </w:p>
    <w:p w14:paraId="74862413" w14:textId="2D212756" w:rsidR="00CA5448" w:rsidRDefault="00CA5448">
      <w:pPr>
        <w:pStyle w:val="TJ3"/>
        <w:rPr>
          <w:rFonts w:asciiTheme="minorHAnsi" w:hAnsiTheme="minorHAnsi" w:cstheme="minorBidi"/>
          <w:noProof/>
          <w:sz w:val="24"/>
          <w:szCs w:val="21"/>
          <w:lang w:eastAsia="en-GB" w:bidi="sa-IN"/>
        </w:rPr>
      </w:pPr>
      <w:hyperlink w:anchor="_Toc200963287" w:history="1">
        <w:r w:rsidRPr="005C1402">
          <w:rPr>
            <w:rStyle w:val="Hiperhivatkozs"/>
            <w:noProof/>
            <w:lang w:bidi="ar-SA"/>
          </w:rPr>
          <w:t>3.12.1. Editorial spaces for word segmentation</w:t>
        </w:r>
        <w:r>
          <w:rPr>
            <w:noProof/>
            <w:webHidden/>
          </w:rPr>
          <w:tab/>
        </w:r>
        <w:r>
          <w:rPr>
            <w:noProof/>
            <w:webHidden/>
          </w:rPr>
          <w:fldChar w:fldCharType="begin"/>
        </w:r>
        <w:r>
          <w:rPr>
            <w:noProof/>
            <w:webHidden/>
          </w:rPr>
          <w:instrText xml:space="preserve"> PAGEREF _Toc200963287 \h </w:instrText>
        </w:r>
        <w:r>
          <w:rPr>
            <w:noProof/>
            <w:webHidden/>
          </w:rPr>
        </w:r>
        <w:r>
          <w:rPr>
            <w:noProof/>
            <w:webHidden/>
          </w:rPr>
          <w:fldChar w:fldCharType="separate"/>
        </w:r>
        <w:r>
          <w:rPr>
            <w:noProof/>
            <w:webHidden/>
          </w:rPr>
          <w:t>24</w:t>
        </w:r>
        <w:r>
          <w:rPr>
            <w:noProof/>
            <w:webHidden/>
          </w:rPr>
          <w:fldChar w:fldCharType="end"/>
        </w:r>
      </w:hyperlink>
    </w:p>
    <w:p w14:paraId="5922E144" w14:textId="437BCB24" w:rsidR="00CA5448" w:rsidRDefault="00CA5448">
      <w:pPr>
        <w:pStyle w:val="TJ3"/>
        <w:rPr>
          <w:rFonts w:asciiTheme="minorHAnsi" w:hAnsiTheme="minorHAnsi" w:cstheme="minorBidi"/>
          <w:noProof/>
          <w:sz w:val="24"/>
          <w:szCs w:val="21"/>
          <w:lang w:eastAsia="en-GB" w:bidi="sa-IN"/>
        </w:rPr>
      </w:pPr>
      <w:hyperlink w:anchor="_Toc200963288" w:history="1">
        <w:r w:rsidRPr="005C1402">
          <w:rPr>
            <w:rStyle w:val="Hiperhivatkozs"/>
            <w:noProof/>
            <w:lang w:bidi="ar-SA"/>
          </w:rPr>
          <w:t>3.12.2. Editorial hyphenation</w:t>
        </w:r>
        <w:r>
          <w:rPr>
            <w:noProof/>
            <w:webHidden/>
          </w:rPr>
          <w:tab/>
        </w:r>
        <w:r>
          <w:rPr>
            <w:noProof/>
            <w:webHidden/>
          </w:rPr>
          <w:fldChar w:fldCharType="begin"/>
        </w:r>
        <w:r>
          <w:rPr>
            <w:noProof/>
            <w:webHidden/>
          </w:rPr>
          <w:instrText xml:space="preserve"> PAGEREF _Toc200963288 \h </w:instrText>
        </w:r>
        <w:r>
          <w:rPr>
            <w:noProof/>
            <w:webHidden/>
          </w:rPr>
        </w:r>
        <w:r>
          <w:rPr>
            <w:noProof/>
            <w:webHidden/>
          </w:rPr>
          <w:fldChar w:fldCharType="separate"/>
        </w:r>
        <w:r>
          <w:rPr>
            <w:noProof/>
            <w:webHidden/>
          </w:rPr>
          <w:t>24</w:t>
        </w:r>
        <w:r>
          <w:rPr>
            <w:noProof/>
            <w:webHidden/>
          </w:rPr>
          <w:fldChar w:fldCharType="end"/>
        </w:r>
      </w:hyperlink>
    </w:p>
    <w:p w14:paraId="2A28CAFE" w14:textId="7E6BD724" w:rsidR="00CA5448" w:rsidRDefault="00CA5448">
      <w:pPr>
        <w:pStyle w:val="TJ3"/>
        <w:rPr>
          <w:rFonts w:asciiTheme="minorHAnsi" w:hAnsiTheme="minorHAnsi" w:cstheme="minorBidi"/>
          <w:noProof/>
          <w:sz w:val="24"/>
          <w:szCs w:val="21"/>
          <w:lang w:eastAsia="en-GB" w:bidi="sa-IN"/>
        </w:rPr>
      </w:pPr>
      <w:hyperlink w:anchor="_Toc200963289" w:history="1">
        <w:r w:rsidRPr="005C1402">
          <w:rPr>
            <w:rStyle w:val="Hiperhivatkozs"/>
            <w:noProof/>
            <w:lang w:bidi="ar-SA"/>
          </w:rPr>
          <w:t xml:space="preserve">3.12.3. Editorial </w:t>
        </w:r>
        <w:r w:rsidRPr="005C1402">
          <w:rPr>
            <w:rStyle w:val="Hiperhivatkozs"/>
            <w:i/>
            <w:iCs/>
            <w:noProof/>
            <w:lang w:bidi="ar-SA"/>
          </w:rPr>
          <w:t>avagraha</w:t>
        </w:r>
        <w:r>
          <w:rPr>
            <w:noProof/>
            <w:webHidden/>
          </w:rPr>
          <w:tab/>
        </w:r>
        <w:r>
          <w:rPr>
            <w:noProof/>
            <w:webHidden/>
          </w:rPr>
          <w:fldChar w:fldCharType="begin"/>
        </w:r>
        <w:r>
          <w:rPr>
            <w:noProof/>
            <w:webHidden/>
          </w:rPr>
          <w:instrText xml:space="preserve"> PAGEREF _Toc200963289 \h </w:instrText>
        </w:r>
        <w:r>
          <w:rPr>
            <w:noProof/>
            <w:webHidden/>
          </w:rPr>
        </w:r>
        <w:r>
          <w:rPr>
            <w:noProof/>
            <w:webHidden/>
          </w:rPr>
          <w:fldChar w:fldCharType="separate"/>
        </w:r>
        <w:r>
          <w:rPr>
            <w:noProof/>
            <w:webHidden/>
          </w:rPr>
          <w:t>26</w:t>
        </w:r>
        <w:r>
          <w:rPr>
            <w:noProof/>
            <w:webHidden/>
          </w:rPr>
          <w:fldChar w:fldCharType="end"/>
        </w:r>
      </w:hyperlink>
    </w:p>
    <w:p w14:paraId="7A002B37" w14:textId="7325B32E" w:rsidR="00CA5448" w:rsidRDefault="00CA5448">
      <w:pPr>
        <w:pStyle w:val="TJ3"/>
        <w:rPr>
          <w:rFonts w:asciiTheme="minorHAnsi" w:hAnsiTheme="minorHAnsi" w:cstheme="minorBidi"/>
          <w:noProof/>
          <w:sz w:val="24"/>
          <w:szCs w:val="21"/>
          <w:lang w:eastAsia="en-GB" w:bidi="sa-IN"/>
        </w:rPr>
      </w:pPr>
      <w:hyperlink w:anchor="_Toc200963290" w:history="1">
        <w:r w:rsidRPr="005C1402">
          <w:rPr>
            <w:rStyle w:val="Hiperhivatkozs"/>
            <w:noProof/>
            <w:lang w:bidi="ar-SA"/>
          </w:rPr>
          <w:t xml:space="preserve">3.12.4. Representation of elided overshort final </w:t>
        </w:r>
        <w:r w:rsidRPr="005C1402">
          <w:rPr>
            <w:rStyle w:val="Hiperhivatkozs"/>
            <w:i/>
            <w:iCs/>
            <w:noProof/>
            <w:lang w:bidi="ar-SA"/>
          </w:rPr>
          <w:t>u</w:t>
        </w:r>
        <w:r w:rsidRPr="005C1402">
          <w:rPr>
            <w:rStyle w:val="Hiperhivatkozs"/>
            <w:noProof/>
            <w:lang w:bidi="ar-SA"/>
          </w:rPr>
          <w:t xml:space="preserve"> in Tamil</w:t>
        </w:r>
        <w:r>
          <w:rPr>
            <w:noProof/>
            <w:webHidden/>
          </w:rPr>
          <w:tab/>
        </w:r>
        <w:r>
          <w:rPr>
            <w:noProof/>
            <w:webHidden/>
          </w:rPr>
          <w:fldChar w:fldCharType="begin"/>
        </w:r>
        <w:r>
          <w:rPr>
            <w:noProof/>
            <w:webHidden/>
          </w:rPr>
          <w:instrText xml:space="preserve"> PAGEREF _Toc200963290 \h </w:instrText>
        </w:r>
        <w:r>
          <w:rPr>
            <w:noProof/>
            <w:webHidden/>
          </w:rPr>
        </w:r>
        <w:r>
          <w:rPr>
            <w:noProof/>
            <w:webHidden/>
          </w:rPr>
          <w:fldChar w:fldCharType="separate"/>
        </w:r>
        <w:r>
          <w:rPr>
            <w:noProof/>
            <w:webHidden/>
          </w:rPr>
          <w:t>26</w:t>
        </w:r>
        <w:r>
          <w:rPr>
            <w:noProof/>
            <w:webHidden/>
          </w:rPr>
          <w:fldChar w:fldCharType="end"/>
        </w:r>
      </w:hyperlink>
    </w:p>
    <w:p w14:paraId="7386DEFA" w14:textId="2D2B028D" w:rsidR="00CA5448" w:rsidRDefault="00CA5448">
      <w:pPr>
        <w:pStyle w:val="TJ2"/>
        <w:rPr>
          <w:rFonts w:asciiTheme="minorHAnsi" w:hAnsiTheme="minorHAnsi" w:cstheme="minorBidi"/>
          <w:noProof/>
          <w:sz w:val="24"/>
          <w:szCs w:val="21"/>
          <w:lang w:eastAsia="en-GB" w:bidi="sa-IN"/>
        </w:rPr>
      </w:pPr>
      <w:hyperlink w:anchor="_Toc200963291" w:history="1">
        <w:r w:rsidRPr="005C1402">
          <w:rPr>
            <w:rStyle w:val="Hiperhivatkozs"/>
            <w:noProof/>
            <w:lang w:bidi="ar-SA"/>
          </w:rPr>
          <w:t>3.13. @INTERPRETIVE ALTERATIONS</w:t>
        </w:r>
        <w:r>
          <w:rPr>
            <w:noProof/>
            <w:webHidden/>
          </w:rPr>
          <w:tab/>
        </w:r>
        <w:r>
          <w:rPr>
            <w:noProof/>
            <w:webHidden/>
          </w:rPr>
          <w:fldChar w:fldCharType="begin"/>
        </w:r>
        <w:r>
          <w:rPr>
            <w:noProof/>
            <w:webHidden/>
          </w:rPr>
          <w:instrText xml:space="preserve"> PAGEREF _Toc200963291 \h </w:instrText>
        </w:r>
        <w:r>
          <w:rPr>
            <w:noProof/>
            <w:webHidden/>
          </w:rPr>
        </w:r>
        <w:r>
          <w:rPr>
            <w:noProof/>
            <w:webHidden/>
          </w:rPr>
          <w:fldChar w:fldCharType="separate"/>
        </w:r>
        <w:r>
          <w:rPr>
            <w:noProof/>
            <w:webHidden/>
          </w:rPr>
          <w:t>27</w:t>
        </w:r>
        <w:r>
          <w:rPr>
            <w:noProof/>
            <w:webHidden/>
          </w:rPr>
          <w:fldChar w:fldCharType="end"/>
        </w:r>
      </w:hyperlink>
    </w:p>
    <w:p w14:paraId="182522B8" w14:textId="343337A7" w:rsidR="00CA5448" w:rsidRDefault="00CA5448">
      <w:pPr>
        <w:pStyle w:val="TJ3"/>
        <w:rPr>
          <w:rFonts w:asciiTheme="minorHAnsi" w:hAnsiTheme="minorHAnsi" w:cstheme="minorBidi"/>
          <w:noProof/>
          <w:sz w:val="24"/>
          <w:szCs w:val="21"/>
          <w:lang w:eastAsia="en-GB" w:bidi="sa-IN"/>
        </w:rPr>
      </w:pPr>
      <w:hyperlink w:anchor="_Toc200963292" w:history="1">
        <w:r w:rsidRPr="005C1402">
          <w:rPr>
            <w:rStyle w:val="Hiperhivatkozs"/>
            <w:noProof/>
            <w:lang w:bidi="ar-SA"/>
          </w:rPr>
          <w:t>3.13.1. Silent identification of homographs</w:t>
        </w:r>
        <w:r>
          <w:rPr>
            <w:noProof/>
            <w:webHidden/>
          </w:rPr>
          <w:tab/>
        </w:r>
        <w:r>
          <w:rPr>
            <w:noProof/>
            <w:webHidden/>
          </w:rPr>
          <w:fldChar w:fldCharType="begin"/>
        </w:r>
        <w:r>
          <w:rPr>
            <w:noProof/>
            <w:webHidden/>
          </w:rPr>
          <w:instrText xml:space="preserve"> PAGEREF _Toc200963292 \h </w:instrText>
        </w:r>
        <w:r>
          <w:rPr>
            <w:noProof/>
            <w:webHidden/>
          </w:rPr>
        </w:r>
        <w:r>
          <w:rPr>
            <w:noProof/>
            <w:webHidden/>
          </w:rPr>
          <w:fldChar w:fldCharType="separate"/>
        </w:r>
        <w:r>
          <w:rPr>
            <w:noProof/>
            <w:webHidden/>
          </w:rPr>
          <w:t>27</w:t>
        </w:r>
        <w:r>
          <w:rPr>
            <w:noProof/>
            <w:webHidden/>
          </w:rPr>
          <w:fldChar w:fldCharType="end"/>
        </w:r>
      </w:hyperlink>
    </w:p>
    <w:p w14:paraId="63B1B719" w14:textId="6B3EC40B" w:rsidR="00CA5448" w:rsidRDefault="00CA5448">
      <w:pPr>
        <w:pStyle w:val="TJ3"/>
        <w:rPr>
          <w:rFonts w:asciiTheme="minorHAnsi" w:hAnsiTheme="minorHAnsi" w:cstheme="minorBidi"/>
          <w:noProof/>
          <w:sz w:val="24"/>
          <w:szCs w:val="21"/>
          <w:lang w:eastAsia="en-GB" w:bidi="sa-IN"/>
        </w:rPr>
      </w:pPr>
      <w:hyperlink w:anchor="_Toc200963293" w:history="1">
        <w:r w:rsidRPr="005C1402">
          <w:rPr>
            <w:rStyle w:val="Hiperhivatkozs"/>
            <w:noProof/>
            <w:lang w:bidi="ar-SA"/>
          </w:rPr>
          <w:t xml:space="preserve">3.13.2. Distinction of long and short </w:t>
        </w:r>
        <w:r w:rsidRPr="005C1402">
          <w:rPr>
            <w:rStyle w:val="Hiperhivatkozs"/>
            <w:rFonts w:eastAsia="Gentium"/>
            <w:noProof/>
            <w:lang w:bidi="ar-SA"/>
          </w:rPr>
          <w:t>e and o</w:t>
        </w:r>
        <w:r>
          <w:rPr>
            <w:noProof/>
            <w:webHidden/>
          </w:rPr>
          <w:tab/>
        </w:r>
        <w:r>
          <w:rPr>
            <w:noProof/>
            <w:webHidden/>
          </w:rPr>
          <w:fldChar w:fldCharType="begin"/>
        </w:r>
        <w:r>
          <w:rPr>
            <w:noProof/>
            <w:webHidden/>
          </w:rPr>
          <w:instrText xml:space="preserve"> PAGEREF _Toc200963293 \h </w:instrText>
        </w:r>
        <w:r>
          <w:rPr>
            <w:noProof/>
            <w:webHidden/>
          </w:rPr>
        </w:r>
        <w:r>
          <w:rPr>
            <w:noProof/>
            <w:webHidden/>
          </w:rPr>
          <w:fldChar w:fldCharType="separate"/>
        </w:r>
        <w:r>
          <w:rPr>
            <w:noProof/>
            <w:webHidden/>
          </w:rPr>
          <w:t>27</w:t>
        </w:r>
        <w:r>
          <w:rPr>
            <w:noProof/>
            <w:webHidden/>
          </w:rPr>
          <w:fldChar w:fldCharType="end"/>
        </w:r>
      </w:hyperlink>
    </w:p>
    <w:p w14:paraId="33CA1426" w14:textId="619F5883" w:rsidR="00CA5448" w:rsidRDefault="00CA5448">
      <w:pPr>
        <w:pStyle w:val="TJ3"/>
        <w:rPr>
          <w:rFonts w:asciiTheme="minorHAnsi" w:hAnsiTheme="minorHAnsi" w:cstheme="minorBidi"/>
          <w:noProof/>
          <w:sz w:val="24"/>
          <w:szCs w:val="21"/>
          <w:lang w:eastAsia="en-GB" w:bidi="sa-IN"/>
        </w:rPr>
      </w:pPr>
      <w:hyperlink w:anchor="_Toc200963294" w:history="1">
        <w:r w:rsidRPr="005C1402">
          <w:rPr>
            <w:rStyle w:val="Hiperhivatkozs"/>
            <w:noProof/>
            <w:lang w:bidi="ar-SA"/>
          </w:rPr>
          <w:t>3.13.3. Short vowel written where a corresponding long vowel is expected</w:t>
        </w:r>
        <w:r>
          <w:rPr>
            <w:noProof/>
            <w:webHidden/>
          </w:rPr>
          <w:tab/>
        </w:r>
        <w:r>
          <w:rPr>
            <w:noProof/>
            <w:webHidden/>
          </w:rPr>
          <w:fldChar w:fldCharType="begin"/>
        </w:r>
        <w:r>
          <w:rPr>
            <w:noProof/>
            <w:webHidden/>
          </w:rPr>
          <w:instrText xml:space="preserve"> PAGEREF _Toc200963294 \h </w:instrText>
        </w:r>
        <w:r>
          <w:rPr>
            <w:noProof/>
            <w:webHidden/>
          </w:rPr>
        </w:r>
        <w:r>
          <w:rPr>
            <w:noProof/>
            <w:webHidden/>
          </w:rPr>
          <w:fldChar w:fldCharType="separate"/>
        </w:r>
        <w:r>
          <w:rPr>
            <w:noProof/>
            <w:webHidden/>
          </w:rPr>
          <w:t>27</w:t>
        </w:r>
        <w:r>
          <w:rPr>
            <w:noProof/>
            <w:webHidden/>
          </w:rPr>
          <w:fldChar w:fldCharType="end"/>
        </w:r>
      </w:hyperlink>
    </w:p>
    <w:p w14:paraId="6A73B604" w14:textId="3EBB0108" w:rsidR="00CA5448" w:rsidRDefault="00CA5448">
      <w:pPr>
        <w:pStyle w:val="TJ1"/>
        <w:rPr>
          <w:rFonts w:asciiTheme="minorHAnsi" w:hAnsiTheme="minorHAnsi" w:cstheme="minorBidi"/>
          <w:b w:val="0"/>
          <w:noProof/>
          <w:sz w:val="24"/>
          <w:szCs w:val="21"/>
          <w:lang w:eastAsia="en-GB" w:bidi="sa-IN"/>
        </w:rPr>
      </w:pPr>
      <w:hyperlink w:anchor="_Toc200963295" w:history="1">
        <w:r w:rsidRPr="005C1402">
          <w:rPr>
            <w:rStyle w:val="Hiperhivatkozs"/>
            <w:noProof/>
            <w:lang w:bidi="ar-SA"/>
          </w:rPr>
          <w:t>4. Transliterating alphabetic graphemes</w:t>
        </w:r>
        <w:r>
          <w:rPr>
            <w:noProof/>
            <w:webHidden/>
          </w:rPr>
          <w:tab/>
        </w:r>
        <w:r>
          <w:rPr>
            <w:noProof/>
            <w:webHidden/>
          </w:rPr>
          <w:fldChar w:fldCharType="begin"/>
        </w:r>
        <w:r>
          <w:rPr>
            <w:noProof/>
            <w:webHidden/>
          </w:rPr>
          <w:instrText xml:space="preserve"> PAGEREF _Toc200963295 \h </w:instrText>
        </w:r>
        <w:r>
          <w:rPr>
            <w:noProof/>
            <w:webHidden/>
          </w:rPr>
        </w:r>
        <w:r>
          <w:rPr>
            <w:noProof/>
            <w:webHidden/>
          </w:rPr>
          <w:fldChar w:fldCharType="separate"/>
        </w:r>
        <w:r>
          <w:rPr>
            <w:noProof/>
            <w:webHidden/>
          </w:rPr>
          <w:t>28</w:t>
        </w:r>
        <w:r>
          <w:rPr>
            <w:noProof/>
            <w:webHidden/>
          </w:rPr>
          <w:fldChar w:fldCharType="end"/>
        </w:r>
      </w:hyperlink>
    </w:p>
    <w:p w14:paraId="741AAAD7" w14:textId="15576DA8" w:rsidR="00CA5448" w:rsidRDefault="00CA5448">
      <w:pPr>
        <w:pStyle w:val="TJ2"/>
        <w:rPr>
          <w:rFonts w:asciiTheme="minorHAnsi" w:hAnsiTheme="minorHAnsi" w:cstheme="minorBidi"/>
          <w:noProof/>
          <w:sz w:val="24"/>
          <w:szCs w:val="21"/>
          <w:lang w:eastAsia="en-GB" w:bidi="sa-IN"/>
        </w:rPr>
      </w:pPr>
      <w:hyperlink w:anchor="_Toc200963296" w:history="1">
        <w:r w:rsidRPr="005C1402">
          <w:rPr>
            <w:rStyle w:val="Hiperhivatkozs"/>
            <w:noProof/>
            <w:lang w:bidi="ar-SA"/>
          </w:rPr>
          <w:t>4.1. The basic inventory of consonants and vowels</w:t>
        </w:r>
        <w:r>
          <w:rPr>
            <w:noProof/>
            <w:webHidden/>
          </w:rPr>
          <w:tab/>
        </w:r>
        <w:r>
          <w:rPr>
            <w:noProof/>
            <w:webHidden/>
          </w:rPr>
          <w:fldChar w:fldCharType="begin"/>
        </w:r>
        <w:r>
          <w:rPr>
            <w:noProof/>
            <w:webHidden/>
          </w:rPr>
          <w:instrText xml:space="preserve"> PAGEREF _Toc200963296 \h </w:instrText>
        </w:r>
        <w:r>
          <w:rPr>
            <w:noProof/>
            <w:webHidden/>
          </w:rPr>
        </w:r>
        <w:r>
          <w:rPr>
            <w:noProof/>
            <w:webHidden/>
          </w:rPr>
          <w:fldChar w:fldCharType="separate"/>
        </w:r>
        <w:r>
          <w:rPr>
            <w:noProof/>
            <w:webHidden/>
          </w:rPr>
          <w:t>28</w:t>
        </w:r>
        <w:r>
          <w:rPr>
            <w:noProof/>
            <w:webHidden/>
          </w:rPr>
          <w:fldChar w:fldCharType="end"/>
        </w:r>
      </w:hyperlink>
    </w:p>
    <w:p w14:paraId="3E18EFD1" w14:textId="3748E183" w:rsidR="00CA5448" w:rsidRDefault="00CA5448">
      <w:pPr>
        <w:pStyle w:val="TJ3"/>
        <w:rPr>
          <w:rFonts w:asciiTheme="minorHAnsi" w:hAnsiTheme="minorHAnsi" w:cstheme="minorBidi"/>
          <w:noProof/>
          <w:sz w:val="24"/>
          <w:szCs w:val="21"/>
          <w:lang w:eastAsia="en-GB" w:bidi="sa-IN"/>
        </w:rPr>
      </w:pPr>
      <w:hyperlink w:anchor="_Toc200963297" w:history="1">
        <w:r w:rsidRPr="005C1402">
          <w:rPr>
            <w:rStyle w:val="Hiperhivatkozs"/>
            <w:noProof/>
            <w:lang w:bidi="ar-SA"/>
          </w:rPr>
          <w:t>4.1.1.</w:t>
        </w:r>
        <w:r w:rsidRPr="005C1402">
          <w:rPr>
            <w:rStyle w:val="Hiperhivatkozs"/>
            <w:rFonts w:eastAsia="Arial"/>
            <w:b/>
            <w:bCs/>
            <w:i/>
            <w:iCs/>
            <w:noProof/>
            <w:lang w:bidi="ar-SA"/>
          </w:rPr>
          <w:t xml:space="preserve"> Vocalic r and l</w:t>
        </w:r>
        <w:r>
          <w:rPr>
            <w:noProof/>
            <w:webHidden/>
          </w:rPr>
          <w:tab/>
        </w:r>
        <w:r>
          <w:rPr>
            <w:noProof/>
            <w:webHidden/>
          </w:rPr>
          <w:fldChar w:fldCharType="begin"/>
        </w:r>
        <w:r>
          <w:rPr>
            <w:noProof/>
            <w:webHidden/>
          </w:rPr>
          <w:instrText xml:space="preserve"> PAGEREF _Toc200963297 \h </w:instrText>
        </w:r>
        <w:r>
          <w:rPr>
            <w:noProof/>
            <w:webHidden/>
          </w:rPr>
        </w:r>
        <w:r>
          <w:rPr>
            <w:noProof/>
            <w:webHidden/>
          </w:rPr>
          <w:fldChar w:fldCharType="separate"/>
        </w:r>
        <w:r>
          <w:rPr>
            <w:noProof/>
            <w:webHidden/>
          </w:rPr>
          <w:t>28</w:t>
        </w:r>
        <w:r>
          <w:rPr>
            <w:noProof/>
            <w:webHidden/>
          </w:rPr>
          <w:fldChar w:fldCharType="end"/>
        </w:r>
      </w:hyperlink>
    </w:p>
    <w:p w14:paraId="5DB50C8D" w14:textId="5B961BBF" w:rsidR="00CA5448" w:rsidRDefault="00CA5448">
      <w:pPr>
        <w:pStyle w:val="TJ3"/>
        <w:rPr>
          <w:rFonts w:asciiTheme="minorHAnsi" w:hAnsiTheme="minorHAnsi" w:cstheme="minorBidi"/>
          <w:noProof/>
          <w:sz w:val="24"/>
          <w:szCs w:val="21"/>
          <w:lang w:eastAsia="en-GB" w:bidi="sa-IN"/>
        </w:rPr>
      </w:pPr>
      <w:hyperlink w:anchor="_Toc200963298" w:history="1">
        <w:r w:rsidRPr="005C1402">
          <w:rPr>
            <w:rStyle w:val="Hiperhivatkozs"/>
            <w:noProof/>
            <w:lang w:bidi="ar-SA"/>
          </w:rPr>
          <w:t xml:space="preserve">4.1.2. Long and short </w:t>
        </w:r>
        <w:r w:rsidRPr="005C1402">
          <w:rPr>
            <w:rStyle w:val="Hiperhivatkozs"/>
            <w:rFonts w:eastAsia="Gentium"/>
            <w:noProof/>
            <w:lang w:bidi="ar-SA"/>
          </w:rPr>
          <w:t>e and o</w:t>
        </w:r>
        <w:r>
          <w:rPr>
            <w:noProof/>
            <w:webHidden/>
          </w:rPr>
          <w:tab/>
        </w:r>
        <w:r>
          <w:rPr>
            <w:noProof/>
            <w:webHidden/>
          </w:rPr>
          <w:fldChar w:fldCharType="begin"/>
        </w:r>
        <w:r>
          <w:rPr>
            <w:noProof/>
            <w:webHidden/>
          </w:rPr>
          <w:instrText xml:space="preserve"> PAGEREF _Toc200963298 \h </w:instrText>
        </w:r>
        <w:r>
          <w:rPr>
            <w:noProof/>
            <w:webHidden/>
          </w:rPr>
        </w:r>
        <w:r>
          <w:rPr>
            <w:noProof/>
            <w:webHidden/>
          </w:rPr>
          <w:fldChar w:fldCharType="separate"/>
        </w:r>
        <w:r>
          <w:rPr>
            <w:noProof/>
            <w:webHidden/>
          </w:rPr>
          <w:t>28</w:t>
        </w:r>
        <w:r>
          <w:rPr>
            <w:noProof/>
            <w:webHidden/>
          </w:rPr>
          <w:fldChar w:fldCharType="end"/>
        </w:r>
      </w:hyperlink>
    </w:p>
    <w:p w14:paraId="05AF5F15" w14:textId="02F4CA15" w:rsidR="00CA5448" w:rsidRDefault="00CA5448">
      <w:pPr>
        <w:pStyle w:val="TJ2"/>
        <w:rPr>
          <w:rFonts w:asciiTheme="minorHAnsi" w:hAnsiTheme="minorHAnsi" w:cstheme="minorBidi"/>
          <w:noProof/>
          <w:sz w:val="24"/>
          <w:szCs w:val="21"/>
          <w:lang w:eastAsia="en-GB" w:bidi="sa-IN"/>
        </w:rPr>
      </w:pPr>
      <w:hyperlink w:anchor="_Toc200963299" w:history="1">
        <w:r w:rsidRPr="005C1402">
          <w:rPr>
            <w:rStyle w:val="Hiperhivatkozs"/>
            <w:noProof/>
            <w:lang w:bidi="ar-SA"/>
          </w:rPr>
          <w:t>4.2. Additional signs specific to regions and languages</w:t>
        </w:r>
        <w:r>
          <w:rPr>
            <w:noProof/>
            <w:webHidden/>
          </w:rPr>
          <w:tab/>
        </w:r>
        <w:r>
          <w:rPr>
            <w:noProof/>
            <w:webHidden/>
          </w:rPr>
          <w:fldChar w:fldCharType="begin"/>
        </w:r>
        <w:r>
          <w:rPr>
            <w:noProof/>
            <w:webHidden/>
          </w:rPr>
          <w:instrText xml:space="preserve"> PAGEREF _Toc200963299 \h </w:instrText>
        </w:r>
        <w:r>
          <w:rPr>
            <w:noProof/>
            <w:webHidden/>
          </w:rPr>
        </w:r>
        <w:r>
          <w:rPr>
            <w:noProof/>
            <w:webHidden/>
          </w:rPr>
          <w:fldChar w:fldCharType="separate"/>
        </w:r>
        <w:r>
          <w:rPr>
            <w:noProof/>
            <w:webHidden/>
          </w:rPr>
          <w:t>28</w:t>
        </w:r>
        <w:r>
          <w:rPr>
            <w:noProof/>
            <w:webHidden/>
          </w:rPr>
          <w:fldChar w:fldCharType="end"/>
        </w:r>
      </w:hyperlink>
    </w:p>
    <w:p w14:paraId="33DF64A6" w14:textId="0BE74647" w:rsidR="00CA5448" w:rsidRDefault="00CA5448">
      <w:pPr>
        <w:pStyle w:val="TJ3"/>
        <w:rPr>
          <w:rFonts w:asciiTheme="minorHAnsi" w:hAnsiTheme="minorHAnsi" w:cstheme="minorBidi"/>
          <w:noProof/>
          <w:sz w:val="24"/>
          <w:szCs w:val="21"/>
          <w:lang w:eastAsia="en-GB" w:bidi="sa-IN"/>
        </w:rPr>
      </w:pPr>
      <w:hyperlink w:anchor="_Toc200963300" w:history="1">
        <w:r w:rsidRPr="005C1402">
          <w:rPr>
            <w:rStyle w:val="Hiperhivatkozs"/>
            <w:noProof/>
            <w:lang w:bidi="ar-SA"/>
          </w:rPr>
          <w:t>4.2.1. Dravidian graphemes</w:t>
        </w:r>
        <w:r>
          <w:rPr>
            <w:noProof/>
            <w:webHidden/>
          </w:rPr>
          <w:tab/>
        </w:r>
        <w:r>
          <w:rPr>
            <w:noProof/>
            <w:webHidden/>
          </w:rPr>
          <w:fldChar w:fldCharType="begin"/>
        </w:r>
        <w:r>
          <w:rPr>
            <w:noProof/>
            <w:webHidden/>
          </w:rPr>
          <w:instrText xml:space="preserve"> PAGEREF _Toc200963300 \h </w:instrText>
        </w:r>
        <w:r>
          <w:rPr>
            <w:noProof/>
            <w:webHidden/>
          </w:rPr>
        </w:r>
        <w:r>
          <w:rPr>
            <w:noProof/>
            <w:webHidden/>
          </w:rPr>
          <w:fldChar w:fldCharType="separate"/>
        </w:r>
        <w:r>
          <w:rPr>
            <w:noProof/>
            <w:webHidden/>
          </w:rPr>
          <w:t>28</w:t>
        </w:r>
        <w:r>
          <w:rPr>
            <w:noProof/>
            <w:webHidden/>
          </w:rPr>
          <w:fldChar w:fldCharType="end"/>
        </w:r>
      </w:hyperlink>
    </w:p>
    <w:p w14:paraId="1C24FABD" w14:textId="3D3AA12D" w:rsidR="00CA5448" w:rsidRDefault="00CA5448">
      <w:pPr>
        <w:pStyle w:val="TJ3"/>
        <w:rPr>
          <w:rFonts w:asciiTheme="minorHAnsi" w:hAnsiTheme="minorHAnsi" w:cstheme="minorBidi"/>
          <w:noProof/>
          <w:sz w:val="24"/>
          <w:szCs w:val="21"/>
          <w:lang w:eastAsia="en-GB" w:bidi="sa-IN"/>
        </w:rPr>
      </w:pPr>
      <w:hyperlink w:anchor="_Toc200963301" w:history="1">
        <w:r w:rsidRPr="005C1402">
          <w:rPr>
            <w:rStyle w:val="Hiperhivatkozs"/>
            <w:noProof/>
            <w:lang w:bidi="ar-SA"/>
          </w:rPr>
          <w:t>4.2.2. Southeast Asian graphemes</w:t>
        </w:r>
        <w:r>
          <w:rPr>
            <w:noProof/>
            <w:webHidden/>
          </w:rPr>
          <w:tab/>
        </w:r>
        <w:r>
          <w:rPr>
            <w:noProof/>
            <w:webHidden/>
          </w:rPr>
          <w:fldChar w:fldCharType="begin"/>
        </w:r>
        <w:r>
          <w:rPr>
            <w:noProof/>
            <w:webHidden/>
          </w:rPr>
          <w:instrText xml:space="preserve"> PAGEREF _Toc200963301 \h </w:instrText>
        </w:r>
        <w:r>
          <w:rPr>
            <w:noProof/>
            <w:webHidden/>
          </w:rPr>
        </w:r>
        <w:r>
          <w:rPr>
            <w:noProof/>
            <w:webHidden/>
          </w:rPr>
          <w:fldChar w:fldCharType="separate"/>
        </w:r>
        <w:r>
          <w:rPr>
            <w:noProof/>
            <w:webHidden/>
          </w:rPr>
          <w:t>28</w:t>
        </w:r>
        <w:r>
          <w:rPr>
            <w:noProof/>
            <w:webHidden/>
          </w:rPr>
          <w:fldChar w:fldCharType="end"/>
        </w:r>
      </w:hyperlink>
    </w:p>
    <w:p w14:paraId="51B3F49C" w14:textId="51210CB8" w:rsidR="00CA5448" w:rsidRDefault="00CA5448">
      <w:pPr>
        <w:pStyle w:val="TJ2"/>
        <w:rPr>
          <w:rFonts w:asciiTheme="minorHAnsi" w:hAnsiTheme="minorHAnsi" w:cstheme="minorBidi"/>
          <w:noProof/>
          <w:sz w:val="24"/>
          <w:szCs w:val="21"/>
          <w:lang w:eastAsia="en-GB" w:bidi="sa-IN"/>
        </w:rPr>
      </w:pPr>
      <w:hyperlink w:anchor="_Toc200963302" w:history="1">
        <w:r w:rsidRPr="005C1402">
          <w:rPr>
            <w:rStyle w:val="Hiperhivatkozs"/>
            <w:rFonts w:eastAsia="Arial"/>
            <w:b/>
            <w:bCs/>
            <w:noProof/>
            <w:lang w:bidi="ar-SA"/>
          </w:rPr>
          <w:t>4.3.</w:t>
        </w:r>
        <w:r w:rsidRPr="005C1402">
          <w:rPr>
            <w:rStyle w:val="Hiperhivatkozs"/>
            <w:i/>
            <w:iCs/>
            <w:noProof/>
            <w:lang w:bidi="ar-SA"/>
          </w:rPr>
          <w:t xml:space="preserve"> Anusvāra</w:t>
        </w:r>
        <w:r w:rsidRPr="005C1402">
          <w:rPr>
            <w:rStyle w:val="Hiperhivatkozs"/>
            <w:rFonts w:eastAsia="Arial"/>
            <w:b/>
            <w:bCs/>
            <w:i/>
            <w:iCs/>
            <w:noProof/>
            <w:lang w:bidi="ar-SA"/>
          </w:rPr>
          <w:t xml:space="preserve"> and its relatives</w:t>
        </w:r>
        <w:r>
          <w:rPr>
            <w:noProof/>
            <w:webHidden/>
          </w:rPr>
          <w:tab/>
        </w:r>
        <w:r>
          <w:rPr>
            <w:noProof/>
            <w:webHidden/>
          </w:rPr>
          <w:fldChar w:fldCharType="begin"/>
        </w:r>
        <w:r>
          <w:rPr>
            <w:noProof/>
            <w:webHidden/>
          </w:rPr>
          <w:instrText xml:space="preserve"> PAGEREF _Toc200963302 \h </w:instrText>
        </w:r>
        <w:r>
          <w:rPr>
            <w:noProof/>
            <w:webHidden/>
          </w:rPr>
        </w:r>
        <w:r>
          <w:rPr>
            <w:noProof/>
            <w:webHidden/>
          </w:rPr>
          <w:fldChar w:fldCharType="separate"/>
        </w:r>
        <w:r>
          <w:rPr>
            <w:noProof/>
            <w:webHidden/>
          </w:rPr>
          <w:t>29</w:t>
        </w:r>
        <w:r>
          <w:rPr>
            <w:noProof/>
            <w:webHidden/>
          </w:rPr>
          <w:fldChar w:fldCharType="end"/>
        </w:r>
      </w:hyperlink>
    </w:p>
    <w:p w14:paraId="7FBBD73D" w14:textId="040EC5DF" w:rsidR="00CA5448" w:rsidRDefault="00CA5448">
      <w:pPr>
        <w:pStyle w:val="TJ3"/>
        <w:rPr>
          <w:rFonts w:asciiTheme="minorHAnsi" w:hAnsiTheme="minorHAnsi" w:cstheme="minorBidi"/>
          <w:noProof/>
          <w:sz w:val="24"/>
          <w:szCs w:val="21"/>
          <w:lang w:eastAsia="en-GB" w:bidi="sa-IN"/>
        </w:rPr>
      </w:pPr>
      <w:hyperlink w:anchor="_Toc200963303" w:history="1">
        <w:r w:rsidRPr="005C1402">
          <w:rPr>
            <w:rStyle w:val="Hiperhivatkozs"/>
            <w:noProof/>
            <w:lang w:bidi="ar-SA"/>
          </w:rPr>
          <w:t xml:space="preserve">4.3.1. Special forms of </w:t>
        </w:r>
        <w:r w:rsidRPr="005C1402">
          <w:rPr>
            <w:rStyle w:val="Hiperhivatkozs"/>
            <w:i/>
            <w:iCs/>
            <w:noProof/>
            <w:lang w:bidi="ar-SA"/>
          </w:rPr>
          <w:t>anusvāra</w:t>
        </w:r>
        <w:r>
          <w:rPr>
            <w:noProof/>
            <w:webHidden/>
          </w:rPr>
          <w:tab/>
        </w:r>
        <w:r>
          <w:rPr>
            <w:noProof/>
            <w:webHidden/>
          </w:rPr>
          <w:fldChar w:fldCharType="begin"/>
        </w:r>
        <w:r>
          <w:rPr>
            <w:noProof/>
            <w:webHidden/>
          </w:rPr>
          <w:instrText xml:space="preserve"> PAGEREF _Toc200963303 \h </w:instrText>
        </w:r>
        <w:r>
          <w:rPr>
            <w:noProof/>
            <w:webHidden/>
          </w:rPr>
        </w:r>
        <w:r>
          <w:rPr>
            <w:noProof/>
            <w:webHidden/>
          </w:rPr>
          <w:fldChar w:fldCharType="separate"/>
        </w:r>
        <w:r>
          <w:rPr>
            <w:noProof/>
            <w:webHidden/>
          </w:rPr>
          <w:t>29</w:t>
        </w:r>
        <w:r>
          <w:rPr>
            <w:noProof/>
            <w:webHidden/>
          </w:rPr>
          <w:fldChar w:fldCharType="end"/>
        </w:r>
      </w:hyperlink>
    </w:p>
    <w:p w14:paraId="643D45CE" w14:textId="6804818F" w:rsidR="00CA5448" w:rsidRDefault="00CA5448">
      <w:pPr>
        <w:pStyle w:val="TJ2"/>
        <w:rPr>
          <w:rFonts w:asciiTheme="minorHAnsi" w:hAnsiTheme="minorHAnsi" w:cstheme="minorBidi"/>
          <w:noProof/>
          <w:sz w:val="24"/>
          <w:szCs w:val="21"/>
          <w:lang w:eastAsia="en-GB" w:bidi="sa-IN"/>
        </w:rPr>
      </w:pPr>
      <w:hyperlink w:anchor="_Toc200963304" w:history="1">
        <w:r w:rsidRPr="005C1402">
          <w:rPr>
            <w:rStyle w:val="Hiperhivatkozs"/>
            <w:noProof/>
            <w:lang w:bidi="ar-SA"/>
          </w:rPr>
          <w:t>4.4.</w:t>
        </w:r>
        <w:r w:rsidRPr="005C1402">
          <w:rPr>
            <w:rStyle w:val="Hiperhivatkozs"/>
            <w:i/>
            <w:iCs/>
            <w:noProof/>
            <w:lang w:bidi="ar-SA"/>
          </w:rPr>
          <w:t xml:space="preserve"> Visarga</w:t>
        </w:r>
        <w:r w:rsidRPr="005C1402">
          <w:rPr>
            <w:rStyle w:val="Hiperhivatkozs"/>
            <w:noProof/>
            <w:lang w:bidi="ar-SA"/>
          </w:rPr>
          <w:t xml:space="preserve"> and its relatives</w:t>
        </w:r>
        <w:r>
          <w:rPr>
            <w:noProof/>
            <w:webHidden/>
          </w:rPr>
          <w:tab/>
        </w:r>
        <w:r>
          <w:rPr>
            <w:noProof/>
            <w:webHidden/>
          </w:rPr>
          <w:fldChar w:fldCharType="begin"/>
        </w:r>
        <w:r>
          <w:rPr>
            <w:noProof/>
            <w:webHidden/>
          </w:rPr>
          <w:instrText xml:space="preserve"> PAGEREF _Toc200963304 \h </w:instrText>
        </w:r>
        <w:r>
          <w:rPr>
            <w:noProof/>
            <w:webHidden/>
          </w:rPr>
        </w:r>
        <w:r>
          <w:rPr>
            <w:noProof/>
            <w:webHidden/>
          </w:rPr>
          <w:fldChar w:fldCharType="separate"/>
        </w:r>
        <w:r>
          <w:rPr>
            <w:noProof/>
            <w:webHidden/>
          </w:rPr>
          <w:t>29</w:t>
        </w:r>
        <w:r>
          <w:rPr>
            <w:noProof/>
            <w:webHidden/>
          </w:rPr>
          <w:fldChar w:fldCharType="end"/>
        </w:r>
      </w:hyperlink>
    </w:p>
    <w:p w14:paraId="1DABD96A" w14:textId="4E9840E5" w:rsidR="00CA5448" w:rsidRDefault="00CA5448">
      <w:pPr>
        <w:pStyle w:val="TJ2"/>
        <w:rPr>
          <w:rFonts w:asciiTheme="minorHAnsi" w:hAnsiTheme="minorHAnsi" w:cstheme="minorBidi"/>
          <w:noProof/>
          <w:sz w:val="24"/>
          <w:szCs w:val="21"/>
          <w:lang w:eastAsia="en-GB" w:bidi="sa-IN"/>
        </w:rPr>
      </w:pPr>
      <w:hyperlink w:anchor="_Toc200963305" w:history="1">
        <w:r w:rsidRPr="005C1402">
          <w:rPr>
            <w:rStyle w:val="Hiperhivatkozs"/>
            <w:noProof/>
            <w:lang w:bidi="ar-SA"/>
          </w:rPr>
          <w:t>4.5. Systemic variation in writing vowelless consonants</w:t>
        </w:r>
        <w:r>
          <w:rPr>
            <w:noProof/>
            <w:webHidden/>
          </w:rPr>
          <w:tab/>
        </w:r>
        <w:r>
          <w:rPr>
            <w:noProof/>
            <w:webHidden/>
          </w:rPr>
          <w:fldChar w:fldCharType="begin"/>
        </w:r>
        <w:r>
          <w:rPr>
            <w:noProof/>
            <w:webHidden/>
          </w:rPr>
          <w:instrText xml:space="preserve"> PAGEREF _Toc200963305 \h </w:instrText>
        </w:r>
        <w:r>
          <w:rPr>
            <w:noProof/>
            <w:webHidden/>
          </w:rPr>
        </w:r>
        <w:r>
          <w:rPr>
            <w:noProof/>
            <w:webHidden/>
          </w:rPr>
          <w:fldChar w:fldCharType="separate"/>
        </w:r>
        <w:r>
          <w:rPr>
            <w:noProof/>
            <w:webHidden/>
          </w:rPr>
          <w:t>30</w:t>
        </w:r>
        <w:r>
          <w:rPr>
            <w:noProof/>
            <w:webHidden/>
          </w:rPr>
          <w:fldChar w:fldCharType="end"/>
        </w:r>
      </w:hyperlink>
    </w:p>
    <w:p w14:paraId="64C0685C" w14:textId="582EE5A5" w:rsidR="00CA5448" w:rsidRDefault="00CA5448">
      <w:pPr>
        <w:pStyle w:val="TJ3"/>
        <w:rPr>
          <w:rFonts w:asciiTheme="minorHAnsi" w:hAnsiTheme="minorHAnsi" w:cstheme="minorBidi"/>
          <w:noProof/>
          <w:sz w:val="24"/>
          <w:szCs w:val="21"/>
          <w:lang w:eastAsia="en-GB" w:bidi="sa-IN"/>
        </w:rPr>
      </w:pPr>
      <w:hyperlink w:anchor="_Toc200963306" w:history="1">
        <w:r w:rsidRPr="005C1402">
          <w:rPr>
            <w:rStyle w:val="Hiperhivatkozs"/>
            <w:noProof/>
            <w:lang w:bidi="ar-SA"/>
          </w:rPr>
          <w:t xml:space="preserve">4.5.1. Final consonants with </w:t>
        </w:r>
        <w:r w:rsidRPr="005C1402">
          <w:rPr>
            <w:rStyle w:val="Hiperhivatkozs"/>
            <w:i/>
            <w:iCs/>
            <w:noProof/>
            <w:lang w:bidi="ar-SA"/>
          </w:rPr>
          <w:t>virāma</w:t>
        </w:r>
        <w:r>
          <w:rPr>
            <w:noProof/>
            <w:webHidden/>
          </w:rPr>
          <w:tab/>
        </w:r>
        <w:r>
          <w:rPr>
            <w:noProof/>
            <w:webHidden/>
          </w:rPr>
          <w:fldChar w:fldCharType="begin"/>
        </w:r>
        <w:r>
          <w:rPr>
            <w:noProof/>
            <w:webHidden/>
          </w:rPr>
          <w:instrText xml:space="preserve"> PAGEREF _Toc200963306 \h </w:instrText>
        </w:r>
        <w:r>
          <w:rPr>
            <w:noProof/>
            <w:webHidden/>
          </w:rPr>
        </w:r>
        <w:r>
          <w:rPr>
            <w:noProof/>
            <w:webHidden/>
          </w:rPr>
          <w:fldChar w:fldCharType="separate"/>
        </w:r>
        <w:r>
          <w:rPr>
            <w:noProof/>
            <w:webHidden/>
          </w:rPr>
          <w:t>30</w:t>
        </w:r>
        <w:r>
          <w:rPr>
            <w:noProof/>
            <w:webHidden/>
          </w:rPr>
          <w:fldChar w:fldCharType="end"/>
        </w:r>
      </w:hyperlink>
    </w:p>
    <w:p w14:paraId="44707BBF" w14:textId="46968F83" w:rsidR="00CA5448" w:rsidRDefault="00CA5448">
      <w:pPr>
        <w:pStyle w:val="TJ3"/>
        <w:rPr>
          <w:rFonts w:asciiTheme="minorHAnsi" w:hAnsiTheme="minorHAnsi" w:cstheme="minorBidi"/>
          <w:noProof/>
          <w:sz w:val="24"/>
          <w:szCs w:val="21"/>
          <w:lang w:eastAsia="en-GB" w:bidi="sa-IN"/>
        </w:rPr>
      </w:pPr>
      <w:hyperlink w:anchor="_Toc200963307" w:history="1">
        <w:r w:rsidRPr="005C1402">
          <w:rPr>
            <w:rStyle w:val="Hiperhivatkozs"/>
            <w:noProof/>
            <w:lang w:bidi="ar-SA"/>
          </w:rPr>
          <w:t>4.5.2. Final consonants as simplex characters</w:t>
        </w:r>
        <w:r>
          <w:rPr>
            <w:noProof/>
            <w:webHidden/>
          </w:rPr>
          <w:tab/>
        </w:r>
        <w:r>
          <w:rPr>
            <w:noProof/>
            <w:webHidden/>
          </w:rPr>
          <w:fldChar w:fldCharType="begin"/>
        </w:r>
        <w:r>
          <w:rPr>
            <w:noProof/>
            <w:webHidden/>
          </w:rPr>
          <w:instrText xml:space="preserve"> PAGEREF _Toc200963307 \h </w:instrText>
        </w:r>
        <w:r>
          <w:rPr>
            <w:noProof/>
            <w:webHidden/>
          </w:rPr>
        </w:r>
        <w:r>
          <w:rPr>
            <w:noProof/>
            <w:webHidden/>
          </w:rPr>
          <w:fldChar w:fldCharType="separate"/>
        </w:r>
        <w:r>
          <w:rPr>
            <w:noProof/>
            <w:webHidden/>
          </w:rPr>
          <w:t>30</w:t>
        </w:r>
        <w:r>
          <w:rPr>
            <w:noProof/>
            <w:webHidden/>
          </w:rPr>
          <w:fldChar w:fldCharType="end"/>
        </w:r>
      </w:hyperlink>
    </w:p>
    <w:p w14:paraId="2A481E90" w14:textId="0D8ABCE9" w:rsidR="00CA5448" w:rsidRDefault="00CA5448">
      <w:pPr>
        <w:pStyle w:val="TJ3"/>
        <w:rPr>
          <w:rFonts w:asciiTheme="minorHAnsi" w:hAnsiTheme="minorHAnsi" w:cstheme="minorBidi"/>
          <w:noProof/>
          <w:sz w:val="24"/>
          <w:szCs w:val="21"/>
          <w:lang w:eastAsia="en-GB" w:bidi="sa-IN"/>
        </w:rPr>
      </w:pPr>
      <w:hyperlink w:anchor="_Toc200963308" w:history="1">
        <w:r w:rsidRPr="005C1402">
          <w:rPr>
            <w:rStyle w:val="Hiperhivatkozs"/>
            <w:noProof/>
            <w:lang w:bidi="ar-SA"/>
          </w:rPr>
          <w:t>4.5.3. Conjunct consonants in writing systems where they are not the norm</w:t>
        </w:r>
        <w:r>
          <w:rPr>
            <w:noProof/>
            <w:webHidden/>
          </w:rPr>
          <w:tab/>
        </w:r>
        <w:r>
          <w:rPr>
            <w:noProof/>
            <w:webHidden/>
          </w:rPr>
          <w:fldChar w:fldCharType="begin"/>
        </w:r>
        <w:r>
          <w:rPr>
            <w:noProof/>
            <w:webHidden/>
          </w:rPr>
          <w:instrText xml:space="preserve"> PAGEREF _Toc200963308 \h </w:instrText>
        </w:r>
        <w:r>
          <w:rPr>
            <w:noProof/>
            <w:webHidden/>
          </w:rPr>
        </w:r>
        <w:r>
          <w:rPr>
            <w:noProof/>
            <w:webHidden/>
          </w:rPr>
          <w:fldChar w:fldCharType="separate"/>
        </w:r>
        <w:r>
          <w:rPr>
            <w:noProof/>
            <w:webHidden/>
          </w:rPr>
          <w:t>31</w:t>
        </w:r>
        <w:r>
          <w:rPr>
            <w:noProof/>
            <w:webHidden/>
          </w:rPr>
          <w:fldChar w:fldCharType="end"/>
        </w:r>
      </w:hyperlink>
    </w:p>
    <w:p w14:paraId="2BC93B6D" w14:textId="61DB9E4A" w:rsidR="00CA5448" w:rsidRDefault="00CA5448">
      <w:pPr>
        <w:pStyle w:val="TJ2"/>
        <w:rPr>
          <w:rFonts w:asciiTheme="minorHAnsi" w:hAnsiTheme="minorHAnsi" w:cstheme="minorBidi"/>
          <w:noProof/>
          <w:sz w:val="24"/>
          <w:szCs w:val="21"/>
          <w:lang w:eastAsia="en-GB" w:bidi="sa-IN"/>
        </w:rPr>
      </w:pPr>
      <w:hyperlink w:anchor="_Toc200963309" w:history="1">
        <w:r w:rsidRPr="005C1402">
          <w:rPr>
            <w:rStyle w:val="Hiperhivatkozs"/>
            <w:noProof/>
            <w:lang w:bidi="ar-SA"/>
          </w:rPr>
          <w:t>4.6. Systemic variation in writing independent vowels</w:t>
        </w:r>
        <w:r>
          <w:rPr>
            <w:noProof/>
            <w:webHidden/>
          </w:rPr>
          <w:tab/>
        </w:r>
        <w:r>
          <w:rPr>
            <w:noProof/>
            <w:webHidden/>
          </w:rPr>
          <w:fldChar w:fldCharType="begin"/>
        </w:r>
        <w:r>
          <w:rPr>
            <w:noProof/>
            <w:webHidden/>
          </w:rPr>
          <w:instrText xml:space="preserve"> PAGEREF _Toc200963309 \h </w:instrText>
        </w:r>
        <w:r>
          <w:rPr>
            <w:noProof/>
            <w:webHidden/>
          </w:rPr>
        </w:r>
        <w:r>
          <w:rPr>
            <w:noProof/>
            <w:webHidden/>
          </w:rPr>
          <w:fldChar w:fldCharType="separate"/>
        </w:r>
        <w:r>
          <w:rPr>
            <w:noProof/>
            <w:webHidden/>
          </w:rPr>
          <w:t>31</w:t>
        </w:r>
        <w:r>
          <w:rPr>
            <w:noProof/>
            <w:webHidden/>
          </w:rPr>
          <w:fldChar w:fldCharType="end"/>
        </w:r>
      </w:hyperlink>
    </w:p>
    <w:p w14:paraId="61F99884" w14:textId="60808FF9" w:rsidR="00CA5448" w:rsidRDefault="00CA5448">
      <w:pPr>
        <w:pStyle w:val="TJ3"/>
        <w:rPr>
          <w:rFonts w:asciiTheme="minorHAnsi" w:hAnsiTheme="minorHAnsi" w:cstheme="minorBidi"/>
          <w:noProof/>
          <w:sz w:val="24"/>
          <w:szCs w:val="21"/>
          <w:lang w:eastAsia="en-GB" w:bidi="sa-IN"/>
        </w:rPr>
      </w:pPr>
      <w:hyperlink w:anchor="_Toc200963310" w:history="1">
        <w:r w:rsidRPr="005C1402">
          <w:rPr>
            <w:rStyle w:val="Hiperhivatkozs"/>
            <w:noProof/>
            <w:lang w:bidi="ar-SA"/>
          </w:rPr>
          <w:t>4.6.1. Independent vowels as simplex characters</w:t>
        </w:r>
        <w:r>
          <w:rPr>
            <w:noProof/>
            <w:webHidden/>
          </w:rPr>
          <w:tab/>
        </w:r>
        <w:r>
          <w:rPr>
            <w:noProof/>
            <w:webHidden/>
          </w:rPr>
          <w:fldChar w:fldCharType="begin"/>
        </w:r>
        <w:r>
          <w:rPr>
            <w:noProof/>
            <w:webHidden/>
          </w:rPr>
          <w:instrText xml:space="preserve"> PAGEREF _Toc200963310 \h </w:instrText>
        </w:r>
        <w:r>
          <w:rPr>
            <w:noProof/>
            <w:webHidden/>
          </w:rPr>
        </w:r>
        <w:r>
          <w:rPr>
            <w:noProof/>
            <w:webHidden/>
          </w:rPr>
          <w:fldChar w:fldCharType="separate"/>
        </w:r>
        <w:r>
          <w:rPr>
            <w:noProof/>
            <w:webHidden/>
          </w:rPr>
          <w:t>31</w:t>
        </w:r>
        <w:r>
          <w:rPr>
            <w:noProof/>
            <w:webHidden/>
          </w:rPr>
          <w:fldChar w:fldCharType="end"/>
        </w:r>
      </w:hyperlink>
    </w:p>
    <w:p w14:paraId="3F5CEA94" w14:textId="52384E6E" w:rsidR="00CA5448" w:rsidRDefault="00CA5448">
      <w:pPr>
        <w:pStyle w:val="TJ3"/>
        <w:rPr>
          <w:rFonts w:asciiTheme="minorHAnsi" w:hAnsiTheme="minorHAnsi" w:cstheme="minorBidi"/>
          <w:noProof/>
          <w:sz w:val="24"/>
          <w:szCs w:val="21"/>
          <w:lang w:eastAsia="en-GB" w:bidi="sa-IN"/>
        </w:rPr>
      </w:pPr>
      <w:hyperlink w:anchor="_Toc200963311" w:history="1">
        <w:r w:rsidRPr="005C1402">
          <w:rPr>
            <w:rStyle w:val="Hiperhivatkozs"/>
            <w:noProof/>
            <w:lang w:bidi="ar-SA"/>
          </w:rPr>
          <w:t>4.6.2. Independent vowels as complex characters involving a “vowel support”</w:t>
        </w:r>
        <w:r>
          <w:rPr>
            <w:noProof/>
            <w:webHidden/>
          </w:rPr>
          <w:tab/>
        </w:r>
        <w:r>
          <w:rPr>
            <w:noProof/>
            <w:webHidden/>
          </w:rPr>
          <w:fldChar w:fldCharType="begin"/>
        </w:r>
        <w:r>
          <w:rPr>
            <w:noProof/>
            <w:webHidden/>
          </w:rPr>
          <w:instrText xml:space="preserve"> PAGEREF _Toc200963311 \h </w:instrText>
        </w:r>
        <w:r>
          <w:rPr>
            <w:noProof/>
            <w:webHidden/>
          </w:rPr>
        </w:r>
        <w:r>
          <w:rPr>
            <w:noProof/>
            <w:webHidden/>
          </w:rPr>
          <w:fldChar w:fldCharType="separate"/>
        </w:r>
        <w:r>
          <w:rPr>
            <w:noProof/>
            <w:webHidden/>
          </w:rPr>
          <w:t>31</w:t>
        </w:r>
        <w:r>
          <w:rPr>
            <w:noProof/>
            <w:webHidden/>
          </w:rPr>
          <w:fldChar w:fldCharType="end"/>
        </w:r>
      </w:hyperlink>
    </w:p>
    <w:p w14:paraId="6A9FF572" w14:textId="22A1191C" w:rsidR="00CA5448" w:rsidRDefault="00CA5448">
      <w:pPr>
        <w:pStyle w:val="TJ3"/>
        <w:rPr>
          <w:rFonts w:asciiTheme="minorHAnsi" w:hAnsiTheme="minorHAnsi" w:cstheme="minorBidi"/>
          <w:noProof/>
          <w:sz w:val="24"/>
          <w:szCs w:val="21"/>
          <w:lang w:eastAsia="en-GB" w:bidi="sa-IN"/>
        </w:rPr>
      </w:pPr>
      <w:hyperlink w:anchor="_Toc200963312" w:history="1">
        <w:r w:rsidRPr="005C1402">
          <w:rPr>
            <w:rStyle w:val="Hiperhivatkozs"/>
            <w:noProof/>
            <w:lang w:bidi="ar-SA"/>
          </w:rPr>
          <w:t>4.6.3. Independent vowel signs behaving like consonant signs</w:t>
        </w:r>
        <w:r>
          <w:rPr>
            <w:noProof/>
            <w:webHidden/>
          </w:rPr>
          <w:tab/>
        </w:r>
        <w:r>
          <w:rPr>
            <w:noProof/>
            <w:webHidden/>
          </w:rPr>
          <w:fldChar w:fldCharType="begin"/>
        </w:r>
        <w:r>
          <w:rPr>
            <w:noProof/>
            <w:webHidden/>
          </w:rPr>
          <w:instrText xml:space="preserve"> PAGEREF _Toc200963312 \h </w:instrText>
        </w:r>
        <w:r>
          <w:rPr>
            <w:noProof/>
            <w:webHidden/>
          </w:rPr>
        </w:r>
        <w:r>
          <w:rPr>
            <w:noProof/>
            <w:webHidden/>
          </w:rPr>
          <w:fldChar w:fldCharType="separate"/>
        </w:r>
        <w:r>
          <w:rPr>
            <w:noProof/>
            <w:webHidden/>
          </w:rPr>
          <w:t>33</w:t>
        </w:r>
        <w:r>
          <w:rPr>
            <w:noProof/>
            <w:webHidden/>
          </w:rPr>
          <w:fldChar w:fldCharType="end"/>
        </w:r>
      </w:hyperlink>
    </w:p>
    <w:p w14:paraId="159813C6" w14:textId="3D0F97BF" w:rsidR="00CA5448" w:rsidRDefault="00CA5448">
      <w:pPr>
        <w:pStyle w:val="TJ2"/>
        <w:rPr>
          <w:rFonts w:asciiTheme="minorHAnsi" w:hAnsiTheme="minorHAnsi" w:cstheme="minorBidi"/>
          <w:noProof/>
          <w:sz w:val="24"/>
          <w:szCs w:val="21"/>
          <w:lang w:eastAsia="en-GB" w:bidi="sa-IN"/>
        </w:rPr>
      </w:pPr>
      <w:hyperlink w:anchor="_Toc200963313" w:history="1">
        <w:r w:rsidRPr="005C1402">
          <w:rPr>
            <w:rStyle w:val="Hiperhivatkozs"/>
            <w:noProof/>
            <w:lang w:bidi="ar-SA"/>
          </w:rPr>
          <w:t>4.7. Other kinds of systemic variation</w:t>
        </w:r>
        <w:r>
          <w:rPr>
            <w:noProof/>
            <w:webHidden/>
          </w:rPr>
          <w:tab/>
        </w:r>
        <w:r>
          <w:rPr>
            <w:noProof/>
            <w:webHidden/>
          </w:rPr>
          <w:fldChar w:fldCharType="begin"/>
        </w:r>
        <w:r>
          <w:rPr>
            <w:noProof/>
            <w:webHidden/>
          </w:rPr>
          <w:instrText xml:space="preserve"> PAGEREF _Toc200963313 \h </w:instrText>
        </w:r>
        <w:r>
          <w:rPr>
            <w:noProof/>
            <w:webHidden/>
          </w:rPr>
        </w:r>
        <w:r>
          <w:rPr>
            <w:noProof/>
            <w:webHidden/>
          </w:rPr>
          <w:fldChar w:fldCharType="separate"/>
        </w:r>
        <w:r>
          <w:rPr>
            <w:noProof/>
            <w:webHidden/>
          </w:rPr>
          <w:t>34</w:t>
        </w:r>
        <w:r>
          <w:rPr>
            <w:noProof/>
            <w:webHidden/>
          </w:rPr>
          <w:fldChar w:fldCharType="end"/>
        </w:r>
      </w:hyperlink>
    </w:p>
    <w:p w14:paraId="063B41FD" w14:textId="3F44F630" w:rsidR="00CA5448" w:rsidRDefault="00CA5448">
      <w:pPr>
        <w:pStyle w:val="TJ3"/>
        <w:rPr>
          <w:rFonts w:asciiTheme="minorHAnsi" w:hAnsiTheme="minorHAnsi" w:cstheme="minorBidi"/>
          <w:noProof/>
          <w:sz w:val="24"/>
          <w:szCs w:val="21"/>
          <w:lang w:eastAsia="en-GB" w:bidi="sa-IN"/>
        </w:rPr>
      </w:pPr>
      <w:hyperlink w:anchor="_Toc200963314" w:history="1">
        <w:r w:rsidRPr="005C1402">
          <w:rPr>
            <w:rStyle w:val="Hiperhivatkozs"/>
            <w:noProof/>
            <w:lang w:bidi="ar-SA"/>
          </w:rPr>
          <w:t>4.7.1. Repurposed vowel markers</w:t>
        </w:r>
        <w:r>
          <w:rPr>
            <w:noProof/>
            <w:webHidden/>
          </w:rPr>
          <w:tab/>
        </w:r>
        <w:r>
          <w:rPr>
            <w:noProof/>
            <w:webHidden/>
          </w:rPr>
          <w:fldChar w:fldCharType="begin"/>
        </w:r>
        <w:r>
          <w:rPr>
            <w:noProof/>
            <w:webHidden/>
          </w:rPr>
          <w:instrText xml:space="preserve"> PAGEREF _Toc200963314 \h </w:instrText>
        </w:r>
        <w:r>
          <w:rPr>
            <w:noProof/>
            <w:webHidden/>
          </w:rPr>
        </w:r>
        <w:r>
          <w:rPr>
            <w:noProof/>
            <w:webHidden/>
          </w:rPr>
          <w:fldChar w:fldCharType="separate"/>
        </w:r>
        <w:r>
          <w:rPr>
            <w:noProof/>
            <w:webHidden/>
          </w:rPr>
          <w:t>34</w:t>
        </w:r>
        <w:r>
          <w:rPr>
            <w:noProof/>
            <w:webHidden/>
          </w:rPr>
          <w:fldChar w:fldCharType="end"/>
        </w:r>
      </w:hyperlink>
    </w:p>
    <w:p w14:paraId="2A5F3D16" w14:textId="0D234AB1" w:rsidR="00CA5448" w:rsidRDefault="00CA5448">
      <w:pPr>
        <w:pStyle w:val="TJ3"/>
        <w:rPr>
          <w:rFonts w:asciiTheme="minorHAnsi" w:hAnsiTheme="minorHAnsi" w:cstheme="minorBidi"/>
          <w:noProof/>
          <w:sz w:val="24"/>
          <w:szCs w:val="21"/>
          <w:lang w:eastAsia="en-GB" w:bidi="sa-IN"/>
        </w:rPr>
      </w:pPr>
      <w:hyperlink w:anchor="_Toc200963315" w:history="1">
        <w:r w:rsidRPr="005C1402">
          <w:rPr>
            <w:rStyle w:val="Hiperhivatkozs"/>
            <w:noProof/>
            <w:lang w:bidi="ar-SA"/>
          </w:rPr>
          <w:t>4.7.2. Characters with alternative or optional phonemic values</w:t>
        </w:r>
        <w:r>
          <w:rPr>
            <w:noProof/>
            <w:webHidden/>
          </w:rPr>
          <w:tab/>
        </w:r>
        <w:r>
          <w:rPr>
            <w:noProof/>
            <w:webHidden/>
          </w:rPr>
          <w:fldChar w:fldCharType="begin"/>
        </w:r>
        <w:r>
          <w:rPr>
            <w:noProof/>
            <w:webHidden/>
          </w:rPr>
          <w:instrText xml:space="preserve"> PAGEREF _Toc200963315 \h </w:instrText>
        </w:r>
        <w:r>
          <w:rPr>
            <w:noProof/>
            <w:webHidden/>
          </w:rPr>
        </w:r>
        <w:r>
          <w:rPr>
            <w:noProof/>
            <w:webHidden/>
          </w:rPr>
          <w:fldChar w:fldCharType="separate"/>
        </w:r>
        <w:r>
          <w:rPr>
            <w:noProof/>
            <w:webHidden/>
          </w:rPr>
          <w:t>34</w:t>
        </w:r>
        <w:r>
          <w:rPr>
            <w:noProof/>
            <w:webHidden/>
          </w:rPr>
          <w:fldChar w:fldCharType="end"/>
        </w:r>
      </w:hyperlink>
    </w:p>
    <w:p w14:paraId="22B734FC" w14:textId="5E8AFAB9" w:rsidR="00CA5448" w:rsidRDefault="00CA5448">
      <w:pPr>
        <w:pStyle w:val="TJ3"/>
        <w:rPr>
          <w:rFonts w:asciiTheme="minorHAnsi" w:hAnsiTheme="minorHAnsi" w:cstheme="minorBidi"/>
          <w:noProof/>
          <w:sz w:val="24"/>
          <w:szCs w:val="21"/>
          <w:lang w:eastAsia="en-GB" w:bidi="sa-IN"/>
        </w:rPr>
      </w:pPr>
      <w:hyperlink w:anchor="_Toc200963316" w:history="1">
        <w:r w:rsidRPr="005C1402">
          <w:rPr>
            <w:rStyle w:val="Hiperhivatkozs"/>
            <w:noProof/>
            <w:lang w:bidi="ar-SA"/>
          </w:rPr>
          <w:t xml:space="preserve">4.7.3. The behaviour of the superscript </w:t>
        </w:r>
        <w:r w:rsidRPr="005C1402">
          <w:rPr>
            <w:rStyle w:val="Hiperhivatkozs"/>
            <w:i/>
            <w:iCs/>
            <w:noProof/>
            <w:lang w:bidi="ar-SA"/>
          </w:rPr>
          <w:t>r</w:t>
        </w:r>
        <w:r>
          <w:rPr>
            <w:noProof/>
            <w:webHidden/>
          </w:rPr>
          <w:tab/>
        </w:r>
        <w:r>
          <w:rPr>
            <w:noProof/>
            <w:webHidden/>
          </w:rPr>
          <w:fldChar w:fldCharType="begin"/>
        </w:r>
        <w:r>
          <w:rPr>
            <w:noProof/>
            <w:webHidden/>
          </w:rPr>
          <w:instrText xml:space="preserve"> PAGEREF _Toc200963316 \h </w:instrText>
        </w:r>
        <w:r>
          <w:rPr>
            <w:noProof/>
            <w:webHidden/>
          </w:rPr>
        </w:r>
        <w:r>
          <w:rPr>
            <w:noProof/>
            <w:webHidden/>
          </w:rPr>
          <w:fldChar w:fldCharType="separate"/>
        </w:r>
        <w:r>
          <w:rPr>
            <w:noProof/>
            <w:webHidden/>
          </w:rPr>
          <w:t>35</w:t>
        </w:r>
        <w:r>
          <w:rPr>
            <w:noProof/>
            <w:webHidden/>
          </w:rPr>
          <w:fldChar w:fldCharType="end"/>
        </w:r>
      </w:hyperlink>
    </w:p>
    <w:p w14:paraId="69785FAA" w14:textId="5CCC7252" w:rsidR="00CA5448" w:rsidRDefault="00CA5448">
      <w:pPr>
        <w:pStyle w:val="TJ2"/>
        <w:rPr>
          <w:rFonts w:asciiTheme="minorHAnsi" w:hAnsiTheme="minorHAnsi" w:cstheme="minorBidi"/>
          <w:noProof/>
          <w:sz w:val="24"/>
          <w:szCs w:val="21"/>
          <w:lang w:eastAsia="en-GB" w:bidi="sa-IN"/>
        </w:rPr>
      </w:pPr>
      <w:hyperlink w:anchor="_Toc200963317" w:history="1">
        <w:r w:rsidRPr="005C1402">
          <w:rPr>
            <w:rStyle w:val="Hiperhivatkozs"/>
            <w:noProof/>
            <w:lang w:bidi="ar-SA"/>
          </w:rPr>
          <w:t xml:space="preserve">4.8. Graphetic oddities and </w:t>
        </w:r>
        <w:r w:rsidRPr="005C1402">
          <w:rPr>
            <w:rStyle w:val="Hiperhivatkozs"/>
            <w:i/>
            <w:iCs/>
            <w:noProof/>
            <w:lang w:bidi="ar-SA"/>
          </w:rPr>
          <w:t>akṣara</w:t>
        </w:r>
        <w:r w:rsidRPr="005C1402">
          <w:rPr>
            <w:rStyle w:val="Hiperhivatkozs"/>
            <w:noProof/>
            <w:lang w:bidi="ar-SA"/>
          </w:rPr>
          <w:t xml:space="preserve"> composition</w:t>
        </w:r>
        <w:r>
          <w:rPr>
            <w:noProof/>
            <w:webHidden/>
          </w:rPr>
          <w:tab/>
        </w:r>
        <w:r>
          <w:rPr>
            <w:noProof/>
            <w:webHidden/>
          </w:rPr>
          <w:fldChar w:fldCharType="begin"/>
        </w:r>
        <w:r>
          <w:rPr>
            <w:noProof/>
            <w:webHidden/>
          </w:rPr>
          <w:instrText xml:space="preserve"> PAGEREF _Toc200963317 \h </w:instrText>
        </w:r>
        <w:r>
          <w:rPr>
            <w:noProof/>
            <w:webHidden/>
          </w:rPr>
        </w:r>
        <w:r>
          <w:rPr>
            <w:noProof/>
            <w:webHidden/>
          </w:rPr>
          <w:fldChar w:fldCharType="separate"/>
        </w:r>
        <w:r>
          <w:rPr>
            <w:noProof/>
            <w:webHidden/>
          </w:rPr>
          <w:t>35</w:t>
        </w:r>
        <w:r>
          <w:rPr>
            <w:noProof/>
            <w:webHidden/>
          </w:rPr>
          <w:fldChar w:fldCharType="end"/>
        </w:r>
      </w:hyperlink>
    </w:p>
    <w:p w14:paraId="49FAFED5" w14:textId="09F721DA" w:rsidR="00CA5448" w:rsidRDefault="00CA5448">
      <w:pPr>
        <w:pStyle w:val="TJ3"/>
        <w:rPr>
          <w:rFonts w:asciiTheme="minorHAnsi" w:hAnsiTheme="minorHAnsi" w:cstheme="minorBidi"/>
          <w:noProof/>
          <w:sz w:val="24"/>
          <w:szCs w:val="21"/>
          <w:lang w:eastAsia="en-GB" w:bidi="sa-IN"/>
        </w:rPr>
      </w:pPr>
      <w:hyperlink w:anchor="_Toc200963318" w:history="1">
        <w:r w:rsidRPr="005C1402">
          <w:rPr>
            <w:rStyle w:val="Hiperhivatkozs"/>
            <w:noProof/>
            <w:lang w:bidi="ar-SA"/>
          </w:rPr>
          <w:t xml:space="preserve">4.8.1. Multiple vowel markers within an </w:t>
        </w:r>
        <w:r w:rsidRPr="005C1402">
          <w:rPr>
            <w:rStyle w:val="Hiperhivatkozs"/>
            <w:i/>
            <w:iCs/>
            <w:noProof/>
            <w:lang w:bidi="ar-SA"/>
          </w:rPr>
          <w:t>akṣara</w:t>
        </w:r>
        <w:r>
          <w:rPr>
            <w:noProof/>
            <w:webHidden/>
          </w:rPr>
          <w:tab/>
        </w:r>
        <w:r>
          <w:rPr>
            <w:noProof/>
            <w:webHidden/>
          </w:rPr>
          <w:fldChar w:fldCharType="begin"/>
        </w:r>
        <w:r>
          <w:rPr>
            <w:noProof/>
            <w:webHidden/>
          </w:rPr>
          <w:instrText xml:space="preserve"> PAGEREF _Toc200963318 \h </w:instrText>
        </w:r>
        <w:r>
          <w:rPr>
            <w:noProof/>
            <w:webHidden/>
          </w:rPr>
        </w:r>
        <w:r>
          <w:rPr>
            <w:noProof/>
            <w:webHidden/>
          </w:rPr>
          <w:fldChar w:fldCharType="separate"/>
        </w:r>
        <w:r>
          <w:rPr>
            <w:noProof/>
            <w:webHidden/>
          </w:rPr>
          <w:t>36</w:t>
        </w:r>
        <w:r>
          <w:rPr>
            <w:noProof/>
            <w:webHidden/>
          </w:rPr>
          <w:fldChar w:fldCharType="end"/>
        </w:r>
      </w:hyperlink>
    </w:p>
    <w:p w14:paraId="3D0F17CE" w14:textId="1D715659" w:rsidR="00CA5448" w:rsidRDefault="00CA5448">
      <w:pPr>
        <w:pStyle w:val="TJ2"/>
        <w:rPr>
          <w:rFonts w:asciiTheme="minorHAnsi" w:hAnsiTheme="minorHAnsi" w:cstheme="minorBidi"/>
          <w:noProof/>
          <w:sz w:val="24"/>
          <w:szCs w:val="21"/>
          <w:lang w:eastAsia="en-GB" w:bidi="sa-IN"/>
        </w:rPr>
      </w:pPr>
      <w:hyperlink w:anchor="_Toc200963319" w:history="1">
        <w:r w:rsidRPr="005C1402">
          <w:rPr>
            <w:rStyle w:val="Hiperhivatkozs"/>
            <w:noProof/>
            <w:lang w:bidi="ar-SA"/>
          </w:rPr>
          <w:t>4.9. When the materiality of the support interferes</w:t>
        </w:r>
        <w:r>
          <w:rPr>
            <w:noProof/>
            <w:webHidden/>
          </w:rPr>
          <w:tab/>
        </w:r>
        <w:r>
          <w:rPr>
            <w:noProof/>
            <w:webHidden/>
          </w:rPr>
          <w:fldChar w:fldCharType="begin"/>
        </w:r>
        <w:r>
          <w:rPr>
            <w:noProof/>
            <w:webHidden/>
          </w:rPr>
          <w:instrText xml:space="preserve"> PAGEREF _Toc200963319 \h </w:instrText>
        </w:r>
        <w:r>
          <w:rPr>
            <w:noProof/>
            <w:webHidden/>
          </w:rPr>
        </w:r>
        <w:r>
          <w:rPr>
            <w:noProof/>
            <w:webHidden/>
          </w:rPr>
          <w:fldChar w:fldCharType="separate"/>
        </w:r>
        <w:r>
          <w:rPr>
            <w:noProof/>
            <w:webHidden/>
          </w:rPr>
          <w:t>36</w:t>
        </w:r>
        <w:r>
          <w:rPr>
            <w:noProof/>
            <w:webHidden/>
          </w:rPr>
          <w:fldChar w:fldCharType="end"/>
        </w:r>
      </w:hyperlink>
    </w:p>
    <w:p w14:paraId="07111F4B" w14:textId="45942052" w:rsidR="00CA5448" w:rsidRDefault="00CA5448">
      <w:pPr>
        <w:pStyle w:val="TJ3"/>
        <w:rPr>
          <w:rFonts w:asciiTheme="minorHAnsi" w:hAnsiTheme="minorHAnsi" w:cstheme="minorBidi"/>
          <w:noProof/>
          <w:sz w:val="24"/>
          <w:szCs w:val="21"/>
          <w:lang w:eastAsia="en-GB" w:bidi="sa-IN"/>
        </w:rPr>
      </w:pPr>
      <w:hyperlink w:anchor="_Toc200963320" w:history="1">
        <w:r w:rsidRPr="005C1402">
          <w:rPr>
            <w:rStyle w:val="Hiperhivatkozs"/>
            <w:noProof/>
            <w:lang w:bidi="ar-SA"/>
          </w:rPr>
          <w:t>4.9.1. Legibility problems</w:t>
        </w:r>
        <w:r>
          <w:rPr>
            <w:noProof/>
            <w:webHidden/>
          </w:rPr>
          <w:tab/>
        </w:r>
        <w:r>
          <w:rPr>
            <w:noProof/>
            <w:webHidden/>
          </w:rPr>
          <w:fldChar w:fldCharType="begin"/>
        </w:r>
        <w:r>
          <w:rPr>
            <w:noProof/>
            <w:webHidden/>
          </w:rPr>
          <w:instrText xml:space="preserve"> PAGEREF _Toc200963320 \h </w:instrText>
        </w:r>
        <w:r>
          <w:rPr>
            <w:noProof/>
            <w:webHidden/>
          </w:rPr>
        </w:r>
        <w:r>
          <w:rPr>
            <w:noProof/>
            <w:webHidden/>
          </w:rPr>
          <w:fldChar w:fldCharType="separate"/>
        </w:r>
        <w:r>
          <w:rPr>
            <w:noProof/>
            <w:webHidden/>
          </w:rPr>
          <w:t>36</w:t>
        </w:r>
        <w:r>
          <w:rPr>
            <w:noProof/>
            <w:webHidden/>
          </w:rPr>
          <w:fldChar w:fldCharType="end"/>
        </w:r>
      </w:hyperlink>
    </w:p>
    <w:p w14:paraId="36EA317A" w14:textId="09AB1D14" w:rsidR="00CA5448" w:rsidRDefault="00CA5448">
      <w:pPr>
        <w:pStyle w:val="TJ3"/>
        <w:rPr>
          <w:rFonts w:asciiTheme="minorHAnsi" w:hAnsiTheme="minorHAnsi" w:cstheme="minorBidi"/>
          <w:noProof/>
          <w:sz w:val="24"/>
          <w:szCs w:val="21"/>
          <w:lang w:eastAsia="en-GB" w:bidi="sa-IN"/>
        </w:rPr>
      </w:pPr>
      <w:hyperlink w:anchor="_Toc200963321" w:history="1">
        <w:r w:rsidRPr="005C1402">
          <w:rPr>
            <w:rStyle w:val="Hiperhivatkozs"/>
            <w:noProof/>
            <w:lang w:bidi="ar-SA"/>
          </w:rPr>
          <w:t>4.9.2. Complex characters split by an intervening feature</w:t>
        </w:r>
        <w:r>
          <w:rPr>
            <w:noProof/>
            <w:webHidden/>
          </w:rPr>
          <w:tab/>
        </w:r>
        <w:r>
          <w:rPr>
            <w:noProof/>
            <w:webHidden/>
          </w:rPr>
          <w:fldChar w:fldCharType="begin"/>
        </w:r>
        <w:r>
          <w:rPr>
            <w:noProof/>
            <w:webHidden/>
          </w:rPr>
          <w:instrText xml:space="preserve"> PAGEREF _Toc200963321 \h </w:instrText>
        </w:r>
        <w:r>
          <w:rPr>
            <w:noProof/>
            <w:webHidden/>
          </w:rPr>
        </w:r>
        <w:r>
          <w:rPr>
            <w:noProof/>
            <w:webHidden/>
          </w:rPr>
          <w:fldChar w:fldCharType="separate"/>
        </w:r>
        <w:r>
          <w:rPr>
            <w:noProof/>
            <w:webHidden/>
          </w:rPr>
          <w:t>36</w:t>
        </w:r>
        <w:r>
          <w:rPr>
            <w:noProof/>
            <w:webHidden/>
          </w:rPr>
          <w:fldChar w:fldCharType="end"/>
        </w:r>
      </w:hyperlink>
    </w:p>
    <w:p w14:paraId="5178D5C2" w14:textId="56199685" w:rsidR="00CA5448" w:rsidRDefault="00CA5448">
      <w:pPr>
        <w:pStyle w:val="TJ1"/>
        <w:rPr>
          <w:rFonts w:asciiTheme="minorHAnsi" w:hAnsiTheme="minorHAnsi" w:cstheme="minorBidi"/>
          <w:b w:val="0"/>
          <w:noProof/>
          <w:sz w:val="24"/>
          <w:szCs w:val="21"/>
          <w:lang w:eastAsia="en-GB" w:bidi="sa-IN"/>
        </w:rPr>
      </w:pPr>
      <w:hyperlink w:anchor="_Toc200963322" w:history="1">
        <w:r w:rsidRPr="005C1402">
          <w:rPr>
            <w:rStyle w:val="Hiperhivatkozs"/>
            <w:noProof/>
            <w:lang w:bidi="ar-SA"/>
          </w:rPr>
          <w:t>5. Transliterating non-alphabetic signs</w:t>
        </w:r>
        <w:r>
          <w:rPr>
            <w:noProof/>
            <w:webHidden/>
          </w:rPr>
          <w:tab/>
        </w:r>
        <w:r>
          <w:rPr>
            <w:noProof/>
            <w:webHidden/>
          </w:rPr>
          <w:fldChar w:fldCharType="begin"/>
        </w:r>
        <w:r>
          <w:rPr>
            <w:noProof/>
            <w:webHidden/>
          </w:rPr>
          <w:instrText xml:space="preserve"> PAGEREF _Toc200963322 \h </w:instrText>
        </w:r>
        <w:r>
          <w:rPr>
            <w:noProof/>
            <w:webHidden/>
          </w:rPr>
        </w:r>
        <w:r>
          <w:rPr>
            <w:noProof/>
            <w:webHidden/>
          </w:rPr>
          <w:fldChar w:fldCharType="separate"/>
        </w:r>
        <w:r>
          <w:rPr>
            <w:noProof/>
            <w:webHidden/>
          </w:rPr>
          <w:t>38</w:t>
        </w:r>
        <w:r>
          <w:rPr>
            <w:noProof/>
            <w:webHidden/>
          </w:rPr>
          <w:fldChar w:fldCharType="end"/>
        </w:r>
      </w:hyperlink>
    </w:p>
    <w:p w14:paraId="23AD5569" w14:textId="3A2D0D77" w:rsidR="00CA5448" w:rsidRDefault="00CA5448">
      <w:pPr>
        <w:pStyle w:val="TJ2"/>
        <w:rPr>
          <w:rFonts w:asciiTheme="minorHAnsi" w:hAnsiTheme="minorHAnsi" w:cstheme="minorBidi"/>
          <w:noProof/>
          <w:sz w:val="24"/>
          <w:szCs w:val="21"/>
          <w:lang w:eastAsia="en-GB" w:bidi="sa-IN"/>
        </w:rPr>
      </w:pPr>
      <w:hyperlink w:anchor="_Toc200963323" w:history="1">
        <w:r w:rsidRPr="005C1402">
          <w:rPr>
            <w:rStyle w:val="Hiperhivatkozs"/>
            <w:noProof/>
            <w:lang w:bidi="ar-SA"/>
          </w:rPr>
          <w:t>5.1. Numeric signs</w:t>
        </w:r>
        <w:r>
          <w:rPr>
            <w:noProof/>
            <w:webHidden/>
          </w:rPr>
          <w:tab/>
        </w:r>
        <w:r>
          <w:rPr>
            <w:noProof/>
            <w:webHidden/>
          </w:rPr>
          <w:fldChar w:fldCharType="begin"/>
        </w:r>
        <w:r>
          <w:rPr>
            <w:noProof/>
            <w:webHidden/>
          </w:rPr>
          <w:instrText xml:space="preserve"> PAGEREF _Toc200963323 \h </w:instrText>
        </w:r>
        <w:r>
          <w:rPr>
            <w:noProof/>
            <w:webHidden/>
          </w:rPr>
        </w:r>
        <w:r>
          <w:rPr>
            <w:noProof/>
            <w:webHidden/>
          </w:rPr>
          <w:fldChar w:fldCharType="separate"/>
        </w:r>
        <w:r>
          <w:rPr>
            <w:noProof/>
            <w:webHidden/>
          </w:rPr>
          <w:t>38</w:t>
        </w:r>
        <w:r>
          <w:rPr>
            <w:noProof/>
            <w:webHidden/>
          </w:rPr>
          <w:fldChar w:fldCharType="end"/>
        </w:r>
      </w:hyperlink>
    </w:p>
    <w:p w14:paraId="4BB26021" w14:textId="2438E275" w:rsidR="00CA5448" w:rsidRDefault="00CA5448">
      <w:pPr>
        <w:pStyle w:val="TJ3"/>
        <w:rPr>
          <w:rFonts w:asciiTheme="minorHAnsi" w:hAnsiTheme="minorHAnsi" w:cstheme="minorBidi"/>
          <w:noProof/>
          <w:sz w:val="24"/>
          <w:szCs w:val="21"/>
          <w:lang w:eastAsia="en-GB" w:bidi="sa-IN"/>
        </w:rPr>
      </w:pPr>
      <w:hyperlink w:anchor="_Toc200963324" w:history="1">
        <w:r w:rsidRPr="005C1402">
          <w:rPr>
            <w:rStyle w:val="Hiperhivatkozs"/>
            <w:noProof/>
            <w:lang w:bidi="ar-SA"/>
          </w:rPr>
          <w:t>5.1.1. Numbers denoted by bars</w:t>
        </w:r>
        <w:r>
          <w:rPr>
            <w:noProof/>
            <w:webHidden/>
          </w:rPr>
          <w:tab/>
        </w:r>
        <w:r>
          <w:rPr>
            <w:noProof/>
            <w:webHidden/>
          </w:rPr>
          <w:fldChar w:fldCharType="begin"/>
        </w:r>
        <w:r>
          <w:rPr>
            <w:noProof/>
            <w:webHidden/>
          </w:rPr>
          <w:instrText xml:space="preserve"> PAGEREF _Toc200963324 \h </w:instrText>
        </w:r>
        <w:r>
          <w:rPr>
            <w:noProof/>
            <w:webHidden/>
          </w:rPr>
        </w:r>
        <w:r>
          <w:rPr>
            <w:noProof/>
            <w:webHidden/>
          </w:rPr>
          <w:fldChar w:fldCharType="separate"/>
        </w:r>
        <w:r>
          <w:rPr>
            <w:noProof/>
            <w:webHidden/>
          </w:rPr>
          <w:t>38</w:t>
        </w:r>
        <w:r>
          <w:rPr>
            <w:noProof/>
            <w:webHidden/>
          </w:rPr>
          <w:fldChar w:fldCharType="end"/>
        </w:r>
      </w:hyperlink>
    </w:p>
    <w:p w14:paraId="151EBAAB" w14:textId="022530D2" w:rsidR="00CA5448" w:rsidRDefault="00CA5448">
      <w:pPr>
        <w:pStyle w:val="TJ3"/>
        <w:rPr>
          <w:rFonts w:asciiTheme="minorHAnsi" w:hAnsiTheme="minorHAnsi" w:cstheme="minorBidi"/>
          <w:noProof/>
          <w:sz w:val="24"/>
          <w:szCs w:val="21"/>
          <w:lang w:eastAsia="en-GB" w:bidi="sa-IN"/>
        </w:rPr>
      </w:pPr>
      <w:hyperlink w:anchor="_Toc200963325" w:history="1">
        <w:r w:rsidRPr="005C1402">
          <w:rPr>
            <w:rStyle w:val="Hiperhivatkozs"/>
            <w:noProof/>
            <w:lang w:bidi="ar-SA"/>
          </w:rPr>
          <w:t>5.1.2. Fractions</w:t>
        </w:r>
        <w:r>
          <w:rPr>
            <w:noProof/>
            <w:webHidden/>
          </w:rPr>
          <w:tab/>
        </w:r>
        <w:r>
          <w:rPr>
            <w:noProof/>
            <w:webHidden/>
          </w:rPr>
          <w:fldChar w:fldCharType="begin"/>
        </w:r>
        <w:r>
          <w:rPr>
            <w:noProof/>
            <w:webHidden/>
          </w:rPr>
          <w:instrText xml:space="preserve"> PAGEREF _Toc200963325 \h </w:instrText>
        </w:r>
        <w:r>
          <w:rPr>
            <w:noProof/>
            <w:webHidden/>
          </w:rPr>
        </w:r>
        <w:r>
          <w:rPr>
            <w:noProof/>
            <w:webHidden/>
          </w:rPr>
          <w:fldChar w:fldCharType="separate"/>
        </w:r>
        <w:r>
          <w:rPr>
            <w:noProof/>
            <w:webHidden/>
          </w:rPr>
          <w:t>39</w:t>
        </w:r>
        <w:r>
          <w:rPr>
            <w:noProof/>
            <w:webHidden/>
          </w:rPr>
          <w:fldChar w:fldCharType="end"/>
        </w:r>
      </w:hyperlink>
    </w:p>
    <w:p w14:paraId="56EBDC14" w14:textId="7D6B322A" w:rsidR="00CA5448" w:rsidRDefault="00CA5448">
      <w:pPr>
        <w:pStyle w:val="TJ2"/>
        <w:rPr>
          <w:rFonts w:asciiTheme="minorHAnsi" w:hAnsiTheme="minorHAnsi" w:cstheme="minorBidi"/>
          <w:noProof/>
          <w:sz w:val="24"/>
          <w:szCs w:val="21"/>
          <w:lang w:eastAsia="en-GB" w:bidi="sa-IN"/>
        </w:rPr>
      </w:pPr>
      <w:hyperlink w:anchor="_Toc200963326" w:history="1">
        <w:r w:rsidRPr="005C1402">
          <w:rPr>
            <w:rStyle w:val="Hiperhivatkozs"/>
            <w:noProof/>
            <w:lang w:bidi="ar-SA"/>
          </w:rPr>
          <w:t>5.2. Symbols</w:t>
        </w:r>
        <w:r>
          <w:rPr>
            <w:noProof/>
            <w:webHidden/>
          </w:rPr>
          <w:tab/>
        </w:r>
        <w:r>
          <w:rPr>
            <w:noProof/>
            <w:webHidden/>
          </w:rPr>
          <w:fldChar w:fldCharType="begin"/>
        </w:r>
        <w:r>
          <w:rPr>
            <w:noProof/>
            <w:webHidden/>
          </w:rPr>
          <w:instrText xml:space="preserve"> PAGEREF _Toc200963326 \h </w:instrText>
        </w:r>
        <w:r>
          <w:rPr>
            <w:noProof/>
            <w:webHidden/>
          </w:rPr>
        </w:r>
        <w:r>
          <w:rPr>
            <w:noProof/>
            <w:webHidden/>
          </w:rPr>
          <w:fldChar w:fldCharType="separate"/>
        </w:r>
        <w:r>
          <w:rPr>
            <w:noProof/>
            <w:webHidden/>
          </w:rPr>
          <w:t>39</w:t>
        </w:r>
        <w:r>
          <w:rPr>
            <w:noProof/>
            <w:webHidden/>
          </w:rPr>
          <w:fldChar w:fldCharType="end"/>
        </w:r>
      </w:hyperlink>
    </w:p>
    <w:p w14:paraId="3166E0AE" w14:textId="3A7F145E" w:rsidR="00CA5448" w:rsidRDefault="00CA5448">
      <w:pPr>
        <w:pStyle w:val="TJ3"/>
        <w:rPr>
          <w:rFonts w:asciiTheme="minorHAnsi" w:hAnsiTheme="minorHAnsi" w:cstheme="minorBidi"/>
          <w:noProof/>
          <w:sz w:val="24"/>
          <w:szCs w:val="21"/>
          <w:lang w:eastAsia="en-GB" w:bidi="sa-IN"/>
        </w:rPr>
      </w:pPr>
      <w:hyperlink w:anchor="_Toc200963327" w:history="1">
        <w:r w:rsidRPr="005C1402">
          <w:rPr>
            <w:rStyle w:val="Hiperhivatkozs"/>
            <w:noProof/>
            <w:lang w:bidi="ar-SA"/>
          </w:rPr>
          <w:t>5.2.1. Punctuation signs</w:t>
        </w:r>
        <w:r>
          <w:rPr>
            <w:noProof/>
            <w:webHidden/>
          </w:rPr>
          <w:tab/>
        </w:r>
        <w:r>
          <w:rPr>
            <w:noProof/>
            <w:webHidden/>
          </w:rPr>
          <w:fldChar w:fldCharType="begin"/>
        </w:r>
        <w:r>
          <w:rPr>
            <w:noProof/>
            <w:webHidden/>
          </w:rPr>
          <w:instrText xml:space="preserve"> PAGEREF _Toc200963327 \h </w:instrText>
        </w:r>
        <w:r>
          <w:rPr>
            <w:noProof/>
            <w:webHidden/>
          </w:rPr>
        </w:r>
        <w:r>
          <w:rPr>
            <w:noProof/>
            <w:webHidden/>
          </w:rPr>
          <w:fldChar w:fldCharType="separate"/>
        </w:r>
        <w:r>
          <w:rPr>
            <w:noProof/>
            <w:webHidden/>
          </w:rPr>
          <w:t>39</w:t>
        </w:r>
        <w:r>
          <w:rPr>
            <w:noProof/>
            <w:webHidden/>
          </w:rPr>
          <w:fldChar w:fldCharType="end"/>
        </w:r>
      </w:hyperlink>
    </w:p>
    <w:p w14:paraId="52C63EE3" w14:textId="20A6CF93" w:rsidR="00CA5448" w:rsidRDefault="00CA5448">
      <w:pPr>
        <w:pStyle w:val="TJ3"/>
        <w:rPr>
          <w:rFonts w:asciiTheme="minorHAnsi" w:hAnsiTheme="minorHAnsi" w:cstheme="minorBidi"/>
          <w:noProof/>
          <w:sz w:val="24"/>
          <w:szCs w:val="21"/>
          <w:lang w:eastAsia="en-GB" w:bidi="sa-IN"/>
        </w:rPr>
      </w:pPr>
      <w:hyperlink w:anchor="_Toc200963328" w:history="1">
        <w:r w:rsidRPr="005C1402">
          <w:rPr>
            <w:rStyle w:val="Hiperhivatkozs"/>
            <w:noProof/>
            <w:lang w:bidi="ar-SA"/>
          </w:rPr>
          <w:t>5.2.2. Space filler signs</w:t>
        </w:r>
        <w:r>
          <w:rPr>
            <w:noProof/>
            <w:webHidden/>
          </w:rPr>
          <w:tab/>
        </w:r>
        <w:r>
          <w:rPr>
            <w:noProof/>
            <w:webHidden/>
          </w:rPr>
          <w:fldChar w:fldCharType="begin"/>
        </w:r>
        <w:r>
          <w:rPr>
            <w:noProof/>
            <w:webHidden/>
          </w:rPr>
          <w:instrText xml:space="preserve"> PAGEREF _Toc200963328 \h </w:instrText>
        </w:r>
        <w:r>
          <w:rPr>
            <w:noProof/>
            <w:webHidden/>
          </w:rPr>
        </w:r>
        <w:r>
          <w:rPr>
            <w:noProof/>
            <w:webHidden/>
          </w:rPr>
          <w:fldChar w:fldCharType="separate"/>
        </w:r>
        <w:r>
          <w:rPr>
            <w:noProof/>
            <w:webHidden/>
          </w:rPr>
          <w:t>40</w:t>
        </w:r>
        <w:r>
          <w:rPr>
            <w:noProof/>
            <w:webHidden/>
          </w:rPr>
          <w:fldChar w:fldCharType="end"/>
        </w:r>
      </w:hyperlink>
    </w:p>
    <w:p w14:paraId="1A6775D7" w14:textId="5A55F559" w:rsidR="00CA5448" w:rsidRDefault="00CA5448">
      <w:pPr>
        <w:pStyle w:val="TJ3"/>
        <w:rPr>
          <w:rFonts w:asciiTheme="minorHAnsi" w:hAnsiTheme="minorHAnsi" w:cstheme="minorBidi"/>
          <w:noProof/>
          <w:sz w:val="24"/>
          <w:szCs w:val="21"/>
          <w:lang w:eastAsia="en-GB" w:bidi="sa-IN"/>
        </w:rPr>
      </w:pPr>
      <w:hyperlink w:anchor="_Toc200963329" w:history="1">
        <w:r w:rsidRPr="005C1402">
          <w:rPr>
            <w:rStyle w:val="Hiperhivatkozs"/>
            <w:noProof/>
            <w:lang w:bidi="ar-SA"/>
          </w:rPr>
          <w:t>5.2.3. Generic symbols</w:t>
        </w:r>
        <w:r>
          <w:rPr>
            <w:noProof/>
            <w:webHidden/>
          </w:rPr>
          <w:tab/>
        </w:r>
        <w:r>
          <w:rPr>
            <w:noProof/>
            <w:webHidden/>
          </w:rPr>
          <w:fldChar w:fldCharType="begin"/>
        </w:r>
        <w:r>
          <w:rPr>
            <w:noProof/>
            <w:webHidden/>
          </w:rPr>
          <w:instrText xml:space="preserve"> PAGEREF _Toc200963329 \h </w:instrText>
        </w:r>
        <w:r>
          <w:rPr>
            <w:noProof/>
            <w:webHidden/>
          </w:rPr>
        </w:r>
        <w:r>
          <w:rPr>
            <w:noProof/>
            <w:webHidden/>
          </w:rPr>
          <w:fldChar w:fldCharType="separate"/>
        </w:r>
        <w:r>
          <w:rPr>
            <w:noProof/>
            <w:webHidden/>
          </w:rPr>
          <w:t>41</w:t>
        </w:r>
        <w:r>
          <w:rPr>
            <w:noProof/>
            <w:webHidden/>
          </w:rPr>
          <w:fldChar w:fldCharType="end"/>
        </w:r>
      </w:hyperlink>
    </w:p>
    <w:p w14:paraId="0E2077C0" w14:textId="05E14D7A" w:rsidR="00CA5448" w:rsidRDefault="00CA5448">
      <w:pPr>
        <w:pStyle w:val="TJ3"/>
        <w:rPr>
          <w:rFonts w:asciiTheme="minorHAnsi" w:hAnsiTheme="minorHAnsi" w:cstheme="minorBidi"/>
          <w:noProof/>
          <w:sz w:val="24"/>
          <w:szCs w:val="21"/>
          <w:lang w:eastAsia="en-GB" w:bidi="sa-IN"/>
        </w:rPr>
      </w:pPr>
      <w:hyperlink w:anchor="_Toc200963330" w:history="1">
        <w:r w:rsidRPr="005C1402">
          <w:rPr>
            <w:rStyle w:val="Hiperhivatkozs"/>
            <w:noProof/>
            <w:lang w:bidi="ar-SA"/>
          </w:rPr>
          <w:t>5.2.4. Space</w:t>
        </w:r>
        <w:r>
          <w:rPr>
            <w:noProof/>
            <w:webHidden/>
          </w:rPr>
          <w:tab/>
        </w:r>
        <w:r>
          <w:rPr>
            <w:noProof/>
            <w:webHidden/>
          </w:rPr>
          <w:fldChar w:fldCharType="begin"/>
        </w:r>
        <w:r>
          <w:rPr>
            <w:noProof/>
            <w:webHidden/>
          </w:rPr>
          <w:instrText xml:space="preserve"> PAGEREF _Toc200963330 \h </w:instrText>
        </w:r>
        <w:r>
          <w:rPr>
            <w:noProof/>
            <w:webHidden/>
          </w:rPr>
        </w:r>
        <w:r>
          <w:rPr>
            <w:noProof/>
            <w:webHidden/>
          </w:rPr>
          <w:fldChar w:fldCharType="separate"/>
        </w:r>
        <w:r>
          <w:rPr>
            <w:noProof/>
            <w:webHidden/>
          </w:rPr>
          <w:t>41</w:t>
        </w:r>
        <w:r>
          <w:rPr>
            <w:noProof/>
            <w:webHidden/>
          </w:rPr>
          <w:fldChar w:fldCharType="end"/>
        </w:r>
      </w:hyperlink>
    </w:p>
    <w:p w14:paraId="0E9EAE89" w14:textId="7780CFDA" w:rsidR="00CA5448" w:rsidRDefault="00CA5448">
      <w:pPr>
        <w:pStyle w:val="TJ1"/>
        <w:rPr>
          <w:rFonts w:asciiTheme="minorHAnsi" w:hAnsiTheme="minorHAnsi" w:cstheme="minorBidi"/>
          <w:b w:val="0"/>
          <w:noProof/>
          <w:sz w:val="24"/>
          <w:szCs w:val="21"/>
          <w:lang w:eastAsia="en-GB" w:bidi="sa-IN"/>
        </w:rPr>
      </w:pPr>
      <w:hyperlink w:anchor="_Toc200963331" w:history="1">
        <w:r w:rsidRPr="005C1402">
          <w:rPr>
            <w:rStyle w:val="Hiperhivatkozs"/>
            <w:noProof/>
            <w:lang w:bidi="ar-SA"/>
          </w:rPr>
          <w:t>6. References</w:t>
        </w:r>
        <w:r>
          <w:rPr>
            <w:noProof/>
            <w:webHidden/>
          </w:rPr>
          <w:tab/>
        </w:r>
        <w:r>
          <w:rPr>
            <w:noProof/>
            <w:webHidden/>
          </w:rPr>
          <w:fldChar w:fldCharType="begin"/>
        </w:r>
        <w:r>
          <w:rPr>
            <w:noProof/>
            <w:webHidden/>
          </w:rPr>
          <w:instrText xml:space="preserve"> PAGEREF _Toc200963331 \h </w:instrText>
        </w:r>
        <w:r>
          <w:rPr>
            <w:noProof/>
            <w:webHidden/>
          </w:rPr>
        </w:r>
        <w:r>
          <w:rPr>
            <w:noProof/>
            <w:webHidden/>
          </w:rPr>
          <w:fldChar w:fldCharType="separate"/>
        </w:r>
        <w:r>
          <w:rPr>
            <w:noProof/>
            <w:webHidden/>
          </w:rPr>
          <w:t>42</w:t>
        </w:r>
        <w:r>
          <w:rPr>
            <w:noProof/>
            <w:webHidden/>
          </w:rPr>
          <w:fldChar w:fldCharType="end"/>
        </w:r>
      </w:hyperlink>
    </w:p>
    <w:p w14:paraId="3024B052" w14:textId="789A7091" w:rsidR="00431357" w:rsidRDefault="00B34223" w:rsidP="00431357">
      <w:r>
        <w:rPr>
          <w:rFonts w:asciiTheme="majorHAnsi" w:hAnsiTheme="majorHAnsi"/>
          <w:sz w:val="18"/>
        </w:rPr>
        <w:fldChar w:fldCharType="end"/>
      </w:r>
    </w:p>
    <w:p w14:paraId="0A8D10A2" w14:textId="77777777" w:rsidR="00431357" w:rsidRDefault="00431357" w:rsidP="00431357">
      <w:pPr>
        <w:pStyle w:val="Cmsor1"/>
        <w:numPr>
          <w:ilvl w:val="0"/>
          <w:numId w:val="3"/>
        </w:numPr>
        <w:sectPr w:rsidR="00431357" w:rsidSect="00431357">
          <w:type w:val="oddPage"/>
          <w:pgSz w:w="11906" w:h="16838" w:code="9"/>
          <w:pgMar w:top="1134" w:right="1134" w:bottom="1134" w:left="1134" w:header="851" w:footer="851" w:gutter="0"/>
          <w:pgNumType w:fmt="lowerRoman" w:start="1"/>
          <w:cols w:space="720"/>
          <w:titlePg/>
        </w:sectPr>
      </w:pPr>
      <w:bookmarkStart w:id="10" w:name="_Toc17811406"/>
      <w:bookmarkStart w:id="11" w:name="_Toc17811461"/>
    </w:p>
    <w:p w14:paraId="60C3DE55" w14:textId="77777777" w:rsidR="00431357" w:rsidRDefault="00431357" w:rsidP="00431357">
      <w:pPr>
        <w:pStyle w:val="Cmsor1"/>
        <w:numPr>
          <w:ilvl w:val="0"/>
          <w:numId w:val="3"/>
        </w:numPr>
      </w:pPr>
      <w:bookmarkStart w:id="12" w:name="_Toc200963234"/>
      <w:r>
        <w:lastRenderedPageBreak/>
        <w:t>Introduction</w:t>
      </w:r>
      <w:bookmarkEnd w:id="10"/>
      <w:bookmarkEnd w:id="11"/>
      <w:bookmarkEnd w:id="12"/>
    </w:p>
    <w:p w14:paraId="553547A8" w14:textId="77777777" w:rsidR="00431357" w:rsidRDefault="00431357" w:rsidP="00431357">
      <w:pPr>
        <w:pStyle w:val="Cmsor2"/>
        <w:numPr>
          <w:ilvl w:val="1"/>
          <w:numId w:val="3"/>
        </w:numPr>
      </w:pPr>
      <w:bookmarkStart w:id="13" w:name="_Toc17811407"/>
      <w:bookmarkStart w:id="14" w:name="_Toc17811462"/>
      <w:bookmarkStart w:id="15" w:name="_Toc200963235"/>
      <w:r>
        <w:t xml:space="preserve">Version </w:t>
      </w:r>
      <w:bookmarkEnd w:id="13"/>
      <w:bookmarkEnd w:id="14"/>
      <w:r>
        <w:t>History</w:t>
      </w:r>
      <w:bookmarkEnd w:id="15"/>
    </w:p>
    <w:tbl>
      <w:tblPr>
        <w:tblW w:w="5000" w:type="pct"/>
        <w:tblCellMar>
          <w:top w:w="15" w:type="dxa"/>
          <w:left w:w="15" w:type="dxa"/>
          <w:bottom w:w="15" w:type="dxa"/>
          <w:right w:w="15" w:type="dxa"/>
        </w:tblCellMar>
        <w:tblLook w:val="04A0" w:firstRow="1" w:lastRow="0" w:firstColumn="1" w:lastColumn="0" w:noHBand="0" w:noVBand="1"/>
      </w:tblPr>
      <w:tblGrid>
        <w:gridCol w:w="2136"/>
        <w:gridCol w:w="1156"/>
        <w:gridCol w:w="4724"/>
        <w:gridCol w:w="1602"/>
      </w:tblGrid>
      <w:tr w:rsidR="00431357" w14:paraId="0DE4DD95" w14:textId="77777777" w:rsidTr="002F2EE0">
        <w:tc>
          <w:tcPr>
            <w:tcW w:w="111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780ADDA2" w14:textId="77777777" w:rsidR="00431357" w:rsidRDefault="00431357" w:rsidP="002F2EE0">
            <w:pPr>
              <w:pStyle w:val="Tabletext"/>
            </w:pPr>
            <w:r>
              <w:t>Author(s)</w:t>
            </w:r>
          </w:p>
        </w:tc>
        <w:tc>
          <w:tcPr>
            <w:tcW w:w="601"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53E57561" w14:textId="77777777" w:rsidR="00431357" w:rsidRDefault="00431357" w:rsidP="002F2EE0">
            <w:pPr>
              <w:pStyle w:val="Tabletext"/>
            </w:pPr>
            <w:r>
              <w:t>Version</w:t>
            </w:r>
          </w:p>
        </w:tc>
        <w:tc>
          <w:tcPr>
            <w:tcW w:w="2456"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24D4E8E0" w14:textId="77777777" w:rsidR="00431357" w:rsidRDefault="00431357" w:rsidP="002F2EE0">
            <w:pPr>
              <w:pStyle w:val="Tabletext"/>
            </w:pPr>
            <w:r>
              <w:t>Changes</w:t>
            </w:r>
          </w:p>
        </w:tc>
        <w:tc>
          <w:tcPr>
            <w:tcW w:w="833"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16F69CAA" w14:textId="77777777" w:rsidR="00431357" w:rsidRDefault="00431357" w:rsidP="002F2EE0">
            <w:pPr>
              <w:pStyle w:val="Tabletext"/>
            </w:pPr>
            <w:r>
              <w:t>Date</w:t>
            </w:r>
          </w:p>
        </w:tc>
      </w:tr>
      <w:tr w:rsidR="00431357" w14:paraId="13BA09DF" w14:textId="77777777" w:rsidTr="002F2EE0">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5CF8" w14:textId="77777777" w:rsidR="00431357" w:rsidRDefault="00431357" w:rsidP="002F2EE0">
            <w:pPr>
              <w:pStyle w:val="Tabletext"/>
            </w:pPr>
            <w:r>
              <w:t>Balogh,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C66A4" w14:textId="77777777" w:rsidR="00431357" w:rsidRDefault="00431357" w:rsidP="002F2EE0">
            <w:pPr>
              <w:pStyle w:val="Tabletext"/>
            </w:pPr>
            <w:r>
              <w:t>0.1</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8589" w14:textId="77777777" w:rsidR="00431357" w:rsidRDefault="00431357" w:rsidP="002F2EE0">
            <w:pPr>
              <w:pStyle w:val="Tabletext"/>
            </w:pPr>
            <w:r>
              <w:t>First draft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1983B" w14:textId="77777777" w:rsidR="00431357" w:rsidRDefault="00431357" w:rsidP="002F2EE0">
            <w:pPr>
              <w:pStyle w:val="Tabletext"/>
            </w:pPr>
            <w:r>
              <w:t>2019-07</w:t>
            </w:r>
          </w:p>
        </w:tc>
      </w:tr>
      <w:tr w:rsidR="00431357" w14:paraId="7DE191EF" w14:textId="77777777" w:rsidTr="002F2EE0">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6762" w14:textId="77777777" w:rsidR="00431357" w:rsidRDefault="00431357" w:rsidP="002F2EE0">
            <w:pPr>
              <w:pStyle w:val="Tabletext"/>
            </w:pPr>
            <w:r>
              <w:t>Balogh,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FD5B" w14:textId="77777777" w:rsidR="00431357" w:rsidRDefault="00431357" w:rsidP="002F2EE0">
            <w:pPr>
              <w:pStyle w:val="Tabletext"/>
            </w:pPr>
            <w:r>
              <w:t>1</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7554" w14:textId="77777777" w:rsidR="00431357" w:rsidRDefault="00431357" w:rsidP="002F2EE0">
            <w:pPr>
              <w:pStyle w:val="Tabletext"/>
            </w:pPr>
            <w:r>
              <w:t>Expansion and revision for first release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D1F96" w14:textId="77777777" w:rsidR="00431357" w:rsidRDefault="00431357" w:rsidP="002F2EE0">
            <w:pPr>
              <w:pStyle w:val="Tabletext"/>
            </w:pPr>
            <w:r>
              <w:t>2019-09</w:t>
            </w:r>
          </w:p>
        </w:tc>
      </w:tr>
      <w:tr w:rsidR="00431357" w14:paraId="2CF349D7" w14:textId="77777777" w:rsidTr="002F2EE0">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872DD" w14:textId="77777777" w:rsidR="00431357" w:rsidRDefault="00431357" w:rsidP="002F2EE0">
            <w:pPr>
              <w:pStyle w:val="Tabletext"/>
            </w:pPr>
            <w:r>
              <w:t>Balogh</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B57A2" w14:textId="77777777" w:rsidR="00431357" w:rsidRDefault="00431357" w:rsidP="002F2EE0">
            <w:pPr>
              <w:pStyle w:val="Tabletext"/>
            </w:pPr>
            <w:r>
              <w:t>2 (1.1)</w:t>
            </w:r>
            <w:r>
              <w:rPr>
                <w:rStyle w:val="Lbjegyzet-hivatkozs"/>
              </w:rPr>
              <w:footnoteReference w:id="1"/>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DC967" w14:textId="77777777" w:rsidR="00431357" w:rsidRDefault="00431357" w:rsidP="002F2EE0">
            <w:pPr>
              <w:pStyle w:val="Tabletext"/>
            </w:pPr>
            <w:r>
              <w:t>Revision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44F4F" w14:textId="77777777" w:rsidR="00431357" w:rsidRDefault="00431357" w:rsidP="002F2EE0">
            <w:pPr>
              <w:pStyle w:val="Tabletext"/>
            </w:pPr>
            <w:r>
              <w:t>2019-12</w:t>
            </w:r>
          </w:p>
        </w:tc>
      </w:tr>
      <w:tr w:rsidR="00431357" w14:paraId="6890CEDA" w14:textId="77777777" w:rsidTr="002F2EE0">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4832B" w14:textId="77777777" w:rsidR="00431357" w:rsidRDefault="00431357" w:rsidP="002F2EE0">
            <w:pPr>
              <w:pStyle w:val="Tabletext"/>
            </w:pPr>
            <w:r>
              <w:t>Balogh,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8B5BB" w14:textId="77777777" w:rsidR="00431357" w:rsidRDefault="00431357" w:rsidP="002F2EE0">
            <w:pPr>
              <w:pStyle w:val="Tabletext"/>
            </w:pPr>
            <w:r>
              <w:t>3</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087BE" w14:textId="77777777" w:rsidR="00431357" w:rsidRDefault="00431357" w:rsidP="002F2EE0">
            <w:pPr>
              <w:pStyle w:val="Tabletext"/>
            </w:pPr>
            <w:r>
              <w:t>Revision and expansion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488CD" w14:textId="77777777" w:rsidR="00431357" w:rsidRDefault="00431357" w:rsidP="002F2EE0">
            <w:pPr>
              <w:pStyle w:val="Tabletext"/>
            </w:pPr>
            <w:r>
              <w:t>2020-07-05</w:t>
            </w:r>
          </w:p>
        </w:tc>
      </w:tr>
      <w:tr w:rsidR="00431357" w14:paraId="0E16DB56" w14:textId="77777777" w:rsidTr="002F2EE0">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C6BBF" w14:textId="77777777" w:rsidR="00431357" w:rsidRDefault="00431357" w:rsidP="002F2EE0">
            <w:pPr>
              <w:pStyle w:val="Tabletext"/>
            </w:pPr>
            <w:r>
              <w:t>Balogh, with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3D19" w14:textId="77777777" w:rsidR="00431357" w:rsidRDefault="00431357" w:rsidP="002F2EE0">
            <w:pPr>
              <w:pStyle w:val="Tabletext"/>
            </w:pPr>
            <w:r>
              <w:t>4</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AE98F" w14:textId="77777777" w:rsidR="00431357" w:rsidRDefault="00431357" w:rsidP="002F2EE0">
            <w:pPr>
              <w:pStyle w:val="Tabletext"/>
            </w:pPr>
            <w:r>
              <w:t>Thorough revision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EE7FE" w14:textId="77777777" w:rsidR="00431357" w:rsidRDefault="00431357" w:rsidP="002F2EE0">
            <w:pPr>
              <w:pStyle w:val="Tabletext"/>
            </w:pPr>
            <w:r>
              <w:rPr>
                <w:highlight w:val="yellow"/>
              </w:rPr>
              <w:t>####-##-##</w:t>
            </w:r>
          </w:p>
        </w:tc>
      </w:tr>
    </w:tbl>
    <w:p w14:paraId="1DE9207A" w14:textId="77777777" w:rsidR="00431357" w:rsidRDefault="00431357" w:rsidP="00431357">
      <w:bookmarkStart w:id="16" w:name="_a9wj7qi56duc" w:colFirst="0" w:colLast="0"/>
      <w:bookmarkStart w:id="17" w:name="_bgl7tnsokoh7" w:colFirst="0" w:colLast="0"/>
      <w:bookmarkStart w:id="18" w:name="_Toc17811408"/>
      <w:bookmarkStart w:id="19" w:name="_Toc17811463"/>
      <w:bookmarkEnd w:id="16"/>
      <w:bookmarkEnd w:id="17"/>
      <w:r>
        <w:t>This is the final version of the DHARMA Transliteration Guide. Specific changes to the transliteration scheme since the last release (version 3) are few and minor, but the structure and conceptual background have been thoroughly revised. For these reasons, a list of specific changes since the last release is not included here.</w:t>
      </w:r>
    </w:p>
    <w:p w14:paraId="138F9E92" w14:textId="77777777" w:rsidR="00431357" w:rsidRDefault="00431357" w:rsidP="00431357">
      <w:r>
        <w:t>@but if shorthand is made fully private, that will need to be noted here</w:t>
      </w:r>
    </w:p>
    <w:p w14:paraId="07C30E00" w14:textId="77777777" w:rsidR="00431357" w:rsidRDefault="00431357" w:rsidP="00431357">
      <w:pPr>
        <w:pStyle w:val="Cmsor2"/>
        <w:numPr>
          <w:ilvl w:val="1"/>
          <w:numId w:val="3"/>
        </w:numPr>
      </w:pPr>
      <w:bookmarkStart w:id="20" w:name="_Toc200963236"/>
      <w:r>
        <w:t>Coverage</w:t>
      </w:r>
      <w:bookmarkEnd w:id="18"/>
      <w:bookmarkEnd w:id="19"/>
      <w:bookmarkEnd w:id="20"/>
    </w:p>
    <w:p w14:paraId="60FCCA00" w14:textId="77777777" w:rsidR="00431357" w:rsidRDefault="00431357" w:rsidP="00431357">
      <w:r>
        <w:t>This Guide is essentially intended to cover the scripts relevant to the languages with which the DHARMA project is concerned, i.e., in alphabetical order (omitting the adjective “Old” relevant in several cases): Balinese, Cam, Javanese, Kannada, Khmer, Malay, Prakrit, Sanskrit, Sundanese, Tamil, Telugu. However, the recommendations we give here are certainly intended to be compatible with and extensible to other languages and scripts as and when needed for future projects.</w:t>
      </w:r>
    </w:p>
    <w:p w14:paraId="5CDE3E16" w14:textId="20B45940" w:rsidR="00431357" w:rsidRDefault="00431357" w:rsidP="00BE27A3">
      <w:pPr>
        <w:pStyle w:val="Normlbehzs"/>
      </w:pPr>
      <w:r>
        <w:t xml:space="preserve">The contents of this Guide are primarily applicable to digital editions of epigraphic texts, which must follow these instructions rigorously We do however hope (and, to some degree, expect) that project members will use the same transliteration method, as far as applicable, in their print publications and other work, and that the solutions recommended here gain currency beyond the scope of the DHARMA project. Section </w:t>
      </w:r>
      <w:r>
        <w:fldChar w:fldCharType="begin"/>
      </w:r>
      <w:r>
        <w:instrText xml:space="preserve"> REF _Ref17798779 \r \h </w:instrText>
      </w:r>
      <w:r w:rsidR="00BE27A3">
        <w:instrText xml:space="preserve"> \* MERGEFORMAT </w:instrText>
      </w:r>
      <w:r>
        <w:fldChar w:fldCharType="separate"/>
      </w:r>
      <w:r w:rsidR="00CA5448">
        <w:t>1.6.3</w:t>
      </w:r>
      <w:r>
        <w:fldChar w:fldCharType="end"/>
      </w:r>
      <w:r>
        <w:t xml:space="preserve"> gives some further pointers on what features of the transliteration system can be ignored outside diplomatic editions. We further encourage all project participants to include a reference to the current release version of the Guide (on HAL-SHS) in their publications, in order to make clear that the conventions DHARMA proposes are a published standard, and to disseminate awareness of this standard.</w:t>
      </w:r>
    </w:p>
    <w:p w14:paraId="5500B4E6" w14:textId="77777777" w:rsidR="00431357" w:rsidRDefault="00431357" w:rsidP="00431357">
      <w:pPr>
        <w:pStyle w:val="Cmsor2"/>
        <w:numPr>
          <w:ilvl w:val="1"/>
          <w:numId w:val="3"/>
        </w:numPr>
      </w:pPr>
      <w:bookmarkStart w:id="21" w:name="_8zuhy999k8nd" w:colFirst="0" w:colLast="0"/>
      <w:bookmarkStart w:id="22" w:name="_gl2dmgl6ludx" w:colFirst="0" w:colLast="0"/>
      <w:bookmarkStart w:id="23" w:name="_Toc200963237"/>
      <w:bookmarkStart w:id="24" w:name="_Ref15635331"/>
      <w:bookmarkStart w:id="25" w:name="_Ref15636593"/>
      <w:bookmarkStart w:id="26" w:name="_Toc17811411"/>
      <w:bookmarkStart w:id="27" w:name="_Toc17811466"/>
      <w:bookmarkEnd w:id="21"/>
      <w:bookmarkEnd w:id="22"/>
      <w:r>
        <w:t>Abbreviations</w:t>
      </w:r>
      <w:bookmarkEnd w:id="23"/>
    </w:p>
    <w:p w14:paraId="1728AC68" w14:textId="77777777" w:rsidR="00431357" w:rsidRDefault="00431357" w:rsidP="00431357">
      <w:pPr>
        <w:rPr>
          <w:lang w:eastAsia="en-GB"/>
        </w:rPr>
      </w:pPr>
      <w:r>
        <w:rPr>
          <w:lang w:eastAsia="en-GB"/>
        </w:rPr>
        <w:t>In addition to common abbreviations, this Guide uses:</w:t>
      </w:r>
    </w:p>
    <w:p w14:paraId="0E6AC4E3" w14:textId="77777777" w:rsidR="00431357" w:rsidRDefault="00431357" w:rsidP="00431357">
      <w:pPr>
        <w:pStyle w:val="Legend"/>
      </w:pPr>
      <w:r>
        <w:tab/>
        <w:t>TG</w:t>
      </w:r>
      <w:r>
        <w:tab/>
        <w:t>the DHARMA Transliteration Guide (the present document)</w:t>
      </w:r>
    </w:p>
    <w:p w14:paraId="310FE74C" w14:textId="77777777" w:rsidR="00431357" w:rsidRDefault="00431357" w:rsidP="00431357">
      <w:pPr>
        <w:pStyle w:val="Legend"/>
      </w:pPr>
      <w:r>
        <w:tab/>
        <w:t>EGD</w:t>
      </w:r>
      <w:r>
        <w:tab/>
        <w:t>the DHARMA Encoding Guide for Documentary Editions (version 1.0)</w:t>
      </w:r>
      <w:r>
        <w:rPr>
          <w:rStyle w:val="Lbjegyzet-hivatkozs"/>
        </w:rPr>
        <w:footnoteReference w:id="2"/>
      </w:r>
    </w:p>
    <w:p w14:paraId="4A29163E" w14:textId="77777777" w:rsidR="00431357" w:rsidRDefault="00431357" w:rsidP="00431357">
      <w:pPr>
        <w:pStyle w:val="Cmsor2"/>
        <w:numPr>
          <w:ilvl w:val="1"/>
          <w:numId w:val="3"/>
        </w:numPr>
      </w:pPr>
      <w:bookmarkStart w:id="28" w:name="_Toc200963238"/>
      <w:bookmarkStart w:id="29" w:name="_Ref199757286"/>
      <w:r>
        <w:t>Brackets for linguistic notation</w:t>
      </w:r>
      <w:bookmarkEnd w:id="28"/>
    </w:p>
    <w:p w14:paraId="254714E1" w14:textId="7BA09355" w:rsidR="00431357" w:rsidRDefault="00431357" w:rsidP="00431357">
      <w:r>
        <w:t>The concepts indicated by these brackets are introduced in §</w:t>
      </w:r>
      <w:r>
        <w:fldChar w:fldCharType="begin"/>
      </w:r>
      <w:r>
        <w:instrText xml:space="preserve"> REF _Ref199757675 \r \h </w:instrText>
      </w:r>
      <w:r>
        <w:fldChar w:fldCharType="separate"/>
      </w:r>
      <w:r w:rsidR="00CA5448">
        <w:t>2.3.1</w:t>
      </w:r>
      <w:r>
        <w:fldChar w:fldCharType="end"/>
      </w:r>
      <w:r>
        <w:t>.</w:t>
      </w:r>
    </w:p>
    <w:p w14:paraId="32F8B2BD" w14:textId="77777777" w:rsidR="00431357" w:rsidRDefault="00431357" w:rsidP="00431357">
      <w:pPr>
        <w:pStyle w:val="Legend"/>
      </w:pPr>
      <w:r>
        <w:tab/>
        <w:t>/a/, /</w:t>
      </w:r>
      <w:r>
        <w:rPr>
          <w:rFonts w:hint="eastAsia"/>
        </w:rPr>
        <w:t>ɑ</w:t>
      </w:r>
      <w:r>
        <w:rPr>
          <w:rFonts w:hint="cs"/>
        </w:rPr>
        <w:t>ː</w:t>
      </w:r>
      <w:r>
        <w:t>/</w:t>
      </w:r>
      <w:r>
        <w:tab/>
      </w:r>
      <w:r>
        <w:rPr>
          <w:b/>
          <w:bCs/>
        </w:rPr>
        <w:t>slashes</w:t>
      </w:r>
      <w:r>
        <w:t xml:space="preserve"> indicate phonemic entities</w:t>
      </w:r>
    </w:p>
    <w:p w14:paraId="09EDBC94" w14:textId="77777777" w:rsidR="00431357" w:rsidRDefault="00431357" w:rsidP="00431357">
      <w:pPr>
        <w:pStyle w:val="Legend"/>
      </w:pPr>
      <w:r>
        <w:lastRenderedPageBreak/>
        <w:tab/>
        <w:t>[</w:t>
      </w:r>
      <w:r>
        <w:rPr>
          <w:rFonts w:hint="eastAsia"/>
        </w:rPr>
        <w:t>ɑ</w:t>
      </w:r>
      <w:r>
        <w:rPr>
          <w:rFonts w:hint="cs"/>
        </w:rPr>
        <w:t>ː</w:t>
      </w:r>
      <w:r>
        <w:t>], [ɐ]</w:t>
      </w:r>
      <w:r>
        <w:tab/>
      </w:r>
      <w:r>
        <w:rPr>
          <w:b/>
          <w:bCs/>
        </w:rPr>
        <w:t>square brackets</w:t>
      </w:r>
      <w:r>
        <w:t xml:space="preserve"> indicate phonetic entities</w:t>
      </w:r>
    </w:p>
    <w:p w14:paraId="00682AEC" w14:textId="77777777" w:rsidR="00431357" w:rsidRDefault="00431357" w:rsidP="00431357">
      <w:pPr>
        <w:pStyle w:val="Legend"/>
      </w:pPr>
      <w:r>
        <w:tab/>
        <w:t>&lt;a&gt;, &lt;k&gt;</w:t>
      </w:r>
      <w:r>
        <w:tab/>
      </w:r>
      <w:r>
        <w:rPr>
          <w:b/>
          <w:bCs/>
        </w:rPr>
        <w:t>angle brackets</w:t>
      </w:r>
      <w:r>
        <w:t xml:space="preserve"> indicate graphematic entities</w:t>
      </w:r>
    </w:p>
    <w:p w14:paraId="37435935" w14:textId="77777777" w:rsidR="00431357" w:rsidRDefault="00431357" w:rsidP="00431357">
      <w:pPr>
        <w:pStyle w:val="Legend"/>
      </w:pPr>
      <w:r>
        <w:tab/>
        <w:t>|</w:t>
      </w:r>
      <w:r>
        <w:rPr>
          <w:rFonts w:hint="cs"/>
          <w:cs/>
        </w:rPr>
        <w:t>र</w:t>
      </w:r>
      <w:r>
        <w:t>|, |</w:t>
      </w:r>
      <w:r>
        <w:rPr>
          <w:rFonts w:ascii="Old English Text MT" w:hAnsi="Old English Text MT"/>
        </w:rPr>
        <w:t>a</w:t>
      </w:r>
      <w:r>
        <w:t>|</w:t>
      </w:r>
      <w:r>
        <w:tab/>
      </w:r>
      <w:r>
        <w:rPr>
          <w:b/>
          <w:bCs/>
        </w:rPr>
        <w:t>vertical bars</w:t>
      </w:r>
      <w:r>
        <w:t xml:space="preserve"> indicate graphetic entities</w:t>
      </w:r>
    </w:p>
    <w:p w14:paraId="2DC205F2" w14:textId="77777777" w:rsidR="00431357" w:rsidRDefault="00431357" w:rsidP="00431357">
      <w:pPr>
        <w:pStyle w:val="Cmsor2"/>
        <w:numPr>
          <w:ilvl w:val="1"/>
          <w:numId w:val="3"/>
        </w:numPr>
      </w:pPr>
      <w:bookmarkStart w:id="30" w:name="_Toc200963239"/>
      <w:r>
        <w:t>Terms and definitions</w:t>
      </w:r>
      <w:bookmarkEnd w:id="29"/>
      <w:bookmarkEnd w:id="30"/>
    </w:p>
    <w:p w14:paraId="076AE5EA" w14:textId="27A4F8C7" w:rsidR="00431357" w:rsidRDefault="00431357" w:rsidP="00431357">
      <w:pPr>
        <w:rPr>
          <w:lang w:eastAsia="en-US" w:bidi="ar-SA"/>
        </w:rPr>
      </w:pPr>
      <w:r>
        <w:rPr>
          <w:lang w:eastAsia="en-US" w:bidi="ar-SA"/>
        </w:rPr>
        <w:t>The following is a list of cursory definitions of script-related terminology, located here for easy reference. Concepts which are vital for working with this guide are underlined in the list. It is strongly recommended that you read the more detailed discussion of grapholinguistic terminology in §</w:t>
      </w:r>
      <w:r>
        <w:rPr>
          <w:lang w:eastAsia="en-US" w:bidi="ar-SA"/>
        </w:rPr>
        <w:fldChar w:fldCharType="begin"/>
      </w:r>
      <w:r>
        <w:rPr>
          <w:lang w:eastAsia="en-US" w:bidi="ar-SA"/>
        </w:rPr>
        <w:instrText xml:space="preserve"> REF _Ref199757349 \r \h </w:instrText>
      </w:r>
      <w:r>
        <w:rPr>
          <w:lang w:eastAsia="en-US" w:bidi="ar-SA"/>
        </w:rPr>
      </w:r>
      <w:r>
        <w:rPr>
          <w:lang w:eastAsia="en-US" w:bidi="ar-SA"/>
        </w:rPr>
        <w:fldChar w:fldCharType="separate"/>
      </w:r>
      <w:r w:rsidR="00CA5448">
        <w:rPr>
          <w:lang w:eastAsia="en-US" w:bidi="ar-SA"/>
        </w:rPr>
        <w:t>1.6</w:t>
      </w:r>
      <w:r>
        <w:rPr>
          <w:lang w:eastAsia="en-US" w:bidi="ar-SA"/>
        </w:rPr>
        <w:fldChar w:fldCharType="end"/>
      </w:r>
      <w:r>
        <w:rPr>
          <w:lang w:eastAsia="en-US" w:bidi="ar-SA"/>
        </w:rPr>
        <w:t xml:space="preserve"> before reading the contents of this section.</w:t>
      </w:r>
    </w:p>
    <w:p w14:paraId="2B03030C" w14:textId="3FB9A08E" w:rsidR="00431357" w:rsidRDefault="00431357" w:rsidP="00431357">
      <w:pPr>
        <w:pStyle w:val="Lista"/>
      </w:pPr>
      <w:r>
        <w:t>script and writing (§</w:t>
      </w:r>
      <w:r>
        <w:fldChar w:fldCharType="begin"/>
      </w:r>
      <w:r>
        <w:instrText xml:space="preserve"> REF _Ref199836098 \r \h </w:instrText>
      </w:r>
      <w:r>
        <w:fldChar w:fldCharType="separate"/>
      </w:r>
      <w:r w:rsidR="00CA5448">
        <w:t>2.1</w:t>
      </w:r>
      <w:r>
        <w:fldChar w:fldCharType="end"/>
      </w:r>
      <w:r>
        <w:t>)</w:t>
      </w:r>
    </w:p>
    <w:p w14:paraId="2D98B050" w14:textId="77777777" w:rsidR="00431357" w:rsidRDefault="00431357" w:rsidP="00431357">
      <w:pPr>
        <w:pStyle w:val="Lista2"/>
      </w:pPr>
      <w:r>
        <w:rPr>
          <w:b/>
          <w:bCs/>
        </w:rPr>
        <w:t>writing</w:t>
      </w:r>
      <w:r>
        <w:t xml:space="preserve"> is the graphic representation of language</w:t>
      </w:r>
    </w:p>
    <w:p w14:paraId="55B0B571" w14:textId="77777777" w:rsidR="00431357" w:rsidRDefault="00431357" w:rsidP="00431357">
      <w:pPr>
        <w:pStyle w:val="Lista2"/>
      </w:pPr>
      <w:r>
        <w:t xml:space="preserve">a </w:t>
      </w:r>
      <w:r>
        <w:rPr>
          <w:b/>
          <w:bCs/>
        </w:rPr>
        <w:t>script</w:t>
      </w:r>
      <w:r>
        <w:t xml:space="preserve"> is an inventory of graphic signs which can be used conventionally for writing</w:t>
      </w:r>
    </w:p>
    <w:p w14:paraId="772D9BB8" w14:textId="77777777" w:rsidR="00431357" w:rsidRDefault="00431357" w:rsidP="00431357">
      <w:pPr>
        <w:pStyle w:val="Lista2"/>
      </w:pPr>
      <w:r>
        <w:t xml:space="preserve">a </w:t>
      </w:r>
      <w:r>
        <w:rPr>
          <w:b/>
          <w:bCs/>
        </w:rPr>
        <w:t>writing system</w:t>
      </w:r>
      <w:r>
        <w:t xml:space="preserve"> is a system of rules governing how certain aspects of a particular language can be recorded by means of a particular script</w:t>
      </w:r>
    </w:p>
    <w:p w14:paraId="2BBBE2B9" w14:textId="7964D9FE" w:rsidR="00431357" w:rsidRDefault="00431357" w:rsidP="00431357">
      <w:pPr>
        <w:pStyle w:val="Lista"/>
      </w:pPr>
      <w:r>
        <w:t>typology of writing systems (§</w:t>
      </w:r>
      <w:r>
        <w:fldChar w:fldCharType="begin"/>
      </w:r>
      <w:r>
        <w:instrText xml:space="preserve"> REF _Ref199836122 \r \h </w:instrText>
      </w:r>
      <w:r>
        <w:fldChar w:fldCharType="separate"/>
      </w:r>
      <w:r w:rsidR="00CA5448">
        <w:t>2.1.1</w:t>
      </w:r>
      <w:r>
        <w:fldChar w:fldCharType="end"/>
      </w:r>
      <w:r>
        <w:t>)</w:t>
      </w:r>
    </w:p>
    <w:p w14:paraId="61F596DE" w14:textId="77777777" w:rsidR="00431357" w:rsidRDefault="00431357" w:rsidP="00431357">
      <w:pPr>
        <w:pStyle w:val="Lista2"/>
      </w:pPr>
      <w:r>
        <w:t xml:space="preserve">a </w:t>
      </w:r>
      <w:r>
        <w:rPr>
          <w:b/>
          <w:bCs/>
        </w:rPr>
        <w:t>phonographic</w:t>
      </w:r>
      <w:r>
        <w:t xml:space="preserve"> writing system is one which predominantly records language by representing (an abstraction of) speech sound</w:t>
      </w:r>
    </w:p>
    <w:p w14:paraId="25A99D50" w14:textId="77777777" w:rsidR="00431357" w:rsidRDefault="00431357" w:rsidP="00431357">
      <w:pPr>
        <w:pStyle w:val="Lista2"/>
      </w:pPr>
      <w:r>
        <w:t xml:space="preserve">an </w:t>
      </w:r>
      <w:r>
        <w:rPr>
          <w:b/>
          <w:bCs/>
        </w:rPr>
        <w:t>alphabetic</w:t>
      </w:r>
      <w:r>
        <w:t xml:space="preserve"> writing system is a phonographic system which represents every abstract phoneme by a visually independent graphic sign</w:t>
      </w:r>
    </w:p>
    <w:p w14:paraId="7704D7A8" w14:textId="77777777" w:rsidR="00431357" w:rsidRDefault="00431357" w:rsidP="00431357">
      <w:pPr>
        <w:pStyle w:val="Lista3"/>
      </w:pPr>
      <w:r>
        <w:t xml:space="preserve">an </w:t>
      </w:r>
      <w:r>
        <w:rPr>
          <w:b/>
          <w:bCs/>
        </w:rPr>
        <w:t>aksharic</w:t>
      </w:r>
      <w:r>
        <w:t xml:space="preserve"> writing system is a phonographic system where the graphic signs representing abstract phonemes are often visually dependent on primary signs, so that only their combinations are visually independent; moreover, primary consonant signs by default also indicate an ‘inherent’ vowel</w:t>
      </w:r>
    </w:p>
    <w:p w14:paraId="0FD240D2" w14:textId="3CA308BD" w:rsidR="00431357" w:rsidRDefault="00431357" w:rsidP="00431357">
      <w:pPr>
        <w:pStyle w:val="Lista"/>
      </w:pPr>
      <w:r>
        <w:t>in conversion between writing systems (§</w:t>
      </w:r>
      <w:r>
        <w:fldChar w:fldCharType="begin"/>
      </w:r>
      <w:r>
        <w:instrText xml:space="preserve"> REF _Ref199836165 \r \h </w:instrText>
      </w:r>
      <w:r>
        <w:fldChar w:fldCharType="separate"/>
      </w:r>
      <w:r w:rsidR="00CA5448">
        <w:t>2.2.1</w:t>
      </w:r>
      <w:r>
        <w:fldChar w:fldCharType="end"/>
      </w:r>
      <w:r>
        <w:t>),</w:t>
      </w:r>
    </w:p>
    <w:p w14:paraId="100D6446" w14:textId="77777777" w:rsidR="00431357" w:rsidRDefault="00431357" w:rsidP="00431357">
      <w:pPr>
        <w:pStyle w:val="Lista2"/>
      </w:pPr>
      <w:r>
        <w:rPr>
          <w:b/>
          <w:bCs/>
          <w:u w:val="single"/>
        </w:rPr>
        <w:t>transliteration</w:t>
      </w:r>
      <w:r>
        <w:t xml:space="preserve"> is the use of a target writing system to represent how something is written in a source writing system, so that target graphemes correspond to source graphemes</w:t>
      </w:r>
    </w:p>
    <w:p w14:paraId="6CCC9CCE" w14:textId="77777777" w:rsidR="00431357" w:rsidRDefault="00431357" w:rsidP="00431357">
      <w:pPr>
        <w:pStyle w:val="Lista2"/>
      </w:pPr>
      <w:r>
        <w:rPr>
          <w:b/>
          <w:bCs/>
          <w:u w:val="single"/>
        </w:rPr>
        <w:t>transcription</w:t>
      </w:r>
      <w:r>
        <w:t xml:space="preserve"> is the use of a target writing system to represent how something sounds in a source language, so that target graphemes correspond to source phonemes or phones</w:t>
      </w:r>
    </w:p>
    <w:p w14:paraId="00A880B4" w14:textId="77777777" w:rsidR="00431357" w:rsidRDefault="00431357" w:rsidP="00431357">
      <w:pPr>
        <w:pStyle w:val="Lista2"/>
      </w:pPr>
      <w:r>
        <w:rPr>
          <w:b/>
          <w:bCs/>
        </w:rPr>
        <w:t>Romanisation</w:t>
      </w:r>
      <w:r>
        <w:t xml:space="preserve"> is transliteration or transcription with Roman as a target writing system</w:t>
      </w:r>
    </w:p>
    <w:p w14:paraId="5B5E223A" w14:textId="5EA28AA2" w:rsidR="00431357" w:rsidRDefault="00431357" w:rsidP="00431357">
      <w:pPr>
        <w:pStyle w:val="Lista"/>
      </w:pPr>
      <w:r>
        <w:rPr>
          <w:b/>
          <w:bCs/>
          <w:u w:val="single"/>
        </w:rPr>
        <w:t>graphemes</w:t>
      </w:r>
      <w:r>
        <w:t xml:space="preserve"> (§</w:t>
      </w:r>
      <w:r>
        <w:fldChar w:fldCharType="begin"/>
      </w:r>
      <w:r>
        <w:instrText xml:space="preserve"> REF _Ref199836484 \r \h </w:instrText>
      </w:r>
      <w:r>
        <w:fldChar w:fldCharType="separate"/>
      </w:r>
      <w:r w:rsidR="00CA5448">
        <w:t>2.3.1</w:t>
      </w:r>
      <w:r>
        <w:fldChar w:fldCharType="end"/>
      </w:r>
      <w:r>
        <w:t>, §</w:t>
      </w:r>
      <w:r>
        <w:fldChar w:fldCharType="begin"/>
      </w:r>
      <w:r>
        <w:instrText xml:space="preserve"> REF _Ref199836416 \r \h </w:instrText>
      </w:r>
      <w:r>
        <w:fldChar w:fldCharType="separate"/>
      </w:r>
      <w:r w:rsidR="00CA5448">
        <w:t>2.3.2</w:t>
      </w:r>
      <w:r>
        <w:fldChar w:fldCharType="end"/>
      </w:r>
      <w:r>
        <w:t>) are a finite set of the minimal functional units of a writing system, conceived of as signs with a graphic feature as their signifier and an abstract linguistic unit as their signified</w:t>
      </w:r>
    </w:p>
    <w:p w14:paraId="4553E4B0" w14:textId="77777777" w:rsidR="00431357" w:rsidRDefault="00431357" w:rsidP="00431357">
      <w:pPr>
        <w:pStyle w:val="Lista2"/>
      </w:pPr>
      <w:r>
        <w:rPr>
          <w:b/>
          <w:bCs/>
        </w:rPr>
        <w:t>graphematics</w:t>
      </w:r>
      <w:r>
        <w:t xml:space="preserve"> is the study of graphemes</w:t>
      </w:r>
    </w:p>
    <w:p w14:paraId="3E78FC2B" w14:textId="7CBD1799" w:rsidR="00431357" w:rsidRDefault="00431357" w:rsidP="00431357">
      <w:pPr>
        <w:pStyle w:val="Lista"/>
      </w:pPr>
      <w:r>
        <w:rPr>
          <w:b/>
          <w:bCs/>
          <w:u w:val="single"/>
        </w:rPr>
        <w:t>graphs</w:t>
      </w:r>
      <w:r>
        <w:t xml:space="preserve"> (§</w:t>
      </w:r>
      <w:r>
        <w:fldChar w:fldCharType="begin"/>
      </w:r>
      <w:r>
        <w:instrText xml:space="preserve"> REF _Ref199836484 \r \h </w:instrText>
      </w:r>
      <w:r>
        <w:fldChar w:fldCharType="separate"/>
      </w:r>
      <w:r w:rsidR="00CA5448">
        <w:t>2.3.1</w:t>
      </w:r>
      <w:r>
        <w:fldChar w:fldCharType="end"/>
      </w:r>
      <w:r>
        <w:t>, §</w:t>
      </w:r>
      <w:r>
        <w:fldChar w:fldCharType="begin"/>
      </w:r>
      <w:r>
        <w:instrText xml:space="preserve"> REF _Ref199836496 \r \h </w:instrText>
      </w:r>
      <w:r>
        <w:fldChar w:fldCharType="separate"/>
      </w:r>
      <w:r w:rsidR="00CA5448">
        <w:t>2.4.1</w:t>
      </w:r>
      <w:r>
        <w:fldChar w:fldCharType="end"/>
      </w:r>
      <w:r>
        <w:t>) are an infinite set of the concrete graphic instantiations of individual graphemes, such as |A|, |</w:t>
      </w:r>
      <w:r>
        <w:rPr>
          <w:rFonts w:ascii="Old English Text MT" w:hAnsi="Old English Text MT"/>
        </w:rPr>
        <w:t>A</w:t>
      </w:r>
      <w:r>
        <w:t>|, |</w:t>
      </w:r>
      <w:r>
        <w:rPr>
          <w:rFonts w:ascii="Mangal" w:hAnsi="Mangal" w:cs="Mangal" w:hint="cs"/>
          <w:cs/>
          <w14:ligatures w14:val="all"/>
        </w:rPr>
        <w:t>अ</w:t>
      </w:r>
      <w:r>
        <w:t>|, |</w:t>
      </w:r>
      <w:r>
        <w:rPr>
          <w:rFonts w:ascii="Uttara" w:hAnsi="Uttara" w:cs="Uttara"/>
          <w:cs/>
          <w14:ligatures w14:val="all"/>
        </w:rPr>
        <w:t>अ</w:t>
      </w:r>
      <w:r>
        <w:t>|</w:t>
      </w:r>
    </w:p>
    <w:p w14:paraId="426EDB5B" w14:textId="77777777" w:rsidR="00431357" w:rsidRDefault="00431357" w:rsidP="00431357">
      <w:pPr>
        <w:pStyle w:val="Lista2"/>
      </w:pPr>
      <w:r>
        <w:rPr>
          <w:b/>
          <w:bCs/>
        </w:rPr>
        <w:t>graphetics</w:t>
      </w:r>
      <w:r>
        <w:t xml:space="preserve"> is the study of graphs</w:t>
      </w:r>
    </w:p>
    <w:p w14:paraId="31E214D1" w14:textId="3CB6D930" w:rsidR="00431357" w:rsidRDefault="00431357" w:rsidP="00431357">
      <w:pPr>
        <w:pStyle w:val="Lista"/>
      </w:pPr>
      <w:r>
        <w:rPr>
          <w:b/>
          <w:bCs/>
          <w:u w:val="single"/>
        </w:rPr>
        <w:t>allographs</w:t>
      </w:r>
      <w:r>
        <w:t xml:space="preserve">  (§</w:t>
      </w:r>
      <w:r>
        <w:fldChar w:fldCharType="begin"/>
      </w:r>
      <w:r>
        <w:instrText xml:space="preserve"> REF _Ref199836484 \r \h </w:instrText>
      </w:r>
      <w:r>
        <w:fldChar w:fldCharType="separate"/>
      </w:r>
      <w:r w:rsidR="00CA5448">
        <w:t>2.3.1</w:t>
      </w:r>
      <w:r>
        <w:fldChar w:fldCharType="end"/>
      </w:r>
      <w:r>
        <w:t>, §</w:t>
      </w:r>
      <w:r>
        <w:fldChar w:fldCharType="begin"/>
      </w:r>
      <w:r>
        <w:instrText xml:space="preserve"> REF _Ref199778013 \r \h </w:instrText>
      </w:r>
      <w:r>
        <w:fldChar w:fldCharType="separate"/>
      </w:r>
      <w:r w:rsidR="00CA5448">
        <w:t>2.6</w:t>
      </w:r>
      <w:r>
        <w:fldChar w:fldCharType="end"/>
      </w:r>
      <w:r>
        <w:t>) are graphs which instantiate the same grapheme</w:t>
      </w:r>
    </w:p>
    <w:p w14:paraId="494558D6" w14:textId="77777777" w:rsidR="00431357" w:rsidRDefault="00431357" w:rsidP="00431357">
      <w:pPr>
        <w:pStyle w:val="Lista2"/>
      </w:pPr>
      <w:r>
        <w:rPr>
          <w:b/>
          <w:bCs/>
        </w:rPr>
        <w:t>graphetic allographs</w:t>
      </w:r>
      <w:r>
        <w:t xml:space="preserve"> are allographs which do not signify any linguistic information other than that contained in the grapheme, such as Devanagari |</w:t>
      </w:r>
      <w:r>
        <w:rPr>
          <w:rStyle w:val="ForeignDevanagariScript"/>
          <w:cs/>
        </w:rPr>
        <w:t>अ</w:t>
      </w:r>
      <w:r>
        <w:t>|, |</w:t>
      </w:r>
      <w:r>
        <w:rPr>
          <w:rStyle w:val="ForeignDevanagariAlt"/>
          <w:rFonts w:asciiTheme="majorBidi" w:hAnsiTheme="majorBidi" w:cstheme="majorBidi"/>
          <w:cs/>
        </w:rPr>
        <w:t>अ</w:t>
      </w:r>
      <w:r>
        <w:t>| and |</w:t>
      </w:r>
      <w:r>
        <w:rPr>
          <w:rFonts w:ascii="Uttara" w:hAnsi="Uttara" w:cs="Uttara"/>
          <w:cs/>
          <w14:ligatures w14:val="all"/>
        </w:rPr>
        <w:t>अ</w:t>
      </w:r>
      <w:r>
        <w:t>|</w:t>
      </w:r>
    </w:p>
    <w:p w14:paraId="046DEB74" w14:textId="77777777" w:rsidR="00431357" w:rsidRDefault="00431357" w:rsidP="00431357">
      <w:pPr>
        <w:pStyle w:val="Lista2"/>
      </w:pPr>
      <w:r>
        <w:rPr>
          <w:b/>
          <w:bCs/>
        </w:rPr>
        <w:t>graphotactic allographs</w:t>
      </w:r>
      <w:r>
        <w:t xml:space="preserve"> are allographs of which only one is permitted in a given graphematic context, such as the graphs corresponding to &lt;r&gt; in Devanagari </w:t>
      </w:r>
      <w:r>
        <w:rPr>
          <w:lang w:bidi="sa-IN"/>
        </w:rPr>
        <w:t>|</w:t>
      </w:r>
      <w:r>
        <w:rPr>
          <w:rStyle w:val="ForeignDevanagariScript"/>
          <w:rFonts w:hint="cs"/>
          <w:cs/>
        </w:rPr>
        <w:t>र्क</w:t>
      </w:r>
      <w:r>
        <w:rPr>
          <w:lang w:bidi="sa-IN"/>
        </w:rPr>
        <w:t>| and |</w:t>
      </w:r>
      <w:r>
        <w:rPr>
          <w:rStyle w:val="ForeignDevanagariScript"/>
          <w:rFonts w:hint="cs"/>
          <w:cs/>
        </w:rPr>
        <w:t>क्र</w:t>
      </w:r>
      <w:r>
        <w:rPr>
          <w:lang w:bidi="sa-IN"/>
        </w:rPr>
        <w:t>|</w:t>
      </w:r>
    </w:p>
    <w:p w14:paraId="07EE6F3A" w14:textId="77777777" w:rsidR="00431357" w:rsidRDefault="00431357" w:rsidP="00431357">
      <w:pPr>
        <w:pStyle w:val="Lista2"/>
      </w:pPr>
      <w:r>
        <w:rPr>
          <w:b/>
          <w:bCs/>
          <w:u w:val="single"/>
        </w:rPr>
        <w:t>graphematic allographs</w:t>
      </w:r>
      <w:r>
        <w:t xml:space="preserve"> are allographs which potentially signify linguistic information in addition to, and at a different level than, that inherent in the grapheme, such as Devanagari |</w:t>
      </w:r>
      <w:r>
        <w:rPr>
          <w:rStyle w:val="ForeignDevanagariScript"/>
          <w:rFonts w:hint="cs"/>
          <w:cs/>
        </w:rPr>
        <w:t>र</w:t>
      </w:r>
      <w:r>
        <w:rPr>
          <w:lang w:bidi="sa-IN"/>
        </w:rPr>
        <w:t>| versus (|</w:t>
      </w:r>
      <w:r>
        <w:rPr>
          <w:rStyle w:val="ForeignDevanagariScript"/>
          <w:rFonts w:hint="cs"/>
          <w:cs/>
        </w:rPr>
        <w:t>र्क</w:t>
      </w:r>
      <w:r>
        <w:rPr>
          <w:lang w:bidi="sa-IN"/>
        </w:rPr>
        <w:t>| and |</w:t>
      </w:r>
      <w:r>
        <w:rPr>
          <w:rStyle w:val="ForeignDevanagariScript"/>
          <w:rFonts w:hint="cs"/>
          <w:cs/>
        </w:rPr>
        <w:t>क्र</w:t>
      </w:r>
      <w:r>
        <w:rPr>
          <w:lang w:bidi="sa-IN"/>
        </w:rPr>
        <w:t>|)</w:t>
      </w:r>
    </w:p>
    <w:p w14:paraId="612DAC61" w14:textId="79349314" w:rsidR="00431357" w:rsidRDefault="00431357" w:rsidP="00431357">
      <w:pPr>
        <w:pStyle w:val="Lista"/>
      </w:pPr>
      <w:r>
        <w:rPr>
          <w:b/>
          <w:bCs/>
        </w:rPr>
        <w:t>homographs</w:t>
      </w:r>
      <w:r>
        <w:t xml:space="preserve"> (§</w:t>
      </w:r>
      <w:r>
        <w:fldChar w:fldCharType="begin"/>
      </w:r>
      <w:r>
        <w:instrText xml:space="preserve"> REF _Ref199837510 \r \h </w:instrText>
      </w:r>
      <w:r>
        <w:fldChar w:fldCharType="separate"/>
      </w:r>
      <w:r w:rsidR="00CA5448">
        <w:t>2.3.1</w:t>
      </w:r>
      <w:r>
        <w:fldChar w:fldCharType="end"/>
      </w:r>
      <w:r>
        <w:t>) are identical or nearly identical graphs which instantiate different graphemes</w:t>
      </w:r>
    </w:p>
    <w:p w14:paraId="303AFACD" w14:textId="7538568D" w:rsidR="00431357" w:rsidRDefault="00431357" w:rsidP="00431357">
      <w:pPr>
        <w:pStyle w:val="Lista"/>
      </w:pPr>
      <w:r>
        <w:rPr>
          <w:b/>
          <w:bCs/>
        </w:rPr>
        <w:t>polygraphs</w:t>
      </w:r>
      <w:r>
        <w:t xml:space="preserve"> (§</w:t>
      </w:r>
      <w:r>
        <w:fldChar w:fldCharType="begin"/>
      </w:r>
      <w:r>
        <w:instrText xml:space="preserve"> REF _Ref199839785 \r \h </w:instrText>
      </w:r>
      <w:r>
        <w:fldChar w:fldCharType="separate"/>
      </w:r>
      <w:r w:rsidR="00CA5448">
        <w:t>2.4.2</w:t>
      </w:r>
      <w:r>
        <w:fldChar w:fldCharType="end"/>
      </w:r>
      <w:r>
        <w:t>) are groups of two or more graphemes that together conventionally indicate a particular phoneme</w:t>
      </w:r>
    </w:p>
    <w:p w14:paraId="61B46416" w14:textId="5028C11B" w:rsidR="00431357" w:rsidRDefault="00431357" w:rsidP="00431357">
      <w:pPr>
        <w:pStyle w:val="Lista"/>
      </w:pPr>
      <w:r>
        <w:t xml:space="preserve">a </w:t>
      </w:r>
      <w:r>
        <w:rPr>
          <w:b/>
          <w:bCs/>
          <w:u w:val="single"/>
        </w:rPr>
        <w:t>character</w:t>
      </w:r>
      <w:r>
        <w:t xml:space="preserve"> (§</w:t>
      </w:r>
      <w:r>
        <w:fldChar w:fldCharType="begin"/>
      </w:r>
      <w:r>
        <w:instrText xml:space="preserve"> REF _Ref199836546 \r \h </w:instrText>
      </w:r>
      <w:r>
        <w:fldChar w:fldCharType="separate"/>
      </w:r>
      <w:r w:rsidR="00CA5448">
        <w:t>2.4.1</w:t>
      </w:r>
      <w:r>
        <w:fldChar w:fldCharType="end"/>
      </w:r>
      <w:r>
        <w:t>)is the minimal graphetically autonomous unit of a writing system comprised of one or more graphemes</w:t>
      </w:r>
    </w:p>
    <w:p w14:paraId="6070831F" w14:textId="77777777" w:rsidR="00431357" w:rsidRDefault="00431357" w:rsidP="00431357">
      <w:pPr>
        <w:pStyle w:val="Lista2"/>
      </w:pPr>
      <w:r>
        <w:t>for example, &lt;A&gt;, &lt;T&gt;, &lt;t</w:t>
      </w:r>
      <w:r>
        <w:rPr>
          <w:rStyle w:val="Foreign"/>
        </w:rPr>
        <w:t>·</w:t>
      </w:r>
      <w:r>
        <w:t>&gt;, &lt;ka&gt;, &lt;kha&gt; and &lt;rtsnyai&gt; are characters of the Indic writing system</w:t>
      </w:r>
    </w:p>
    <w:p w14:paraId="57632203" w14:textId="783386EE" w:rsidR="00431357" w:rsidRDefault="00431357" w:rsidP="00431357">
      <w:pPr>
        <w:pStyle w:val="Lista"/>
      </w:pPr>
      <w:r>
        <w:t xml:space="preserve">a </w:t>
      </w:r>
      <w:r>
        <w:rPr>
          <w:b/>
          <w:bCs/>
          <w:u w:val="single"/>
        </w:rPr>
        <w:t>glyph</w:t>
      </w:r>
      <w:r>
        <w:t xml:space="preserve"> (§</w:t>
      </w:r>
      <w:r>
        <w:fldChar w:fldCharType="begin"/>
      </w:r>
      <w:r>
        <w:instrText xml:space="preserve"> REF _Ref199836546 \r \h </w:instrText>
      </w:r>
      <w:r>
        <w:fldChar w:fldCharType="separate"/>
      </w:r>
      <w:r w:rsidR="00CA5448">
        <w:t>2.4.1</w:t>
      </w:r>
      <w:r>
        <w:fldChar w:fldCharType="end"/>
      </w:r>
      <w:r>
        <w:t>) is the concrete manifestation of a character, for example, |</w:t>
      </w:r>
      <w:r>
        <w:rPr>
          <w:rFonts w:hint="cs"/>
          <w:cs/>
          <w:lang w:bidi="sa-IN"/>
        </w:rPr>
        <w:t>अ</w:t>
      </w:r>
      <w:r>
        <w:t>|, |</w:t>
      </w:r>
      <w:r>
        <w:rPr>
          <w:rFonts w:hint="cs"/>
          <w:cs/>
        </w:rPr>
        <w:t>त्</w:t>
      </w:r>
      <w:r>
        <w:t>|, |</w:t>
      </w:r>
      <w:r>
        <w:rPr>
          <w:rFonts w:hint="cs"/>
          <w:cs/>
        </w:rPr>
        <w:t>क</w:t>
      </w:r>
      <w:r>
        <w:t>| and |</w:t>
      </w:r>
      <w:r>
        <w:rPr>
          <w:rFonts w:hint="cs"/>
          <w:cs/>
        </w:rPr>
        <w:t>र्त्स्न्यै</w:t>
      </w:r>
      <w:r>
        <w:t>| are glyphs of the Devanagari script</w:t>
      </w:r>
    </w:p>
    <w:p w14:paraId="111CC08F" w14:textId="184A30C1" w:rsidR="00431357" w:rsidRDefault="00431357" w:rsidP="00431357">
      <w:pPr>
        <w:pStyle w:val="Lista"/>
      </w:pPr>
      <w:r>
        <w:t>glyphs may be comprised of one or more graphs (§</w:t>
      </w:r>
      <w:r>
        <w:fldChar w:fldCharType="begin"/>
      </w:r>
      <w:r>
        <w:instrText xml:space="preserve"> REF _Ref199836617 \r \h </w:instrText>
      </w:r>
      <w:r>
        <w:fldChar w:fldCharType="separate"/>
      </w:r>
      <w:r w:rsidR="00CA5448">
        <w:t>2.4.3</w:t>
      </w:r>
      <w:r>
        <w:fldChar w:fldCharType="end"/>
      </w:r>
      <w:r>
        <w:t>)</w:t>
      </w:r>
    </w:p>
    <w:p w14:paraId="1713DDE8" w14:textId="77777777" w:rsidR="00431357" w:rsidRDefault="00431357" w:rsidP="00431357">
      <w:pPr>
        <w:pStyle w:val="Lista2"/>
      </w:pPr>
      <w:r>
        <w:lastRenderedPageBreak/>
        <w:t xml:space="preserve">a </w:t>
      </w:r>
      <w:r>
        <w:rPr>
          <w:b/>
          <w:bCs/>
          <w:u w:val="single"/>
        </w:rPr>
        <w:t>simplex glyph</w:t>
      </w:r>
      <w:r>
        <w:t xml:space="preserve"> is a glyph comprised of a single graph, such as such as Devanagari |</w:t>
      </w:r>
      <w:r>
        <w:rPr>
          <w:rFonts w:ascii="Tiro Devanagari Sanskrit" w:hAnsi="Tiro Devanagari Sanskrit"/>
          <w:cs/>
        </w:rPr>
        <w:t>अ</w:t>
      </w:r>
      <w:r>
        <w:t>| and Bengali |</w:t>
      </w:r>
      <w:r>
        <w:rPr>
          <w:rFonts w:cs="Vrinda"/>
          <w:cs/>
          <w:lang w:bidi="bn-IN"/>
        </w:rPr>
        <w:t>ৎ</w:t>
      </w:r>
      <w:r>
        <w:t>| as well as Devanagari |</w:t>
      </w:r>
      <w:r>
        <w:rPr>
          <w:rFonts w:hint="cs"/>
          <w:cs/>
        </w:rPr>
        <w:t>त</w:t>
      </w:r>
      <w:r>
        <w:t>|</w:t>
      </w:r>
    </w:p>
    <w:p w14:paraId="7034CA58" w14:textId="77777777" w:rsidR="00431357" w:rsidRDefault="00431357" w:rsidP="00431357">
      <w:pPr>
        <w:pStyle w:val="Lista2"/>
      </w:pPr>
      <w:r>
        <w:t xml:space="preserve">a </w:t>
      </w:r>
      <w:r>
        <w:rPr>
          <w:b/>
          <w:bCs/>
          <w:u w:val="single"/>
        </w:rPr>
        <w:t>complex glyph</w:t>
      </w:r>
      <w:r>
        <w:t xml:space="preserve"> is a glyph comprised of two or more graphs, such as Devanagari |</w:t>
      </w:r>
      <w:r>
        <w:rPr>
          <w:rStyle w:val="ForeignDevanagariScript"/>
          <w:rFonts w:hint="cs"/>
          <w:cs/>
        </w:rPr>
        <w:t>ते</w:t>
      </w:r>
      <w:r>
        <w:t>| and |</w:t>
      </w:r>
      <w:r>
        <w:rPr>
          <w:rStyle w:val="ForeignDevanagariScript"/>
          <w:rFonts w:hint="cs"/>
          <w:cs/>
        </w:rPr>
        <w:t>क्ल</w:t>
      </w:r>
      <w:r>
        <w:t>|</w:t>
      </w:r>
    </w:p>
    <w:p w14:paraId="34439399" w14:textId="77777777" w:rsidR="00431357" w:rsidRDefault="00431357" w:rsidP="00431357">
      <w:pPr>
        <w:pStyle w:val="Lista2"/>
      </w:pPr>
      <w:r>
        <w:t>the terms ‘simplex character’ and ‘complex character’ may be used as shorter expressions for ‘character manifesting as a simplex/complex glyph’, so for instance &lt;A&gt;, &lt;T&gt; and &lt;ta&gt; are simplex characters, while &lt;te&gt; and &lt;kla&gt; are complex characters in the Indic writing system</w:t>
      </w:r>
    </w:p>
    <w:p w14:paraId="1F82115A" w14:textId="77777777" w:rsidR="00431357" w:rsidRDefault="00431357" w:rsidP="00431357">
      <w:pPr>
        <w:pStyle w:val="Lista2"/>
      </w:pPr>
      <w:r>
        <w:t xml:space="preserve">a </w:t>
      </w:r>
      <w:r>
        <w:rPr>
          <w:b/>
          <w:bCs/>
          <w:u w:val="single"/>
        </w:rPr>
        <w:t>conjunct</w:t>
      </w:r>
      <w:r>
        <w:t xml:space="preserve"> or </w:t>
      </w:r>
      <w:r>
        <w:rPr>
          <w:b/>
          <w:bCs/>
        </w:rPr>
        <w:t>ligature</w:t>
      </w:r>
      <w:r>
        <w:t xml:space="preserve"> in an aksharic writing system is a particular kind of complex character, which involves more than one consonant</w:t>
      </w:r>
    </w:p>
    <w:p w14:paraId="5BE06915" w14:textId="4EDC61E8" w:rsidR="00431357" w:rsidRDefault="00431357" w:rsidP="00431357">
      <w:pPr>
        <w:pStyle w:val="Lista"/>
      </w:pPr>
      <w:r>
        <w:t>terminology for the constituent parts of glyphs, also applicable to characters (§</w:t>
      </w:r>
      <w:r>
        <w:fldChar w:fldCharType="begin"/>
      </w:r>
      <w:r>
        <w:instrText xml:space="preserve"> REF _Ref199775450 \r \h </w:instrText>
      </w:r>
      <w:r>
        <w:fldChar w:fldCharType="separate"/>
      </w:r>
      <w:r w:rsidR="00CA5448">
        <w:t>2.4.3.1</w:t>
      </w:r>
      <w:r>
        <w:fldChar w:fldCharType="end"/>
      </w:r>
      <w:r>
        <w:t>)</w:t>
      </w:r>
    </w:p>
    <w:p w14:paraId="4B2C3E18" w14:textId="77777777" w:rsidR="00431357" w:rsidRDefault="00431357" w:rsidP="00431357">
      <w:pPr>
        <w:pStyle w:val="Lista2"/>
      </w:pPr>
      <w:r>
        <w:t xml:space="preserve">a </w:t>
      </w:r>
      <w:r>
        <w:rPr>
          <w:b/>
          <w:bCs/>
          <w:u w:val="single"/>
        </w:rPr>
        <w:t>component</w:t>
      </w:r>
      <w:r>
        <w:t xml:space="preserve"> is a visually discernible graph within a complex glyph, such as the graphs corresponding to &lt;t&gt; and &lt;e&gt; in |</w:t>
      </w:r>
      <w:r>
        <w:rPr>
          <w:rStyle w:val="ForeignDevanagariScript"/>
          <w:rFonts w:hint="cs"/>
          <w:cs/>
        </w:rPr>
        <w:t>ते</w:t>
      </w:r>
      <w:r>
        <w:t>|</w:t>
      </w:r>
    </w:p>
    <w:p w14:paraId="7B56F508" w14:textId="77777777" w:rsidR="00431357" w:rsidRDefault="00431357" w:rsidP="00431357">
      <w:pPr>
        <w:pStyle w:val="Lista2"/>
      </w:pPr>
      <w:r>
        <w:t xml:space="preserve">a </w:t>
      </w:r>
      <w:r>
        <w:rPr>
          <w:b/>
          <w:bCs/>
          <w:u w:val="single"/>
        </w:rPr>
        <w:t>marker</w:t>
      </w:r>
      <w:r>
        <w:t xml:space="preserve"> is a graph which can only manifest as a component, and never as an independent glyph, such as that corresponding to &lt;e&gt; in |</w:t>
      </w:r>
      <w:r>
        <w:rPr>
          <w:rStyle w:val="ForeignDevanagariScript"/>
          <w:rFonts w:hint="cs"/>
          <w:cs/>
        </w:rPr>
        <w:t>ते</w:t>
      </w:r>
      <w:r>
        <w:t>|</w:t>
      </w:r>
    </w:p>
    <w:p w14:paraId="52033DB3" w14:textId="77777777" w:rsidR="00431357" w:rsidRDefault="00431357" w:rsidP="00431357">
      <w:pPr>
        <w:pStyle w:val="Lista3"/>
      </w:pPr>
      <w:r>
        <w:t xml:space="preserve">we primarily use this term for the Indic writing system’s vowel markers and </w:t>
      </w:r>
      <w:r>
        <w:rPr>
          <w:rStyle w:val="Foreign"/>
        </w:rPr>
        <w:t>virāma</w:t>
      </w:r>
      <w:r>
        <w:t>, but it also includes the dependent graphs for consonants</w:t>
      </w:r>
    </w:p>
    <w:p w14:paraId="6162D75D" w14:textId="0A6006F9" w:rsidR="00431357" w:rsidRDefault="00431357" w:rsidP="00431357">
      <w:pPr>
        <w:pStyle w:val="Lista2"/>
      </w:pPr>
      <w:r>
        <w:t xml:space="preserve">a (graphic) </w:t>
      </w:r>
      <w:r>
        <w:rPr>
          <w:b/>
          <w:bCs/>
          <w:u w:val="single"/>
        </w:rPr>
        <w:t>element</w:t>
      </w:r>
      <w:r>
        <w:t xml:space="preserve"> is (§</w:t>
      </w:r>
      <w:r>
        <w:fldChar w:fldCharType="begin"/>
      </w:r>
      <w:r>
        <w:instrText xml:space="preserve"> REF _Ref199836662 \r \h </w:instrText>
      </w:r>
      <w:r>
        <w:fldChar w:fldCharType="separate"/>
      </w:r>
      <w:r w:rsidR="00CA5448">
        <w:t>2.4.3.2</w:t>
      </w:r>
      <w:r>
        <w:fldChar w:fldCharType="end"/>
      </w:r>
      <w:r>
        <w:t>) any salient part of a graph or glyph that is not itself a graph, even though it may be the point of distinction between two graphs, such as the horizontal stroke that distinguishes Brāhmī |</w:t>
      </w:r>
      <w:r>
        <w:rPr>
          <w:rFonts w:ascii="Segoe UI Historic" w:hAnsi="Segoe UI Historic" w:cs="Segoe UI Historic"/>
        </w:rPr>
        <w:t>𑀓</w:t>
      </w:r>
      <w:r>
        <w:t>| &lt;ka&gt; from |</w:t>
      </w:r>
      <w:r>
        <w:rPr>
          <w:rFonts w:ascii="Segoe UI Historic" w:hAnsi="Segoe UI Historic" w:cs="Segoe UI Historic"/>
        </w:rPr>
        <w:t>𑀭</w:t>
      </w:r>
      <w:r>
        <w:t>| &lt;ra&gt;</w:t>
      </w:r>
    </w:p>
    <w:p w14:paraId="27ECF4BC" w14:textId="77777777" w:rsidR="00431357" w:rsidRDefault="00431357" w:rsidP="00431357">
      <w:pPr>
        <w:pStyle w:val="Lista3"/>
      </w:pPr>
      <w:r>
        <w:t xml:space="preserve">a </w:t>
      </w:r>
      <w:r>
        <w:rPr>
          <w:b/>
          <w:bCs/>
          <w:u w:val="single"/>
        </w:rPr>
        <w:t>stroke</w:t>
      </w:r>
      <w:r>
        <w:t xml:space="preserve"> is a graphic element which may be conceived of as a single stroke of the writing instrument</w:t>
      </w:r>
    </w:p>
    <w:p w14:paraId="4875A3FE" w14:textId="6BC5F953" w:rsidR="00431357" w:rsidRDefault="00431357" w:rsidP="00431357">
      <w:pPr>
        <w:pStyle w:val="Lista3"/>
      </w:pPr>
      <w:r>
        <w:t xml:space="preserve">a </w:t>
      </w:r>
      <w:r>
        <w:rPr>
          <w:b/>
          <w:bCs/>
          <w:u w:val="single"/>
        </w:rPr>
        <w:t>diacritical mark</w:t>
      </w:r>
      <w:r>
        <w:t xml:space="preserve"> (§</w:t>
      </w:r>
      <w:r>
        <w:fldChar w:fldCharType="begin"/>
      </w:r>
      <w:r>
        <w:instrText xml:space="preserve"> REF _Ref199836695 \r \h </w:instrText>
      </w:r>
      <w:r>
        <w:fldChar w:fldCharType="separate"/>
      </w:r>
      <w:r w:rsidR="00CA5448">
        <w:t>2.5.1</w:t>
      </w:r>
      <w:r>
        <w:fldChar w:fldCharType="end"/>
      </w:r>
      <w:r>
        <w:t>) is for our purposes nothing more than a kind of element which can be added a graph and thereby change the grapheme associated with that graph</w:t>
      </w:r>
    </w:p>
    <w:p w14:paraId="64211CFD" w14:textId="435E1DEF" w:rsidR="00431357" w:rsidRDefault="00431357" w:rsidP="00431357">
      <w:pPr>
        <w:pStyle w:val="Lista"/>
      </w:pPr>
      <w:r>
        <w:t>terminology for graphic signs signifying various kinds of information (§</w:t>
      </w:r>
      <w:r>
        <w:fldChar w:fldCharType="begin"/>
      </w:r>
      <w:r>
        <w:instrText xml:space="preserve"> REF _Ref199757158 \r \h </w:instrText>
      </w:r>
      <w:r>
        <w:fldChar w:fldCharType="separate"/>
      </w:r>
      <w:r w:rsidR="00CA5448">
        <w:t>2.5.5</w:t>
      </w:r>
      <w:r>
        <w:fldChar w:fldCharType="end"/>
      </w:r>
      <w:r>
        <w:t>)</w:t>
      </w:r>
    </w:p>
    <w:p w14:paraId="65620E51" w14:textId="77777777" w:rsidR="00431357" w:rsidRDefault="00431357" w:rsidP="00431357">
      <w:pPr>
        <w:pStyle w:val="Lista2"/>
      </w:pPr>
      <w:r>
        <w:t xml:space="preserve">an </w:t>
      </w:r>
      <w:r>
        <w:rPr>
          <w:b/>
          <w:bCs/>
          <w:u w:val="single"/>
        </w:rPr>
        <w:t>alphabetic sign</w:t>
      </w:r>
      <w:r>
        <w:t xml:space="preserve"> is one that represents speech sounds in any phonographic writing system</w:t>
      </w:r>
    </w:p>
    <w:p w14:paraId="7DCC35A7" w14:textId="77777777" w:rsidR="00431357" w:rsidRDefault="00431357" w:rsidP="00431357">
      <w:pPr>
        <w:pStyle w:val="Lista2"/>
      </w:pPr>
      <w:r>
        <w:t xml:space="preserve">a </w:t>
      </w:r>
      <w:r>
        <w:rPr>
          <w:b/>
          <w:bCs/>
          <w:u w:val="single"/>
        </w:rPr>
        <w:t>numeric sign</w:t>
      </w:r>
      <w:r>
        <w:t xml:space="preserve"> or cipher is one that denotes a number</w:t>
      </w:r>
    </w:p>
    <w:p w14:paraId="1E334E04" w14:textId="77777777" w:rsidR="00431357" w:rsidRDefault="00431357" w:rsidP="00431357">
      <w:pPr>
        <w:pStyle w:val="Lista2"/>
      </w:pPr>
      <w:r>
        <w:t xml:space="preserve">a </w:t>
      </w:r>
      <w:r>
        <w:rPr>
          <w:b/>
          <w:bCs/>
          <w:u w:val="single"/>
        </w:rPr>
        <w:t>non-alphanumeric sign</w:t>
      </w:r>
      <w:r>
        <w:t xml:space="preserve"> is a graphic sign that is neither alphabetic nor numeric</w:t>
      </w:r>
    </w:p>
    <w:p w14:paraId="351968DF" w14:textId="77777777" w:rsidR="00431357" w:rsidRDefault="00431357" w:rsidP="00431357">
      <w:pPr>
        <w:pStyle w:val="Cmsor2"/>
        <w:numPr>
          <w:ilvl w:val="1"/>
          <w:numId w:val="3"/>
        </w:numPr>
      </w:pPr>
      <w:bookmarkStart w:id="31" w:name="_oiuqq1mop1lk" w:colFirst="0" w:colLast="0"/>
      <w:bookmarkStart w:id="32" w:name="_Toc200963240"/>
      <w:bookmarkStart w:id="33" w:name="_Ref199757349"/>
      <w:bookmarkEnd w:id="31"/>
      <w:r>
        <w:t>Working with Unicode</w:t>
      </w:r>
      <w:bookmarkEnd w:id="32"/>
    </w:p>
    <w:p w14:paraId="2AD8F57A" w14:textId="77777777" w:rsidR="00431357" w:rsidRDefault="00431357" w:rsidP="00431357">
      <w:r>
        <w:t xml:space="preserve">All text documents in the project, transliterated or otherwise, must conform to Unicode. Today, Unicode is the universal default code table for characters, so this requires no special effort. Never use a custom or legacy character encoding, as it will turn into gobbledygook whenever someone attempts to display it in a different font. For disambiguation, we often specify Unicode codepoints for transliteration characters in the format </w:t>
      </w:r>
      <w:r>
        <w:rPr>
          <w:rStyle w:val="Code"/>
        </w:rPr>
        <w:t>U+####</w:t>
      </w:r>
      <w:r>
        <w:t>, where #### stands for a four-digit hexadecimal code.</w:t>
      </w:r>
    </w:p>
    <w:p w14:paraId="604E0137" w14:textId="77777777" w:rsidR="00431357" w:rsidRDefault="00431357" w:rsidP="00431357">
      <w:pPr>
        <w:pStyle w:val="Cmsor3"/>
        <w:numPr>
          <w:ilvl w:val="2"/>
          <w:numId w:val="3"/>
        </w:numPr>
      </w:pPr>
      <w:bookmarkStart w:id="34" w:name="_Toc200963241"/>
      <w:r>
        <w:t>Fonts and supported characters</w:t>
      </w:r>
      <w:bookmarkEnd w:id="34"/>
    </w:p>
    <w:p w14:paraId="2B918827" w14:textId="77777777" w:rsidR="00431357" w:rsidRDefault="00431357" w:rsidP="00431357">
      <w:r>
        <w:t>It is up to you to choose your preferred font for working in a word processor or XML editor, so long as it is Unicode-compliant. Some of the widely current fonts lack support for many of the special characters employed in our transliteration scheme, while others nominally support these characters, but render them awkwardly. When choosing a font, it is advisable to test it for some of the rarer characters relevant to the language you work with (</w:t>
      </w:r>
      <w:r>
        <w:rPr>
          <w:rStyle w:val="ForeignIndic"/>
        </w:rPr>
        <w:t>r̥̄</w:t>
      </w:r>
      <w:r>
        <w:t xml:space="preserve">, </w:t>
      </w:r>
      <w:r>
        <w:rPr>
          <w:rStyle w:val="ForeignIndic"/>
        </w:rPr>
        <w:t>m̐</w:t>
      </w:r>
      <w:r>
        <w:t xml:space="preserve"> and </w:t>
      </w:r>
      <w:r>
        <w:rPr>
          <w:rStyle w:val="ForeignIndic"/>
        </w:rPr>
        <w:t>ḫ</w:t>
      </w:r>
      <w:r>
        <w:t xml:space="preserve"> are good candidates).</w:t>
      </w:r>
    </w:p>
    <w:p w14:paraId="09210C99" w14:textId="77777777" w:rsidR="00431357" w:rsidRDefault="00431357" w:rsidP="00BE27A3">
      <w:pPr>
        <w:pStyle w:val="Normlbehzs"/>
      </w:pPr>
      <w:r>
        <w:t>Some publishers will require you to use a particular font, which may or may not support all the special characters you require. If persuasion does not work, feel free to make any necessary compromises and substitute more widely supported characters for the problematic ones. In a pinch, we recommend using letters with an underdot instead of an undercircle, and substituting f and x for ḫ (</w:t>
      </w:r>
      <w:r>
        <w:rPr>
          <w:rStyle w:val="Foreign"/>
        </w:rPr>
        <w:t>upadhmānīya</w:t>
      </w:r>
      <w:r>
        <w:t>) and ẖ (</w:t>
      </w:r>
      <w:r>
        <w:rPr>
          <w:rStyle w:val="Foreign"/>
        </w:rPr>
        <w:t>jihvāmūlīya</w:t>
      </w:r>
      <w:r>
        <w:t>) respectively.</w:t>
      </w:r>
    </w:p>
    <w:p w14:paraId="53ED078C" w14:textId="77777777" w:rsidR="00431357" w:rsidRDefault="00431357" w:rsidP="00431357">
      <w:pPr>
        <w:ind w:firstLine="170"/>
      </w:pPr>
      <w:r>
        <w:t>Of the fonts shipped with current versions of Windows and Mac OS, Times New Roman, Tahoma, Arial and Calibri are fair choices, but we preferentially recommend one of the following free fonts:</w:t>
      </w:r>
    </w:p>
    <w:p w14:paraId="47476804" w14:textId="116DDBA8" w:rsidR="00431357" w:rsidRDefault="00431357" w:rsidP="00431357">
      <w:pPr>
        <w:pStyle w:val="Lista"/>
      </w:pPr>
      <w:r>
        <w:t xml:space="preserve">Gentium by SIL, </w:t>
      </w:r>
      <w:hyperlink r:id="rId12">
        <w:r>
          <w:rPr>
            <w:color w:val="1155CC"/>
            <w:u w:val="single"/>
          </w:rPr>
          <w:t>https://software.sil.org/gentium/</w:t>
        </w:r>
      </w:hyperlink>
      <w:r>
        <w:t xml:space="preserve"> (in which the body text of this Guide is typeset)</w:t>
      </w:r>
    </w:p>
    <w:p w14:paraId="196E3959" w14:textId="4604408C" w:rsidR="00431357" w:rsidRDefault="00431357" w:rsidP="00431357">
      <w:pPr>
        <w:pStyle w:val="Lista"/>
      </w:pPr>
      <w:r>
        <w:rPr>
          <w:rFonts w:ascii="Noto Serif" w:hAnsi="Noto Serif" w:cs="Noto Serif"/>
        </w:rPr>
        <w:t>Noto Serif</w:t>
      </w:r>
      <w:r>
        <w:t xml:space="preserve"> and </w:t>
      </w:r>
      <w:r>
        <w:rPr>
          <w:rFonts w:ascii="Noto Sans" w:hAnsi="Noto Sans" w:cs="Noto Sans"/>
        </w:rPr>
        <w:t>Noto Sans</w:t>
      </w:r>
      <w:r>
        <w:t xml:space="preserve"> by Google, </w:t>
      </w:r>
      <w:hyperlink r:id="rId13">
        <w:r>
          <w:rPr>
            <w:color w:val="1155CC"/>
            <w:u w:val="single"/>
          </w:rPr>
          <w:t>https://www.google.com/get/noto/</w:t>
        </w:r>
      </w:hyperlink>
      <w:r>
        <w:t xml:space="preserve"> </w:t>
      </w:r>
    </w:p>
    <w:p w14:paraId="349AC148" w14:textId="77777777" w:rsidR="00431357" w:rsidRDefault="00431357" w:rsidP="00431357">
      <w:pPr>
        <w:pStyle w:val="Cmsor3"/>
        <w:numPr>
          <w:ilvl w:val="2"/>
          <w:numId w:val="3"/>
        </w:numPr>
      </w:pPr>
      <w:bookmarkStart w:id="35" w:name="_Toc200963242"/>
      <w:r>
        <w:lastRenderedPageBreak/>
        <w:t>Entering Unicode characters</w:t>
      </w:r>
      <w:bookmarkEnd w:id="35"/>
    </w:p>
    <w:p w14:paraId="2FF5B89B" w14:textId="77777777" w:rsidR="00431357" w:rsidRDefault="00431357" w:rsidP="00431357">
      <w:r>
        <w:t>You probably already have a favourite keyboard layout to access the special characters you need in your work, but some of the characters used in DHARMA transliteration may not be covered. Detailed technical instructions on designing, installing and using keyboard layouts or assigning shortcut keys are beyond the scope of this guide, so we can only offer the following tips.</w:t>
      </w:r>
    </w:p>
    <w:p w14:paraId="00B7D6CC" w14:textId="77777777" w:rsidR="00431357" w:rsidRDefault="00431357" w:rsidP="00431357">
      <w:pPr>
        <w:pStyle w:val="Lista"/>
      </w:pPr>
      <w:r>
        <w:t>for out-of-the-box solutions,</w:t>
      </w:r>
    </w:p>
    <w:p w14:paraId="27B80456" w14:textId="77777777" w:rsidR="00431357" w:rsidRDefault="00431357" w:rsidP="00431357">
      <w:pPr>
        <w:pStyle w:val="Lista2"/>
      </w:pPr>
      <w:r>
        <w:t>on a Mac, try the layouts Easy Unicode or ABC Extended (formerly US Extended)</w:t>
      </w:r>
    </w:p>
    <w:p w14:paraId="598B21DF" w14:textId="55C56820" w:rsidR="00431357" w:rsidRDefault="00431357" w:rsidP="00431357">
      <w:pPr>
        <w:pStyle w:val="Lista2"/>
      </w:pPr>
      <w:r>
        <w:t xml:space="preserve">on Windows, there is no suitable keyboard shipped with the system, but you may be able to use and/or adapt John Smith’s keyboard layout and Word macros, available at </w:t>
      </w:r>
      <w:hyperlink r:id="rId14" w:history="1">
        <w:r>
          <w:rPr>
            <w:rStyle w:val="Hiperhivatkozs"/>
          </w:rPr>
          <w:t>http://bombay.indology.info/software/fonts/induni/index.html</w:t>
        </w:r>
      </w:hyperlink>
    </w:p>
    <w:p w14:paraId="499F4A0E" w14:textId="3D5359D3" w:rsidR="00431357" w:rsidRDefault="00431357" w:rsidP="00431357">
      <w:pPr>
        <w:pStyle w:val="Lista"/>
      </w:pPr>
      <w:r>
        <w:t xml:space="preserve">to create your own keyboard for Windows, use the Microsoft Keyboard Layout Creator, </w:t>
      </w:r>
      <w:hyperlink r:id="rId15" w:history="1">
        <w:r>
          <w:rPr>
            <w:rStyle w:val="Hiperhivatkozs"/>
          </w:rPr>
          <w:t>https://www.microsoft.com/en-us/download/details.aspx?id=102134</w:t>
        </w:r>
      </w:hyperlink>
      <w:r>
        <w:t xml:space="preserve"> </w:t>
      </w:r>
    </w:p>
    <w:p w14:paraId="7EE8DBBD" w14:textId="77777777" w:rsidR="00431357" w:rsidRDefault="00431357" w:rsidP="00431357"/>
    <w:p w14:paraId="4642EE00" w14:textId="77777777" w:rsidR="00431357" w:rsidRDefault="00431357" w:rsidP="00431357">
      <w:pPr>
        <w:rPr>
          <w:rFonts w:eastAsia="Arial"/>
        </w:rPr>
      </w:pPr>
      <w:r>
        <w:t>If you can access most of the characters you need via your keyboard, but there are a few that you need occasionally and cannot access, one of the following solutions may help:</w:t>
      </w:r>
    </w:p>
    <w:p w14:paraId="10B15816" w14:textId="77777777" w:rsidR="00431357" w:rsidRDefault="00431357" w:rsidP="00431357">
      <w:pPr>
        <w:pStyle w:val="Lista"/>
      </w:pPr>
      <w:r>
        <w:t>assign a shortcut key or sequence to the inaccessible characters in your editing software</w:t>
      </w:r>
    </w:p>
    <w:p w14:paraId="7E8CEE8C" w14:textId="77777777" w:rsidR="00431357" w:rsidRDefault="00431357" w:rsidP="00431357">
      <w:pPr>
        <w:pStyle w:val="Lista"/>
      </w:pPr>
      <w:r>
        <w:t>insert them from a table of available characters</w:t>
      </w:r>
    </w:p>
    <w:p w14:paraId="7FA877A7" w14:textId="77777777" w:rsidR="00431357" w:rsidRDefault="00431357" w:rsidP="00431357">
      <w:pPr>
        <w:pStyle w:val="Lista2"/>
      </w:pPr>
      <w:r>
        <w:t>in MS Office, use Insert Symbol</w:t>
      </w:r>
    </w:p>
    <w:p w14:paraId="7D03392D" w14:textId="77777777" w:rsidR="00431357" w:rsidRDefault="00431357" w:rsidP="00431357">
      <w:pPr>
        <w:pStyle w:val="Lista2"/>
      </w:pPr>
      <w:r>
        <w:t>on Mac OS (systemwide), use the Character Table</w:t>
      </w:r>
    </w:p>
    <w:p w14:paraId="7FB568C2" w14:textId="77777777" w:rsidR="00431357" w:rsidRDefault="00431357" w:rsidP="00431357">
      <w:pPr>
        <w:pStyle w:val="Lista"/>
      </w:pPr>
      <w:r>
        <w:t>copy and paste the inaccessible characters from this guide (or from a file you keep at your fingertips, listing each of those characters) each time you need one of them</w:t>
      </w:r>
    </w:p>
    <w:p w14:paraId="6D80CC97" w14:textId="77777777" w:rsidR="00431357" w:rsidRDefault="00431357" w:rsidP="00431357">
      <w:pPr>
        <w:pStyle w:val="Lista"/>
        <w:rPr>
          <w:rFonts w:eastAsia="Arial"/>
        </w:rPr>
      </w:pPr>
      <w:r>
        <w:t>use Unicode codes to enter special characters</w:t>
      </w:r>
    </w:p>
    <w:p w14:paraId="0135AF46" w14:textId="77777777" w:rsidR="00431357" w:rsidRDefault="00431357" w:rsidP="00431357">
      <w:pPr>
        <w:pStyle w:val="Lista2"/>
      </w:pPr>
      <w:r>
        <w:t>in MS Office you can type the code, then press ALT + x to convert the code into the corresponding character</w:t>
      </w:r>
    </w:p>
    <w:p w14:paraId="0391D1FF" w14:textId="77777777" w:rsidR="00431357" w:rsidRDefault="00431357" w:rsidP="00431357">
      <w:pPr>
        <w:pStyle w:val="Lista3"/>
      </w:pPr>
      <w:r>
        <w:t>you can enter the code with or without the prefix U+, but using it will make certain the software recognises where the code begins, so the last characters you typed before the code will not interfere with what you want to produce</w:t>
      </w:r>
    </w:p>
    <w:p w14:paraId="0C31D4A5" w14:textId="77777777" w:rsidR="00431357" w:rsidRDefault="00431357" w:rsidP="00431357">
      <w:pPr>
        <w:pStyle w:val="Lista2"/>
        <w:rPr>
          <w:rFonts w:eastAsia="Arial"/>
        </w:rPr>
      </w:pPr>
      <w:r>
        <w:t>on Mac OS (systemwide), you need to enable Unicode Hex Input in Language Preferences</w:t>
      </w:r>
    </w:p>
    <w:p w14:paraId="6EB774F8" w14:textId="77777777" w:rsidR="00431357" w:rsidRDefault="00431357" w:rsidP="00431357">
      <w:pPr>
        <w:pStyle w:val="Lista3"/>
        <w:rPr>
          <w:rFonts w:eastAsia="Arial"/>
        </w:rPr>
      </w:pPr>
      <w:r>
        <w:t>once you have done this, whenever you switch to this keyboard layout, you can press and hold Option while you type the character code (without the prefix U+) then release Option</w:t>
      </w:r>
    </w:p>
    <w:p w14:paraId="0F0F436B" w14:textId="29E41075" w:rsidR="00431357" w:rsidRDefault="00431357" w:rsidP="00431357">
      <w:pPr>
        <w:pStyle w:val="Lista"/>
        <w:rPr>
          <w:rFonts w:eastAsia="Arial"/>
        </w:rPr>
      </w:pPr>
      <w:r>
        <w:t>if all else fails, then use shorthand (§</w:t>
      </w:r>
      <w:r>
        <w:fldChar w:fldCharType="begin"/>
      </w:r>
      <w:r>
        <w:instrText xml:space="preserve"> REF _Ref199854335 \r \h </w:instrText>
      </w:r>
      <w:r>
        <w:fldChar w:fldCharType="separate"/>
      </w:r>
      <w:r w:rsidR="00CA5448">
        <w:t>3.9.1</w:t>
      </w:r>
      <w:r>
        <w:fldChar w:fldCharType="end"/>
      </w:r>
      <w:r>
        <w:t>)</w:t>
      </w:r>
    </w:p>
    <w:p w14:paraId="579A0629" w14:textId="77777777" w:rsidR="00431357" w:rsidRDefault="00431357" w:rsidP="00431357">
      <w:pPr>
        <w:pStyle w:val="Cmsor3"/>
        <w:numPr>
          <w:ilvl w:val="2"/>
          <w:numId w:val="3"/>
        </w:numPr>
      </w:pPr>
      <w:bookmarkStart w:id="36" w:name="_Toc200963243"/>
      <w:bookmarkStart w:id="37" w:name="_Ref17798779"/>
      <w:bookmarkStart w:id="38" w:name="_Toc17811416"/>
      <w:bookmarkStart w:id="39" w:name="_Toc17811471"/>
      <w:r>
        <w:t>Precomposed characters</w:t>
      </w:r>
      <w:bookmarkEnd w:id="36"/>
    </w:p>
    <w:p w14:paraId="4AEB25C4" w14:textId="77777777" w:rsidR="00431357" w:rsidRDefault="00431357" w:rsidP="00431357">
      <w:r>
        <w:t>Unicode caters for Roman letters with diacritical marks in two separate ways. On the one hand, many diacritical characters — such as ü, ā or ṭ — are available in precomposed form, which means that the letter-plus-diacritic is a single Unicode character.</w:t>
      </w:r>
      <w:r>
        <w:rPr>
          <w:rStyle w:val="Lbjegyzet-hivatkozs"/>
        </w:rPr>
        <w:footnoteReference w:id="3"/>
      </w:r>
      <w:r>
        <w:t xml:space="preserve"> On the other hand, diacritical marks — such as ◌̈, ◌̄ or ◌̣ — themselves are available as special combining characters which, when entered after a suitable base character, will be combined with it to render as the base character with the diacritical mark. For example, the character ā may be produced either by entering a (</w:t>
      </w:r>
      <w:r>
        <w:rPr>
          <w:rStyle w:val="Code"/>
        </w:rPr>
        <w:t>U+0061</w:t>
      </w:r>
      <w:r>
        <w:t xml:space="preserve"> Latin Small Letter A) followed by ◌̄ (</w:t>
      </w:r>
      <w:r>
        <w:rPr>
          <w:rStyle w:val="Code"/>
        </w:rPr>
        <w:t>U+0304</w:t>
      </w:r>
      <w:r>
        <w:t xml:space="preserve"> Combining Macron), or by entering ā (</w:t>
      </w:r>
      <w:r>
        <w:rPr>
          <w:rStyle w:val="Code"/>
        </w:rPr>
        <w:t>U+0101</w:t>
      </w:r>
      <w:r>
        <w:t xml:space="preserve"> Latin Small Letter A With Macron). Processing software is generally able to treat the two as equivalent (so, for instance, searching for one will find the other as well), but this cannot be guaranteed in all situations. For this reason we urge you to </w:t>
      </w:r>
      <w:r>
        <w:rPr>
          <w:b/>
          <w:bCs/>
        </w:rPr>
        <w:t>always use precomposed characters</w:t>
      </w:r>
      <w:r>
        <w:t xml:space="preserve"> whenever they are available, and resort to combining diacritics only when the Unicode codetable does not include a precomposed form. The most common character in our practice for which no precomposed form is available is r̥; others will be noted in the body of the Guide where applicable.</w:t>
      </w:r>
    </w:p>
    <w:p w14:paraId="3A14A5FF" w14:textId="77777777" w:rsidR="00431357" w:rsidRDefault="00431357" w:rsidP="00BE27A3">
      <w:pPr>
        <w:pStyle w:val="Normlbehzs"/>
      </w:pPr>
      <w:r>
        <w:t>The current version of Oxygen (our preferred XML editor) handles combining diacritics as separate. As a result, when you wish to delete a combined character or to select it in order to place markup around it, you will need two keypresses instead of one, otherwise stray undercircles may be left in unwanted places.</w:t>
      </w:r>
    </w:p>
    <w:p w14:paraId="20D9D788" w14:textId="77777777" w:rsidR="00431357" w:rsidRDefault="00431357" w:rsidP="00431357">
      <w:pPr>
        <w:pStyle w:val="Cmsor1"/>
        <w:numPr>
          <w:ilvl w:val="0"/>
          <w:numId w:val="3"/>
        </w:numPr>
      </w:pPr>
      <w:bookmarkStart w:id="40" w:name="_Toc200963244"/>
      <w:bookmarkEnd w:id="37"/>
      <w:bookmarkEnd w:id="38"/>
      <w:bookmarkEnd w:id="39"/>
      <w:r>
        <w:lastRenderedPageBreak/>
        <w:t xml:space="preserve">Theoretical </w:t>
      </w:r>
      <w:bookmarkEnd w:id="33"/>
      <w:r>
        <w:t>framework</w:t>
      </w:r>
      <w:bookmarkEnd w:id="40"/>
    </w:p>
    <w:p w14:paraId="602E41AD" w14:textId="372A4045" w:rsidR="00431357" w:rsidRDefault="00431357" w:rsidP="00431357">
      <w:bookmarkStart w:id="41" w:name="_Ref199150822"/>
      <w:r>
        <w:t xml:space="preserve">The study of written language, like many areas of linguistics, has been approached by theoreticians in various ways, and many of the relevant technical terms refer to slightly (or radically) different concepts depending on approach. The name of this field of knowledge is itself variable, with </w:t>
      </w:r>
      <w:r>
        <w:rPr>
          <w:i/>
          <w:iCs/>
        </w:rPr>
        <w:t>grammatology</w:t>
      </w:r>
      <w:r>
        <w:t xml:space="preserve"> and, more recently, </w:t>
      </w:r>
      <w:r>
        <w:rPr>
          <w:i/>
          <w:iCs/>
        </w:rPr>
        <w:t>grapholinguistics</w:t>
      </w:r>
      <w:r>
        <w:t xml:space="preserve"> being perhaps the most prevalent </w:t>
      </w:r>
      <w:r>
        <w:fldChar w:fldCharType="begin"/>
      </w:r>
      <w:r>
        <w:instrText xml:space="preserve"> ADDIN ZOTERO_ITEM CSL_CITATION {"citationID":"7GuWV7eX","properties":{"formattedCitation":"(Meletis 2020a, 3)","plainCitation":"(Meletis 2020a, 3)","noteIndex":0},"citationItems":[{"id":25329,"uris":["http://zotero.org/groups/1633743/items/F5UMNY45"],"itemData":{"id":25329,"type":"book","collection-number":"3","collection-title":"Grapholinguistics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Grapholinguistics","title-short":"Meletis2020_01","author":[{"family":"Meletis","given":"Dimitrios"}],"issued":{"date-parts":[["2020"]]}},"locator":"3","label":"page"}],"schema":"https://github.com/citation-style-language/schema/raw/master/csl-citation.json"} </w:instrText>
      </w:r>
      <w:r>
        <w:fldChar w:fldCharType="separate"/>
      </w:r>
      <w:r>
        <w:rPr>
          <w:rFonts w:cs="Gentium Plus"/>
        </w:rPr>
        <w:t>(Meletis 2020a, 3)</w:t>
      </w:r>
      <w:r>
        <w:fldChar w:fldCharType="end"/>
      </w:r>
      <w:r>
        <w:t>. Many scholars of writing have worked exclusively or primarily with alphabetic writing, enabling them to ignore features of other writing systems that cannot be readily explained in their terms. We in turn are concerned specifically with the transliteration of Indic writing systems to a Roman one, and are, for pragmatic reasons, at ease to ignore subtle and complicated aspects of written language that are not directly relevant to this. Nonetheless, we must define certain concepts with sufficient accuracy in order to be able to discuss the elements of writing productively and unambiguously. The following discussion, which we recommend you read through at least once, situates the concepts relevant to us in a rough theoretical framework. For future reference, the list of quick-and-dirty definitions §</w:t>
      </w:r>
      <w:r>
        <w:fldChar w:fldCharType="begin"/>
      </w:r>
      <w:r>
        <w:instrText xml:space="preserve"> REF _Ref199757286 \r \h </w:instrText>
      </w:r>
      <w:r>
        <w:fldChar w:fldCharType="separate"/>
      </w:r>
      <w:r w:rsidR="00CA5448">
        <w:t>1.4</w:t>
      </w:r>
      <w:r>
        <w:fldChar w:fldCharType="end"/>
      </w:r>
      <w:r>
        <w:t xml:space="preserve"> shall suffice.</w:t>
      </w:r>
    </w:p>
    <w:p w14:paraId="699A740E" w14:textId="77777777" w:rsidR="00431357" w:rsidRDefault="00431357" w:rsidP="00431357">
      <w:pPr>
        <w:pStyle w:val="Cmsor2"/>
        <w:numPr>
          <w:ilvl w:val="1"/>
          <w:numId w:val="3"/>
        </w:numPr>
      </w:pPr>
      <w:bookmarkStart w:id="42" w:name="_Ref199836098"/>
      <w:bookmarkStart w:id="43" w:name="_Toc200963245"/>
      <w:r>
        <w:t>Scripts and writing systems</w:t>
      </w:r>
      <w:bookmarkEnd w:id="42"/>
      <w:bookmarkEnd w:id="43"/>
    </w:p>
    <w:p w14:paraId="65633C50" w14:textId="77777777" w:rsidR="00431357" w:rsidRDefault="00431357" w:rsidP="00431357">
      <w:r>
        <w:t xml:space="preserve">We start from the premise that </w:t>
      </w:r>
      <w:r>
        <w:rPr>
          <w:b/>
          <w:bCs/>
        </w:rPr>
        <w:t>writing</w:t>
      </w:r>
      <w:r>
        <w:t xml:space="preserve"> is essentially </w:t>
      </w:r>
      <w:r>
        <w:rPr>
          <w:i/>
          <w:iCs/>
        </w:rPr>
        <w:t>glottography</w:t>
      </w:r>
      <w:r>
        <w:t>, meaning the graphic representation of language.</w:t>
      </w:r>
      <w:r>
        <w:rPr>
          <w:rStyle w:val="Lbjegyzet-hivatkozs"/>
        </w:rPr>
        <w:footnoteReference w:id="4"/>
      </w:r>
      <w:r>
        <w:t xml:space="preserve"> A </w:t>
      </w:r>
      <w:r>
        <w:rPr>
          <w:b/>
          <w:bCs/>
        </w:rPr>
        <w:t>script</w:t>
      </w:r>
      <w:r>
        <w:t xml:space="preserve"> is an inventory of graphic signs (a </w:t>
      </w:r>
      <w:r>
        <w:rPr>
          <w:i/>
          <w:iCs/>
        </w:rPr>
        <w:t>signary</w:t>
      </w:r>
      <w:r>
        <w:t xml:space="preserve">), which can be used conventionally for the graphic representation of linguistic information. A </w:t>
      </w:r>
      <w:r>
        <w:rPr>
          <w:b/>
          <w:bCs/>
        </w:rPr>
        <w:t>writing system</w:t>
      </w:r>
      <w:r>
        <w:t xml:space="preserve"> is a system of rules governing how certain aspects of a particular language can be recorded by means of a particular script.</w:t>
      </w:r>
      <w:r>
        <w:rPr>
          <w:rStyle w:val="Lbjegyzet-hivatkozs"/>
        </w:rPr>
        <w:footnoteReference w:id="5"/>
      </w:r>
      <w:r>
        <w:t xml:space="preserve"> It follows from this that scripts are in themselves independent of language, and a language may be associated with several writing systems, or none. The concept of a writing system, on the other hand, presupposes both a particular language and a particular script.</w:t>
      </w:r>
      <w:r>
        <w:rPr>
          <w:rStyle w:val="Lbjegyzet-hivatkozs"/>
        </w:rPr>
        <w:footnoteReference w:id="6"/>
      </w:r>
      <w:r>
        <w:t xml:space="preserve"> </w:t>
      </w:r>
    </w:p>
    <w:p w14:paraId="2B0DB33D" w14:textId="77777777" w:rsidR="00431357" w:rsidRDefault="00431357" w:rsidP="00BE27A3">
      <w:pPr>
        <w:pStyle w:val="Normlbehzs"/>
      </w:pPr>
      <w:r>
        <w:t>We hasten to add that the word “particular” in this statement may be understood at different points on a scale of concreteness. Indeed, to speak in terms like “the system for writing English in the Roman script,” as current grapholinguistic theorists do, is already a generalisation relative to more specific systems.</w:t>
      </w:r>
      <w:r>
        <w:rPr>
          <w:rStyle w:val="Lbjegyzet-hivatkozs"/>
        </w:rPr>
        <w:footnoteReference w:id="7"/>
      </w:r>
      <w:r>
        <w:t xml:space="preserve"> Accordingly, we also endorse sweeping generalisations such as </w:t>
      </w:r>
      <w:r>
        <w:rPr>
          <w:b/>
          <w:bCs/>
        </w:rPr>
        <w:t>Indic script</w:t>
      </w:r>
      <w:r>
        <w:t xml:space="preserve"> for all of the Brāhmī-derived scripts and </w:t>
      </w:r>
      <w:r>
        <w:rPr>
          <w:b/>
          <w:bCs/>
        </w:rPr>
        <w:t>Roman script</w:t>
      </w:r>
      <w:r>
        <w:t xml:space="preserve"> for all of the Latin-derived scripts,</w:t>
      </w:r>
      <w:r>
        <w:rPr>
          <w:rStyle w:val="Lbjegyzet-hivatkozs"/>
        </w:rPr>
        <w:footnoteReference w:id="8"/>
      </w:r>
      <w:r>
        <w:t xml:space="preserve"> and likewise </w:t>
      </w:r>
      <w:r>
        <w:rPr>
          <w:b/>
          <w:bCs/>
        </w:rPr>
        <w:t>Indic writing system</w:t>
      </w:r>
      <w:r>
        <w:t xml:space="preserve"> and </w:t>
      </w:r>
      <w:r>
        <w:rPr>
          <w:b/>
          <w:bCs/>
        </w:rPr>
        <w:t>Roman writing system</w:t>
      </w:r>
      <w:r>
        <w:t xml:space="preserve"> understood as the generic set of rules for employing variants of these scripts for any language with which they have been associated historically.  In spite of individual differences at lower points of the scale, these rules in the broad sense still share a common systemic framework and prototypical building blocks.</w:t>
      </w:r>
    </w:p>
    <w:p w14:paraId="47A1ED66" w14:textId="77777777" w:rsidR="00431357" w:rsidRDefault="00431357" w:rsidP="00431357">
      <w:pPr>
        <w:pStyle w:val="Cmsor3"/>
        <w:numPr>
          <w:ilvl w:val="2"/>
          <w:numId w:val="3"/>
        </w:numPr>
      </w:pPr>
      <w:bookmarkStart w:id="44" w:name="_Toc199757533"/>
      <w:bookmarkStart w:id="45" w:name="_Ref199836122"/>
      <w:bookmarkStart w:id="46" w:name="_Toc200963246"/>
      <w:r>
        <w:t>Writing system typology</w:t>
      </w:r>
      <w:bookmarkEnd w:id="44"/>
      <w:bookmarkEnd w:id="45"/>
      <w:bookmarkEnd w:id="46"/>
    </w:p>
    <w:p w14:paraId="2A1D2B69" w14:textId="222E883A" w:rsidR="00431357" w:rsidRDefault="00431357" w:rsidP="00431357">
      <w:r>
        <w:t xml:space="preserve">Writing systems typically establish correspondences between graphic signs and linguistic units of a particular kind. We shall refer to this as the </w:t>
      </w:r>
      <w:r>
        <w:rPr>
          <w:i/>
          <w:iCs/>
        </w:rPr>
        <w:t>dominant level of representational mapping</w:t>
      </w:r>
      <w:r>
        <w:t xml:space="preserve"> </w:t>
      </w:r>
      <w:r>
        <w:fldChar w:fldCharType="begin"/>
      </w:r>
      <w:r>
        <w:instrText xml:space="preserve"> ADDIN ZOTERO_ITEM CSL_CITATION {"citationID":"8VF7gLu2","properties":{"formattedCitation":"(Meletis and D\\uc0\\u252{}rscheid 2022, 212, 216)","plainCitation":"(Meletis and Dürscheid 2022, 212, 216)","noteIndex":0},"citationItems":[{"id":25331,"uris":["http://zotero.org/groups/1633743/items/2FRSBS2M"],"itemData":{"id":25331,"type":"book","abstract":"Grapholinguistics,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Grapholinguistics","title-short":"Meletis+Durscheid2022_01","author":[{"family":"Meletis","given":"Dimitrios"},{"family":"Dürscheid","given":"Christa"}],"issued":{"date-parts":[["2022"]]}},"locator":"212, 216","label":"page"}],"schema":"https://github.com/citation-style-language/schema/raw/master/csl-citation.json"} </w:instrText>
      </w:r>
      <w:r>
        <w:fldChar w:fldCharType="separate"/>
      </w:r>
      <w:r>
        <w:rPr>
          <w:rFonts w:cs="Gentium Plus"/>
          <w:kern w:val="0"/>
          <w:szCs w:val="24"/>
        </w:rPr>
        <w:t>(Meletis and Dürscheid 2022, 212, 216)</w:t>
      </w:r>
      <w:r>
        <w:fldChar w:fldCharType="end"/>
      </w:r>
      <w:r>
        <w:t xml:space="preserve">. The writing systems we are concerned with are </w:t>
      </w:r>
      <w:r>
        <w:rPr>
          <w:b/>
          <w:bCs/>
        </w:rPr>
        <w:t>phonographic</w:t>
      </w:r>
      <w:r>
        <w:t xml:space="preserve">, meaning that they </w:t>
      </w:r>
      <w:r>
        <w:lastRenderedPageBreak/>
        <w:t>predominantly record speech sounds.</w:t>
      </w:r>
      <w:r>
        <w:rPr>
          <w:rStyle w:val="Lbjegyzet-hivatkozs"/>
        </w:rPr>
        <w:footnoteReference w:id="9"/>
      </w:r>
      <w:r>
        <w:t xml:space="preserve"> Phonographic writing systems may be further classified as alphabetic, aksharic, abjadic or syllabic. An </w:t>
      </w:r>
      <w:r>
        <w:rPr>
          <w:b/>
          <w:bCs/>
          <w:lang w:bidi="sa-IN"/>
        </w:rPr>
        <w:t>alphabetic</w:t>
      </w:r>
      <w:r>
        <w:rPr>
          <w:lang w:bidi="sa-IN"/>
        </w:rPr>
        <w:t xml:space="preserve"> writing system — such as the Roman one — ideally matches each and every phoneme of the language to exactly one freely combinable graphic sign of the script. An </w:t>
      </w:r>
      <w:r>
        <w:rPr>
          <w:b/>
          <w:bCs/>
          <w:lang w:bidi="sa-IN"/>
        </w:rPr>
        <w:t>aksharic</w:t>
      </w:r>
      <w:r>
        <w:rPr>
          <w:rStyle w:val="Lbjegyzet-hivatkozs"/>
        </w:rPr>
        <w:footnoteReference w:id="10"/>
      </w:r>
      <w:r>
        <w:rPr>
          <w:lang w:bidi="sa-IN"/>
        </w:rPr>
        <w:t xml:space="preserve"> system — such as the Indic one — is distinguished from </w:t>
      </w:r>
      <w:r>
        <w:t>alphabetic systems by the fact that it involves visual segmentation into chunks we shall refer to as characters (§</w:t>
      </w:r>
      <w:r>
        <w:fldChar w:fldCharType="begin"/>
      </w:r>
      <w:r>
        <w:instrText xml:space="preserve"> REF _Ref199758726 \r \h </w:instrText>
      </w:r>
      <w:r>
        <w:fldChar w:fldCharType="separate"/>
      </w:r>
      <w:r w:rsidR="00CA5448">
        <w:t>2.4.1</w:t>
      </w:r>
      <w:r>
        <w:fldChar w:fldCharType="end"/>
      </w:r>
      <w:r>
        <w:t>), each of which consists of a primary sign and zero or more dependent signs. The latter prominently include signs for postconsonantal vowels and secondary forms of consonant signs for use in consonant clusters. Regular characters based on a primary consonantal sign imply an inherent vowel which has no overt graphic representation.</w:t>
      </w:r>
      <w:r>
        <w:rPr>
          <w:rStyle w:val="Lbjegyzet-hivatkozs"/>
        </w:rPr>
        <w:footnoteReference w:id="11"/>
      </w:r>
    </w:p>
    <w:p w14:paraId="3C172E51" w14:textId="3697E939" w:rsidR="00431357" w:rsidRDefault="00431357" w:rsidP="00BE27A3">
      <w:pPr>
        <w:pStyle w:val="Normlbehzs"/>
      </w:pPr>
      <w:r>
        <w:t xml:space="preserve">Our primary concern here is with alphabetic and aksharic writing systems, but cursory references to other systems will be made in the discussion that follows. In a nutshell, the key feature of </w:t>
      </w:r>
      <w:r>
        <w:rPr>
          <w:b/>
          <w:bCs/>
        </w:rPr>
        <w:t>abjadic</w:t>
      </w:r>
      <w:r>
        <w:t xml:space="preserve"> systems — as the Arabic one — is that not all of the relevant language’s phonemes are represented in writing: typically only the consonants are written. Unlike all of these, </w:t>
      </w:r>
      <w:r>
        <w:rPr>
          <w:b/>
          <w:bCs/>
        </w:rPr>
        <w:t>syllabic</w:t>
      </w:r>
      <w:r>
        <w:t xml:space="preserve"> (or syllabographic) systems — like the Japanese kana systems — employ signs that represent clusters of speech sounds (syllables),</w:t>
      </w:r>
      <w:r>
        <w:rPr>
          <w:rStyle w:val="Lbjegyzet-hivatkozs"/>
        </w:rPr>
        <w:footnoteReference w:id="12"/>
      </w:r>
      <w:r>
        <w:t xml:space="preserve"> but these signs cannot be analysed into components that individually represent individual phonemes. Writing systems other than phonographic — such as the Chinese one — have been traditionally referred to as </w:t>
      </w:r>
      <w:r>
        <w:rPr>
          <w:i/>
          <w:iCs/>
        </w:rPr>
        <w:t>logographic</w:t>
      </w:r>
      <w:r>
        <w:t xml:space="preserve">, ‘word-writing’ or </w:t>
      </w:r>
      <w:r>
        <w:rPr>
          <w:i/>
          <w:iCs/>
        </w:rPr>
        <w:t>ideographic</w:t>
      </w:r>
      <w:r>
        <w:t xml:space="preserve">, ‘concept-writing’ </w:t>
      </w:r>
      <w:r>
        <w:fldChar w:fldCharType="begin"/>
      </w:r>
      <w:r>
        <w:instrText xml:space="preserve"> ADDIN ZOTERO_ITEM CSL_CITATION {"citationID":"T3bYRf0d","properties":{"formattedCitation":"(Coulmas 2003, 40\\uc0\\u8211{}41)","plainCitation":"(Coulmas 2003, 40–41)","noteIndex":0},"citationItems":[{"id":25453,"uris":["http://zotero.org/groups/1633743/items/5G7F9GHA"],"itemData":{"id":25453,"type":"book","ISBN":"978-0-521-78737-6","language":"en","number-of-pages":"294","publisher":"Cambridge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Analysis","title-short":"Coulmas2003_01","author":[{"family":"Coulmas","given":"Florian"}],"issued":{"date-parts":[["2003"]]}},"locator":"40-41","label":"page"}],"schema":"https://github.com/citation-style-language/schema/raw/master/csl-citation.json"} </w:instrText>
      </w:r>
      <w:r>
        <w:fldChar w:fldCharType="separate"/>
      </w:r>
      <w:r>
        <w:rPr>
          <w:rFonts w:cs="Gentium Plus"/>
          <w:kern w:val="0"/>
          <w:szCs w:val="24"/>
        </w:rPr>
        <w:t>(Coulmas 2003, 40–41)</w:t>
      </w:r>
      <w:r>
        <w:fldChar w:fldCharType="end"/>
      </w:r>
      <w:r>
        <w:t xml:space="preserve">, while more recently the term </w:t>
      </w:r>
      <w:r>
        <w:rPr>
          <w:i/>
          <w:iCs/>
        </w:rPr>
        <w:t>morphographic</w:t>
      </w:r>
      <w:r>
        <w:t>, ‘morpheme-writing’ has gained ground.</w:t>
      </w:r>
      <w:r>
        <w:rPr>
          <w:rStyle w:val="Lbjegyzet-hivatkozs"/>
        </w:rPr>
        <w:footnoteReference w:id="13"/>
      </w:r>
    </w:p>
    <w:p w14:paraId="6058A4BA" w14:textId="77777777" w:rsidR="00431357" w:rsidRDefault="00431357" w:rsidP="00431357">
      <w:pPr>
        <w:pStyle w:val="Cmsor2"/>
        <w:numPr>
          <w:ilvl w:val="1"/>
          <w:numId w:val="3"/>
        </w:numPr>
      </w:pPr>
      <w:bookmarkStart w:id="47" w:name="_Toc200963247"/>
      <w:r>
        <w:t>Conversion between writing systems</w:t>
      </w:r>
      <w:bookmarkEnd w:id="47"/>
    </w:p>
    <w:p w14:paraId="43B46277" w14:textId="77777777" w:rsidR="00431357" w:rsidRDefault="00431357" w:rsidP="00431357">
      <w:pPr>
        <w:pStyle w:val="Cmsor3"/>
        <w:numPr>
          <w:ilvl w:val="2"/>
          <w:numId w:val="3"/>
        </w:numPr>
      </w:pPr>
      <w:bookmarkStart w:id="48" w:name="_Toc199757534"/>
      <w:bookmarkStart w:id="49" w:name="_Ref199836165"/>
      <w:bookmarkStart w:id="50" w:name="_Ref199919583"/>
      <w:bookmarkStart w:id="51" w:name="_Toc200963248"/>
      <w:r>
        <w:t>Transliteration and transcription</w:t>
      </w:r>
      <w:bookmarkEnd w:id="41"/>
      <w:bookmarkEnd w:id="48"/>
      <w:bookmarkEnd w:id="49"/>
      <w:bookmarkEnd w:id="50"/>
      <w:bookmarkEnd w:id="51"/>
    </w:p>
    <w:p w14:paraId="7A324279" w14:textId="58C5C5EB" w:rsidR="00431357" w:rsidRDefault="00431357" w:rsidP="00431357">
      <w:r>
        <w:t>For the conversion of one writing system to another,</w:t>
      </w:r>
      <w:r>
        <w:rPr>
          <w:rStyle w:val="Lbjegyzet-hivatkozs"/>
        </w:rPr>
        <w:footnoteReference w:id="14"/>
      </w:r>
      <w:r>
        <w:t xml:space="preserve"> the terms ‘transliteration’ and ‘transcription’ are sometimes used interchangeably. Moreover, ‘transcription’ is widely prevalent in epigraphic and manuscript studies for the process of re-recording (using any writing system) the written text witnessed on an artefact, and in many contexts for that of writing down a text witnessed in a different medium, primarily audio. In this guide, we use (and generally encourage using) these terms in specialised senses.</w:t>
      </w:r>
      <w:r>
        <w:rPr>
          <w:rStyle w:val="Lbjegyzet-hivatkozs"/>
        </w:rPr>
        <w:footnoteReference w:id="15"/>
      </w:r>
      <w:r>
        <w:t xml:space="preserve"> </w:t>
      </w:r>
      <w:r>
        <w:rPr>
          <w:b/>
          <w:bCs/>
        </w:rPr>
        <w:t>Transcription</w:t>
      </w:r>
      <w:r>
        <w:t xml:space="preserve"> in this technical sense means using a target writing system — often but not necessarily an artificial one intended to record speech sounds unequivocally — to represent how a (written or other) text </w:t>
      </w:r>
      <w:r>
        <w:rPr>
          <w:i/>
          <w:iCs/>
        </w:rPr>
        <w:t>sounds</w:t>
      </w:r>
      <w:r>
        <w:t xml:space="preserve">. </w:t>
      </w:r>
      <w:r>
        <w:rPr>
          <w:b/>
          <w:bCs/>
        </w:rPr>
        <w:t>Transliteration</w:t>
      </w:r>
      <w:r>
        <w:t xml:space="preserve">, in turn, is the use of a target writing system to represent how a text </w:t>
      </w:r>
      <w:r>
        <w:rPr>
          <w:i/>
          <w:iCs/>
        </w:rPr>
        <w:t>is written</w:t>
      </w:r>
      <w:r>
        <w:t xml:space="preserve"> in a dissimilar source writing system. The modern Indic name written in Devanagari as </w:t>
      </w:r>
      <w:r>
        <w:rPr>
          <w:rFonts w:hint="cs"/>
          <w:cs/>
        </w:rPr>
        <w:t>बलदेव</w:t>
      </w:r>
      <w:r>
        <w:t xml:space="preserve"> may be transcribed (in loose Anglicisation) as Baldev or even Buldeo and (in IPA) as [bɐldeːɔ], and it may be transliterated (in the DHARMA standard) as </w:t>
      </w:r>
      <w:r>
        <w:rPr>
          <w:rStyle w:val="Foreign"/>
        </w:rPr>
        <w:t>baladeva</w:t>
      </w:r>
      <w:r>
        <w:t xml:space="preserve">. The term </w:t>
      </w:r>
      <w:r>
        <w:rPr>
          <w:b/>
          <w:bCs/>
        </w:rPr>
        <w:t>Romanisation</w:t>
      </w:r>
      <w:r>
        <w:t xml:space="preserve"> can refer to either transcription or transliteration, where the target writing system is (a variety of) the Roman system. Thus, transcription is essentially concerned with the phonemes of a spoken language, without regard to how they might be written in a source script; conversely, </w:t>
      </w:r>
      <w:r>
        <w:lastRenderedPageBreak/>
        <w:t xml:space="preserve">transliteration is essentially concerned with the graphemes of a written language, without regard to pronunciation </w:t>
      </w:r>
      <w:r>
        <w:fldChar w:fldCharType="begin"/>
      </w:r>
      <w:r>
        <w:instrText xml:space="preserve"> ADDIN ZOTERO_ITEM CSL_CITATION {"citationID":"LtHLriHH","properties":{"formattedCitation":"(Wellisch 1978, 18)","plainCitation":"(Wellisch 1978, 18)","noteIndex":0},"citationItems":[{"id":1550,"uris":["http://zotero.org/users/2534519/items/WS2NPWQZ"],"itemData":{"id":1550,"type":"book","abstract":"\"A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H."}],"issued":{"date-parts":[["1978"]]}},"locator":"18","label":"page"}],"schema":"https://github.com/citation-style-language/schema/raw/master/csl-citation.json"} </w:instrText>
      </w:r>
      <w:r>
        <w:fldChar w:fldCharType="separate"/>
      </w:r>
      <w:r>
        <w:rPr>
          <w:rFonts w:cs="Gentium Plus"/>
        </w:rPr>
        <w:t>(Wellisch 1978, 18)</w:t>
      </w:r>
      <w:r>
        <w:fldChar w:fldCharType="end"/>
      </w:r>
      <w:r>
        <w:t>.</w:t>
      </w:r>
    </w:p>
    <w:p w14:paraId="752D1497" w14:textId="77777777" w:rsidR="00431357" w:rsidRDefault="00431357" w:rsidP="00431357">
      <w:pPr>
        <w:pStyle w:val="Cmsor2"/>
        <w:numPr>
          <w:ilvl w:val="1"/>
          <w:numId w:val="3"/>
        </w:numPr>
      </w:pPr>
      <w:bookmarkStart w:id="52" w:name="_Ref199919844"/>
      <w:bookmarkStart w:id="53" w:name="_Toc200963249"/>
      <w:r>
        <w:t>The elusive grapheme</w:t>
      </w:r>
      <w:bookmarkEnd w:id="52"/>
      <w:bookmarkEnd w:id="53"/>
    </w:p>
    <w:p w14:paraId="5D7BCFC7" w14:textId="77777777" w:rsidR="00431357" w:rsidRDefault="00431357" w:rsidP="00431357">
      <w:r>
        <w:rPr>
          <w:lang w:bidi="sa-IN"/>
        </w:rPr>
        <w:t>With this, we come to muddier waters. What actually is a grapheme? Wellisch</w:t>
      </w:r>
      <w:r>
        <w:rPr>
          <w:rStyle w:val="Lbjegyzet-hivatkozs"/>
          <w:lang w:bidi="sa-IN"/>
        </w:rPr>
        <w:footnoteReference w:id="16"/>
      </w:r>
      <w:r>
        <w:rPr>
          <w:lang w:bidi="sa-IN"/>
        </w:rPr>
        <w:t xml:space="preserve"> </w:t>
      </w:r>
      <w:r>
        <w:t>describes transliteration in terms of graphemes but conveniently neglects to define that concept anywhere in his book. The grapholinguistic literature is replete with mutually incompatible, indeed often contradictory, definitions,</w:t>
      </w:r>
      <w:r>
        <w:rPr>
          <w:rStyle w:val="Lbjegyzet-hivatkozs"/>
        </w:rPr>
        <w:footnoteReference w:id="17"/>
      </w:r>
      <w:r>
        <w:t xml:space="preserve"> to the extent that some leading theorists question the usefulness of this concept altogether.</w:t>
      </w:r>
      <w:r>
        <w:rPr>
          <w:rStyle w:val="Lbjegyzet-hivatkozs"/>
        </w:rPr>
        <w:footnoteReference w:id="18"/>
      </w:r>
      <w:r>
        <w:t xml:space="preserve"> In our opinion the concept of the grapheme, if suitably defined, can be productive for grapholinguistics as an abstract object of scientific inquiry, and is certainly relevant for us as the basic unit of transliteration. But before we can proceed to the grapheme itself, we need to situate it in the conceptual framework of grapholinguistics.</w:t>
      </w:r>
    </w:p>
    <w:p w14:paraId="71DEE6EC" w14:textId="77777777" w:rsidR="00431357" w:rsidRDefault="00431357" w:rsidP="00431357">
      <w:pPr>
        <w:pStyle w:val="Cmsor3"/>
        <w:numPr>
          <w:ilvl w:val="2"/>
          <w:numId w:val="3"/>
        </w:numPr>
      </w:pPr>
      <w:bookmarkStart w:id="54" w:name="_Toc199757536"/>
      <w:bookmarkStart w:id="55" w:name="_Ref199757675"/>
      <w:bookmarkStart w:id="56" w:name="_Ref199836484"/>
      <w:bookmarkStart w:id="57" w:name="_Ref199837510"/>
      <w:bookmarkStart w:id="58" w:name="_Toc200963250"/>
      <w:r>
        <w:t>A sketch of grapholinguistic concepts</w:t>
      </w:r>
      <w:bookmarkEnd w:id="54"/>
      <w:bookmarkEnd w:id="55"/>
      <w:bookmarkEnd w:id="56"/>
      <w:bookmarkEnd w:id="57"/>
      <w:bookmarkEnd w:id="58"/>
    </w:p>
    <w:p w14:paraId="0F4DDF94" w14:textId="77777777" w:rsidR="00431357" w:rsidRDefault="00431357" w:rsidP="00431357">
      <w:r>
        <w:t>A language — as an abstract object of scientific study — may be conceptualised as a system comprised of multiple modules,</w:t>
      </w:r>
      <w:r>
        <w:rPr>
          <w:rStyle w:val="Lbjegyzet-hivatkozs"/>
        </w:rPr>
        <w:footnoteReference w:id="19"/>
      </w:r>
      <w:r>
        <w:t xml:space="preserve"> primarily of a grammar and a lexicon. The grammatical module includes phonology (the study of speech sounds as contributing to the distinction of linguistic meaning) and morphology (the study of words and other minimal units which themselves carry meaning), as well as syntax (the functional behaviour of meaning-bearing units) and semantics (meaning and its expression in general). In the study of several such modules, a fruitful distinction may be made between an </w:t>
      </w:r>
      <w:r>
        <w:rPr>
          <w:b/>
          <w:bCs/>
        </w:rPr>
        <w:t>etic</w:t>
      </w:r>
      <w:r>
        <w:t xml:space="preserve"> and </w:t>
      </w:r>
      <w:r>
        <w:rPr>
          <w:b/>
          <w:bCs/>
        </w:rPr>
        <w:t>emic</w:t>
      </w:r>
      <w:r>
        <w:t xml:space="preserve"> approach. The former concerns variable concrete realisations, while the latter pertains to invariant abstractions on the basis of shared function.</w:t>
      </w:r>
      <w:r>
        <w:rPr>
          <w:rStyle w:val="Lbjegyzet-hivatkozs"/>
        </w:rPr>
        <w:footnoteReference w:id="20"/>
      </w:r>
    </w:p>
    <w:p w14:paraId="3986DD59" w14:textId="77777777" w:rsidR="00431357" w:rsidRDefault="00431357" w:rsidP="00BE27A3">
      <w:pPr>
        <w:pStyle w:val="Normlbehzs"/>
        <w:rPr>
          <w:color w:val="000000" w:themeColor="text1"/>
        </w:rPr>
      </w:pPr>
      <w:r>
        <w:t xml:space="preserve">We assume that our readers are familiar with the basic concepts of phonology, so we begin by summarising these as an entry point. The concrete speech sounds constituting spoken language come in a practically infinite continuum. These etic sounds are referred to as </w:t>
      </w:r>
      <w:r>
        <w:rPr>
          <w:b/>
          <w:bCs/>
        </w:rPr>
        <w:t>phones</w:t>
      </w:r>
      <w:r>
        <w:t xml:space="preserve">, and the study of their production (articulation) and description (physical characteristics) is called </w:t>
      </w:r>
      <w:r>
        <w:rPr>
          <w:b/>
          <w:bCs/>
        </w:rPr>
        <w:t>phonetics</w:t>
      </w:r>
      <w:r>
        <w:t>. According to widespread convention, we use square brackets to represent phones in written discussion, e.g. [ɐ].</w:t>
      </w:r>
      <w:r>
        <w:rPr>
          <w:rStyle w:val="Lbjegyzet-hivatkozs"/>
        </w:rPr>
        <w:footnoteReference w:id="21"/>
      </w:r>
      <w:r>
        <w:t xml:space="preserve"> The phones of any language can be sorted into a relatively small number of abstract entities on the basis of their function, namely their role in distinguishing semantic meaning. These emic sound classes are termed </w:t>
      </w:r>
      <w:r>
        <w:rPr>
          <w:b/>
          <w:bCs/>
        </w:rPr>
        <w:t>phonemes</w:t>
      </w:r>
      <w:r>
        <w:t xml:space="preserve">, and the field of their study is called </w:t>
      </w:r>
      <w:r>
        <w:rPr>
          <w:b/>
          <w:bCs/>
        </w:rPr>
        <w:t>phonemics</w:t>
      </w:r>
      <w:r>
        <w:t>.</w:t>
      </w:r>
      <w:r>
        <w:rPr>
          <w:rStyle w:val="Lbjegyzet-hivatkozs"/>
        </w:rPr>
        <w:footnoteReference w:id="22"/>
      </w:r>
      <w:r>
        <w:t xml:space="preserve"> To represent phonemes in written discussion, we enclose them in slashes, e.g. /a/.</w:t>
      </w:r>
      <w:r>
        <w:rPr>
          <w:rStyle w:val="Lbjegyzet-hivatkozs"/>
        </w:rPr>
        <w:footnoteReference w:id="23"/>
      </w:r>
      <w:r>
        <w:t xml:space="preserve"> The different phones which may manifest a given phoneme are known as </w:t>
      </w:r>
      <w:r>
        <w:rPr>
          <w:b/>
          <w:bCs/>
        </w:rPr>
        <w:t>allophones</w:t>
      </w:r>
      <w:r>
        <w:rPr>
          <w:color w:val="000000" w:themeColor="text1"/>
        </w:rPr>
        <w:t xml:space="preserve">. </w:t>
      </w:r>
      <w:r>
        <w:t>Thus, the sound corresponding to the letter |o| in the English word “go” may be realised as the phone [əʊ] by a Brit, as [oʊ] by an American, and as [ɔ</w:t>
      </w:r>
      <w:r>
        <w:rPr>
          <w:rFonts w:hint="cs"/>
        </w:rPr>
        <w:t>ː</w:t>
      </w:r>
      <w:r>
        <w:t>] by a Scot or an Indian, and in actual speech each instance of these semi-abstract phones will have slightly different actual physical characteristics. All of these sounds are allophones of the same phoneme, as they distinguish meaning in the same way, for example in making “go” a different word than “gay” or “goo”.</w:t>
      </w:r>
    </w:p>
    <w:p w14:paraId="05E67C19" w14:textId="77777777" w:rsidR="00431357" w:rsidRDefault="00431357" w:rsidP="00BE27A3">
      <w:pPr>
        <w:pStyle w:val="Normlbehzs"/>
      </w:pPr>
      <w:r>
        <w:t xml:space="preserve">In grapholinguistics, the etic approach — known as </w:t>
      </w:r>
      <w:r>
        <w:rPr>
          <w:b/>
          <w:bCs/>
        </w:rPr>
        <w:t>graphetics</w:t>
      </w:r>
      <w:r>
        <w:t xml:space="preserve"> — is concerned with </w:t>
      </w:r>
      <w:r>
        <w:rPr>
          <w:b/>
          <w:bCs/>
        </w:rPr>
        <w:t>graphs</w:t>
      </w:r>
      <w:r>
        <w:t xml:space="preserve">, which are infinitely variable concrete graphic signs that can be used for the representation of linguistic information. </w:t>
      </w:r>
      <w:r>
        <w:lastRenderedPageBreak/>
        <w:t>In written discussion, graphs are enclosed in vertical bars, e.g. |</w:t>
      </w:r>
      <w:r>
        <w:rPr>
          <w:rFonts w:ascii="Old English Text MT" w:hAnsi="Old English Text MT"/>
        </w:rPr>
        <w:t>a</w:t>
      </w:r>
      <w:r>
        <w:t>|.</w:t>
      </w:r>
      <w:r>
        <w:rPr>
          <w:rStyle w:val="Lbjegyzet-hivatkozs"/>
        </w:rPr>
        <w:footnoteReference w:id="24"/>
      </w:r>
      <w:r>
        <w:t xml:space="preserve"> In the emic aspect, the field of </w:t>
      </w:r>
      <w:r>
        <w:rPr>
          <w:b/>
          <w:bCs/>
        </w:rPr>
        <w:t>graphematics</w:t>
      </w:r>
      <w:r>
        <w:rPr>
          <w:rStyle w:val="Lbjegyzet-hivatkozs"/>
        </w:rPr>
        <w:footnoteReference w:id="25"/>
      </w:r>
      <w:r>
        <w:t xml:space="preserve"> studies </w:t>
      </w:r>
      <w:r>
        <w:rPr>
          <w:b/>
          <w:bCs/>
        </w:rPr>
        <w:t>graphemes</w:t>
      </w:r>
      <w:r>
        <w:t>, a limited number of discrete abstract entities systematised on the basis of their role, namely the nature of the linguistic information signified by them. In discussion, we enclose graphemes in angle brackets, e.g. &lt;a&gt;.</w:t>
      </w:r>
      <w:r>
        <w:rPr>
          <w:rStyle w:val="Lbjegyzet-hivatkozs"/>
        </w:rPr>
        <w:footnoteReference w:id="26"/>
      </w:r>
      <w:r>
        <w:t xml:space="preserve"> Various graphic signs which signify the same linguistic information are known as </w:t>
      </w:r>
      <w:r>
        <w:rPr>
          <w:b/>
          <w:bCs/>
        </w:rPr>
        <w:t>allographs</w:t>
      </w:r>
      <w:r>
        <w:t>. Thus, in the Roman writing system, the graphs |a|, |</w:t>
      </w:r>
      <w:r>
        <w:rPr>
          <w:i/>
          <w:iCs/>
        </w:rPr>
        <w:t>a</w:t>
      </w:r>
      <w:r>
        <w:t>| or |</w:t>
      </w:r>
      <w:r>
        <w:rPr>
          <w:rFonts w:ascii="Old English Text MT" w:hAnsi="Old English Text MT"/>
        </w:rPr>
        <w:t>a</w:t>
      </w:r>
      <w:r>
        <w:t xml:space="preserve">| are allographs of the grapheme &lt;a&gt;, since they all are conventionally associated with the same linguistic information. </w:t>
      </w:r>
      <w:r>
        <w:rPr>
          <w:b/>
          <w:bCs/>
        </w:rPr>
        <w:t>Homography</w:t>
      </w:r>
      <w:r>
        <w:t xml:space="preserve"> is when two graphic entities are visually identical, but have different significations. On the level of words, for instance, English ‘read’ (present tense) and ‘read’ (past tense) are homographs, as they consist of the same graphemes, but have different meanings. More important to us is homography on the level of graphs, as in Roman |l| (lowercase L) and |I| (uppercase i), which have a very similar or fully identical graphic manifestation, but carry different linguistic information, and are thus different graphemes.</w:t>
      </w:r>
    </w:p>
    <w:p w14:paraId="7633799C" w14:textId="77777777" w:rsidR="00431357" w:rsidRDefault="00431357" w:rsidP="00BE27A3">
      <w:pPr>
        <w:pStyle w:val="Normlbehzs"/>
      </w:pPr>
      <w:r>
        <w:t>Continuing the above modular model, a writing system’s two principal constituents are the graphematic and the graphetic module. Many, but not all, writing systems include in addition an optional orthographic module, which is essentially a set of norms restricting how graphemes can correspond to linguistic units.</w:t>
      </w:r>
      <w:r>
        <w:rPr>
          <w:rStyle w:val="Lbjegyzet-hivatkozs"/>
        </w:rPr>
        <w:footnoteReference w:id="27"/>
      </w:r>
      <w:r>
        <w:t xml:space="preserve"> The graphematic module links the writing system to a module of the language system corresponding to the writing system’s dominant level of representational mapping, i.e. in the case of phonographic writing systems, to the phonological module. The graphetic module, conversely, is a component of the writing system that is independent of the language system.</w:t>
      </w:r>
    </w:p>
    <w:p w14:paraId="2FCD4E28" w14:textId="77777777" w:rsidR="00431357" w:rsidRDefault="00431357" w:rsidP="00BE27A3">
      <w:pPr>
        <w:pStyle w:val="Normlbehzs"/>
      </w:pPr>
      <w:r>
        <w:t>Thus, the Sanskrit phoneme /a/ — which may be phonologically instantiated by several allophones such as [ɐ], [ɔ] or [ə] — is the linguistic information signified by the grapheme &lt;a&gt;. In the writing system that associates modern Devanagari with Sanskrit, this grapheme can be instantiated by several allographs such as |</w:t>
      </w:r>
      <w:r>
        <w:rPr>
          <w:rStyle w:val="ForeignDevanagariScript"/>
          <w:cs/>
        </w:rPr>
        <w:t>अ</w:t>
      </w:r>
      <w:r>
        <w:t>| or |</w:t>
      </w:r>
      <w:r>
        <w:rPr>
          <w:rStyle w:val="ForeignDevanagariAlt"/>
          <w:cs/>
        </w:rPr>
        <w:t>अ</w:t>
      </w:r>
      <w:r>
        <w:t>|. In the DHARMA transliteration scheme, which is itself a writing system for Indic languages, the same grapheme can be instantiated by allographs such as |a|, |</w:t>
      </w:r>
      <w:r>
        <w:rPr>
          <w:i/>
          <w:iCs/>
        </w:rPr>
        <w:t>a</w:t>
      </w:r>
      <w:r>
        <w:t>| or |</w:t>
      </w:r>
      <w:r>
        <w:rPr>
          <w:rFonts w:ascii="Old English Text MT" w:hAnsi="Old English Text MT"/>
        </w:rPr>
        <w:t>a</w:t>
      </w:r>
      <w:r>
        <w:t xml:space="preserve">|. </w:t>
      </w:r>
    </w:p>
    <w:p w14:paraId="723C315D" w14:textId="77777777" w:rsidR="00431357" w:rsidRDefault="00431357" w:rsidP="00431357">
      <w:pPr>
        <w:pStyle w:val="Cmsor3"/>
        <w:numPr>
          <w:ilvl w:val="2"/>
          <w:numId w:val="3"/>
        </w:numPr>
      </w:pPr>
      <w:bookmarkStart w:id="59" w:name="_Toc199757537"/>
      <w:bookmarkStart w:id="60" w:name="_Ref199836416"/>
      <w:bookmarkStart w:id="61" w:name="_Toc200963251"/>
      <w:bookmarkStart w:id="62" w:name="_Hlk197440259"/>
      <w:r>
        <w:t>Refining the concept of the grapheme</w:t>
      </w:r>
      <w:bookmarkEnd w:id="59"/>
      <w:bookmarkEnd w:id="60"/>
      <w:bookmarkEnd w:id="61"/>
    </w:p>
    <w:p w14:paraId="0A3EBF04" w14:textId="43C342BE" w:rsidR="00431357" w:rsidRDefault="00431357" w:rsidP="00431357">
      <w:r>
        <w:rPr>
          <w:lang w:bidi="sa-IN"/>
        </w:rPr>
        <w:t xml:space="preserve">The above sketch is sufficient for an ideal alphabetic writing system. However, </w:t>
      </w:r>
      <w:r>
        <w:t xml:space="preserve">in actual writing systems, one-on-one correspondence between graphic signs and phonemes is rare, and — especially in non-alphabetic system — the visual segmentation of graphic signs and the functional segmentation of graphemes do not necessarily overlap. In this section, we present a definition of the grapheme that can be productively applied in the context of the Romanisation of Indic script. Our approach has much in common with that advocated by Meletis </w:t>
      </w:r>
      <w:r>
        <w:fldChar w:fldCharType="begin"/>
      </w:r>
      <w:r>
        <w:instrText xml:space="preserve"> ADDIN ZOTERO_ITEM CSL_CITATION {"citationID":"cq0W42Ti","properties":{"formattedCitation":"(e.g. 2019)","plainCitation":"(e.g. 2019)","noteIndex":0},"citationItems":[{"id":25400,"uris":["http://zotero.org/groups/1633743/items/SI8VKQ4J"],"itemData":{"id":25400,"type":"article-journal","abstract":"The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writing","title-short":"Meletis2019_01","volume":"11","author":[{"family":"Meletis","given":"Dimitrios"}],"issued":{"date-parts":[["2019"]]}},"suppress-author":true,"prefix":"e.g."}],"schema":"https://github.com/citation-style-language/schema/raw/master/csl-citation.json"} </w:instrText>
      </w:r>
      <w:r>
        <w:fldChar w:fldCharType="separate"/>
      </w:r>
      <w:r>
        <w:rPr>
          <w:rFonts w:cs="Gentium Plus"/>
        </w:rPr>
        <w:t>(e.g. 2019)</w:t>
      </w:r>
      <w:r>
        <w:fldChar w:fldCharType="end"/>
      </w:r>
      <w:r>
        <w:t>, but we have adapted some of his notions in altered form, and flatly disagree with others.</w:t>
      </w:r>
      <w:bookmarkStart w:id="63" w:name="_Ref198645199"/>
      <w:r>
        <w:rPr>
          <w:rStyle w:val="Lbjegyzet-hivatkozs"/>
        </w:rPr>
        <w:footnoteReference w:id="28"/>
      </w:r>
      <w:bookmarkEnd w:id="63"/>
      <w:r>
        <w:t xml:space="preserve"> Discussion of where, how and why we agree or disagree with him and other grapholinguists will be kept to a minimum here in order to be able to proceed as quickly as possible to our actual subject matter.</w:t>
      </w:r>
    </w:p>
    <w:p w14:paraId="2432A43E" w14:textId="77777777" w:rsidR="00431357" w:rsidRDefault="00431357" w:rsidP="00BE27A3">
      <w:pPr>
        <w:pStyle w:val="Normlbehzs"/>
      </w:pPr>
      <w:r>
        <w:t xml:space="preserve">For our purposes, a </w:t>
      </w:r>
      <w:r>
        <w:rPr>
          <w:b/>
          <w:bCs/>
        </w:rPr>
        <w:t>grapheme</w:t>
      </w:r>
      <w:r>
        <w:t xml:space="preserve"> is a </w:t>
      </w:r>
      <w:r w:rsidRPr="00BE27A3">
        <w:t>minimal</w:t>
      </w:r>
      <w:r>
        <w:t xml:space="preserve"> functional unit of a writing system,</w:t>
      </w:r>
      <w:r>
        <w:rPr>
          <w:rStyle w:val="Lbjegyzet-hivatkozs"/>
        </w:rPr>
        <w:footnoteReference w:id="29"/>
      </w:r>
      <w:r>
        <w:t xml:space="preserve"> meaning that a grapheme cannot be subdivided into smaller units which themselves satisfy the definition of a grapheme. </w:t>
      </w:r>
      <w:r>
        <w:lastRenderedPageBreak/>
        <w:t>The grapheme may be conceptualised as a dyadic sign</w:t>
      </w:r>
      <w:r>
        <w:rPr>
          <w:rStyle w:val="Lbjegyzet-hivatkozs"/>
        </w:rPr>
        <w:footnoteReference w:id="30"/>
      </w:r>
      <w:r>
        <w:t xml:space="preserve"> comprised of a linguistic aspect as its signified and a graphic aspect as its signifier.</w:t>
      </w:r>
      <w:r>
        <w:rPr>
          <w:rStyle w:val="Lbjegyzet-hivatkozs"/>
        </w:rPr>
        <w:footnoteReference w:id="31"/>
      </w:r>
      <w:r>
        <w:t xml:space="preserve"> The linguistic aspect is comprised of abstract information that theoretically pertains to the presence of a linguistic unit on the writing system’s dominant level of representational mapping. The graphic aspect is comprised of </w:t>
      </w:r>
      <w:r>
        <w:rPr>
          <w:lang w:bidi="sa-IN"/>
        </w:rPr>
        <w:t xml:space="preserve">any graphic feature that unconditionally signifies a certain item of linguistic information by the conventions of the writing system in question. </w:t>
      </w:r>
      <w:r>
        <w:t>In the following subsections, we elaborate the terms of this definition and discuss its implications.</w:t>
      </w:r>
    </w:p>
    <w:p w14:paraId="45D3A34F" w14:textId="77777777" w:rsidR="00431357" w:rsidRDefault="00431357" w:rsidP="00431357">
      <w:pPr>
        <w:pStyle w:val="Cmsor4"/>
        <w:numPr>
          <w:ilvl w:val="3"/>
          <w:numId w:val="3"/>
        </w:numPr>
      </w:pPr>
      <w:bookmarkStart w:id="64" w:name="_Toc200963252"/>
      <w:r>
        <w:t>The linguistic aspect of the grapheme</w:t>
      </w:r>
      <w:bookmarkEnd w:id="64"/>
    </w:p>
    <w:p w14:paraId="632CDDCC" w14:textId="77777777" w:rsidR="00431357" w:rsidRDefault="00431357" w:rsidP="00431357">
      <w:r>
        <w:t>Many features of writing can have a graphematic function, i.e. signify some sort of linguistic (or arguably linguistic) information. In order to limit the inventory of graphemes to a manageable set, we restrict the scope of the term ‘grapheme’ to sign relations whose linguistic aspect pertains to the presence of linguistic units according to the writing system’s dominant level of representational mapping.</w:t>
      </w:r>
      <w:r>
        <w:rPr>
          <w:rStyle w:val="Lbjegyzet-hivatkozs"/>
        </w:rPr>
        <w:footnoteReference w:id="32"/>
      </w:r>
      <w:r>
        <w:t xml:space="preserve"> Thus, the graphemes of a phonographic writing system are limited to those that signify information pertaining to the presence of speech sounds. In addition to these primary or default graphemes, we of course recognise the existence of other graphematic features, which may be graphically smaller than graphemes (e.g. diacritical marks), coterminous with graphemes (e.g. bold styling), or larger than graphemes (e.g. word underlining, paragraph indentation), and the linguistic information they convey may be at any level from phonological features (e.g. vowel length, locus of articulation, stress accent) to word level (e.g. emphasis) and beyond (e.g. paragraph structure).</w:t>
      </w:r>
      <w:r>
        <w:rPr>
          <w:rStyle w:val="Lbjegyzet-hivatkozs"/>
        </w:rPr>
        <w:footnoteReference w:id="33"/>
      </w:r>
      <w:r>
        <w:t xml:space="preserve"> These other graphematic units can be relegated to a separate stage of analysis,</w:t>
      </w:r>
      <w:bookmarkStart w:id="65" w:name="_Ref198908542"/>
      <w:r>
        <w:rPr>
          <w:rStyle w:val="Lbjegyzet-hivatkozs"/>
        </w:rPr>
        <w:footnoteReference w:id="34"/>
      </w:r>
      <w:bookmarkEnd w:id="65"/>
      <w:r>
        <w:t xml:space="preserve"> and are generally not relevant to our topic.</w:t>
      </w:r>
      <w:r>
        <w:rPr>
          <w:rStyle w:val="Lbjegyzet-hivatkozs"/>
        </w:rPr>
        <w:footnoteReference w:id="35"/>
      </w:r>
    </w:p>
    <w:p w14:paraId="4B45BB9E" w14:textId="77777777" w:rsidR="00431357" w:rsidRDefault="00431357" w:rsidP="00BE27A3">
      <w:pPr>
        <w:pStyle w:val="Normlbehzs"/>
      </w:pPr>
      <w:r>
        <w:t>We must, however, emphasise that what a grapheme signifies is not the actual linguistic unit — such as a phoneme — but rather some prototypical idea of a linguistic unit. In a writing system whose dominant level of representational mapping is that of phonology, the graphemes contribute information pertaining to the presence of speech sounds, but this information may often be under-specific (referring to a set of phonemes which typically share some phonological features) or over-specific (referring to a particular allophone). Moreover, the reconstruction of actual speech from writing is a complex process requiring input from other graphematic units and from context, as well as reciprocal interaction with higher levels of language processing (such as morphology and lexicon). Therefore, the study of grapheme-phoneme correspondence is a subfield separate from the study of graphemes themselves.</w:t>
      </w:r>
      <w:r>
        <w:rPr>
          <w:rStyle w:val="Lbjegyzet-hivatkozs"/>
        </w:rPr>
        <w:footnoteReference w:id="36"/>
      </w:r>
      <w:r>
        <w:t xml:space="preserve"> Depending on this complex process, the phoneme theoretically represented by any individual grapheme may be realised in speech as a very different phoneme, or not realised at all. When for the sake of brevity we speak of the graphemes of phonographic writing systems as signifying phonemes, we always mean that they signify abstract prototypical phonemes, which often do not correspond with any consistency to the phonemes of the language being represented.</w:t>
      </w:r>
      <w:bookmarkStart w:id="66" w:name="_Ref198645319"/>
      <w:r>
        <w:rPr>
          <w:rStyle w:val="Lbjegyzet-hivatkozs"/>
        </w:rPr>
        <w:footnoteReference w:id="37"/>
      </w:r>
      <w:bookmarkEnd w:id="66"/>
    </w:p>
    <w:p w14:paraId="4D3B7470" w14:textId="77777777" w:rsidR="00431357" w:rsidRDefault="00431357" w:rsidP="00431357">
      <w:pPr>
        <w:pStyle w:val="Cmsor4"/>
        <w:numPr>
          <w:ilvl w:val="3"/>
          <w:numId w:val="3"/>
        </w:numPr>
      </w:pPr>
      <w:bookmarkStart w:id="67" w:name="_Ref199774168"/>
      <w:bookmarkStart w:id="68" w:name="_Toc200963253"/>
      <w:bookmarkStart w:id="69" w:name="_Hlk197676370"/>
      <w:r>
        <w:lastRenderedPageBreak/>
        <w:t>The graphic aspect of the grapheme</w:t>
      </w:r>
      <w:bookmarkEnd w:id="67"/>
      <w:bookmarkEnd w:id="68"/>
    </w:p>
    <w:p w14:paraId="7CEED6EF" w14:textId="4A508A45" w:rsidR="00431357" w:rsidRDefault="00431357" w:rsidP="00431357">
      <w:r>
        <w:t xml:space="preserve">Our definition does not require the graphic manifestation of a grapheme to be </w:t>
      </w:r>
      <w:r>
        <w:rPr>
          <w:i/>
          <w:iCs/>
        </w:rPr>
        <w:t>segmental</w:t>
      </w:r>
      <w:r>
        <w:t xml:space="preserve"> (isolable in the linear flow of the script) or </w:t>
      </w:r>
      <w:r>
        <w:rPr>
          <w:i/>
          <w:iCs/>
        </w:rPr>
        <w:t>autonomous</w:t>
      </w:r>
      <w:r>
        <w:t xml:space="preserve"> (independently combinable).</w:t>
      </w:r>
      <w:r>
        <w:rPr>
          <w:rStyle w:val="Lbjegyzet-hivatkozs"/>
        </w:rPr>
        <w:footnoteReference w:id="38"/>
      </w:r>
      <w:r>
        <w:t xml:space="preserve"> Thus, the components of a complex Indic </w:t>
      </w:r>
      <w:r>
        <w:rPr>
          <w:rStyle w:val="Foreign"/>
        </w:rPr>
        <w:t>akṣara</w:t>
      </w:r>
      <w:r>
        <w:t xml:space="preserve"> are genuine graphemes, since they signify the same kind of linguistic information as the corresponding independent signs </w:t>
      </w:r>
      <w:r>
        <w:fldChar w:fldCharType="begin"/>
      </w:r>
      <w:r>
        <w:instrText xml:space="preserve"> ADDIN ZOTERO_ITEM CSL_CITATION {"citationID":"GOjNUgwl","properties":{"formattedCitation":"(Meletis and D\\uc0\\u252{}rscheid 2022, 130)","plainCitation":"(Meletis and Dürscheid 2022, 130)","noteIndex":0},"citationItems":[{"id":25331,"uris":["http://zotero.org/groups/1633743/items/2FRSBS2M"],"itemData":{"id":25331,"type":"book","abstract":"Grapholinguistics,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130","label":"page"}],"schema":"https://github.com/citation-style-language/schema/raw/master/csl-citation.json"} </w:instrText>
      </w:r>
      <w:r>
        <w:fldChar w:fldCharType="separate"/>
      </w:r>
      <w:r>
        <w:rPr>
          <w:rFonts w:cs="Gentium Plus"/>
          <w:kern w:val="0"/>
          <w:szCs w:val="24"/>
        </w:rPr>
        <w:t>(Meletis and Dürscheid 2022, 130)</w:t>
      </w:r>
      <w:r>
        <w:fldChar w:fldCharType="end"/>
      </w:r>
      <w:r>
        <w:t>. The fact that some of these components cannot occur on their own — i.e. that they are graphetically dependent on the primary forms and usually occupy no separate segmental space — has no bearing on their grapheme status.</w:t>
      </w:r>
      <w:bookmarkStart w:id="70" w:name="_Ref198646201"/>
      <w:r>
        <w:rPr>
          <w:rStyle w:val="Lbjegyzet-hivatkozs"/>
        </w:rPr>
        <w:footnoteReference w:id="39"/>
      </w:r>
      <w:bookmarkEnd w:id="70"/>
      <w:r>
        <w:t xml:space="preserve"> Graphemes are functional units of writing which do not necessarily coincide with the segmental and autonomous formal units of a writing system. We shall refer to the latter as characters, to be discussed in §</w:t>
      </w:r>
      <w:r>
        <w:fldChar w:fldCharType="begin"/>
      </w:r>
      <w:r>
        <w:instrText xml:space="preserve"> REF _Ref199770899 \r \h </w:instrText>
      </w:r>
      <w:r>
        <w:fldChar w:fldCharType="separate"/>
      </w:r>
      <w:r w:rsidR="00CA5448">
        <w:t>2.4.1</w:t>
      </w:r>
      <w:r>
        <w:fldChar w:fldCharType="end"/>
      </w:r>
      <w:r>
        <w:t>.</w:t>
      </w:r>
    </w:p>
    <w:p w14:paraId="71B87E64" w14:textId="77777777" w:rsidR="00431357" w:rsidRDefault="00431357" w:rsidP="00BE27A3">
      <w:pPr>
        <w:pStyle w:val="Normlbehzs"/>
        <w:rPr>
          <w:b/>
          <w:bCs/>
        </w:rPr>
      </w:pPr>
      <w:r>
        <w:t>Additionally, we do not limit the graphic aspect of a grapheme to an overt, visually isolable unit of script,</w:t>
      </w:r>
      <w:r>
        <w:rPr>
          <w:rStyle w:val="Lbjegyzet-hivatkozs"/>
        </w:rPr>
        <w:footnoteReference w:id="40"/>
      </w:r>
      <w:r>
        <w:t xml:space="preserve"> but extend it to include </w:t>
      </w:r>
      <w:r>
        <w:rPr>
          <w:lang w:bidi="sa-IN"/>
        </w:rPr>
        <w:t xml:space="preserve">any graphic feature that unconditionally signifies a certain item of linguistic information (of the abstract kind discussed above), provided that it does so solely by the conventions of the writing system in question, i.e. without </w:t>
      </w:r>
      <w:r>
        <w:t xml:space="preserve">requiring interaction with other modules of the language system, such as the lexicon. Many Indic writing systems use graphic signs — such as Devanagari </w:t>
      </w:r>
      <w:r>
        <w:rPr>
          <w:lang w:bidi="sa-IN"/>
        </w:rPr>
        <w:t>|</w:t>
      </w:r>
      <w:r>
        <w:rPr>
          <w:rStyle w:val="ForeignDevanagariScript"/>
          <w:rFonts w:hint="eastAsia"/>
          <w:cs/>
        </w:rPr>
        <w:t>क्ष</w:t>
      </w:r>
      <w:r>
        <w:t>| &lt;kṣa&gt; — that represent a sequence of graphemes in such a way that no isolable graphic components correspond to its constituent graphemes. We advance</w:t>
      </w:r>
      <w:bookmarkStart w:id="71" w:name="_Ref198651090"/>
      <w:r>
        <w:rPr>
          <w:rStyle w:val="Lbjegyzet-hivatkozs"/>
        </w:rPr>
        <w:footnoteReference w:id="41"/>
      </w:r>
      <w:bookmarkEnd w:id="71"/>
      <w:r>
        <w:t xml:space="preserve"> that the relevant graphemes are individually present in spite of their lack of graphic distinctness, i.e. that we are not dealing with a single syllabic grapheme. Our rationale is that, unlike syllabic writing systems, aksharic systems refer to (abstract) phonemes at their dominant level of representational mapping, and by default use complex signs comprised of isolable components. Signs which holistically correspond to a phoneme sequence are exceptions to the rule, and are moreover palaeographically derived from earlier signs where the components can in fact be isolated.</w:t>
      </w:r>
    </w:p>
    <w:p w14:paraId="4DD5AE00" w14:textId="77777777" w:rsidR="00431357" w:rsidRDefault="00431357" w:rsidP="00BE27A3">
      <w:pPr>
        <w:pStyle w:val="Normlbehzs"/>
      </w:pPr>
      <w:r>
        <w:t xml:space="preserve">The above discussion anticipates a further problematic detail: what is the status of the inherent vowel (typically, /a/) of Indic </w:t>
      </w:r>
      <w:r>
        <w:rPr>
          <w:rStyle w:val="Foreign"/>
        </w:rPr>
        <w:t>akṣaras</w:t>
      </w:r>
      <w:r>
        <w:t xml:space="preserve">? From the way we have phrased the requirement for the linguistic and graphic aspects of a grapheme, it follows that the inherent vowel is also a bona fide grapheme, since its </w:t>
      </w:r>
      <w:r>
        <w:rPr>
          <w:lang w:bidi="sa-IN"/>
        </w:rPr>
        <w:t xml:space="preserve">presence is unequivocally signified by a graphic feature: an integral consonant-based </w:t>
      </w:r>
      <w:r>
        <w:rPr>
          <w:rStyle w:val="Foreign"/>
        </w:rPr>
        <w:t>akṣara</w:t>
      </w:r>
      <w:r>
        <w:t xml:space="preserve"> without any additional components that would negate that vowel or replace it with a different one.</w:t>
      </w:r>
      <w:r>
        <w:rPr>
          <w:rStyle w:val="Lbjegyzet-hivatkozs"/>
        </w:rPr>
        <w:footnoteReference w:id="42"/>
      </w:r>
      <w:r>
        <w:t xml:space="preserve"> For the purpose of analysis, we consider it best to recognise the inherent vowel as a grapheme, notwithstanding the fact that the covert graphic manifestation of the inherent vowel is not palaeographically derived from an earlier overt graphic sign, and that the shape of an </w:t>
      </w:r>
      <w:r>
        <w:rPr>
          <w:rStyle w:val="Foreign"/>
        </w:rPr>
        <w:t>akṣara</w:t>
      </w:r>
      <w:r>
        <w:t xml:space="preserve"> consisting of a consonant and its inherent vowel is (as a rule) identical to the shape of that consonant graph when combined with a different vowel.</w:t>
      </w:r>
      <w:r>
        <w:rPr>
          <w:rStyle w:val="Lbjegyzet-hivatkozs"/>
        </w:rPr>
        <w:footnoteReference w:id="43"/>
      </w:r>
    </w:p>
    <w:p w14:paraId="19811097" w14:textId="77777777" w:rsidR="00431357" w:rsidRDefault="00431357" w:rsidP="00BE27A3">
      <w:pPr>
        <w:pStyle w:val="Normlbehzs"/>
      </w:pPr>
      <w:r>
        <w:lastRenderedPageBreak/>
        <w:t xml:space="preserve">In summary, Devanagari </w:t>
      </w:r>
      <w:r>
        <w:rPr>
          <w:lang w:bidi="sa-IN"/>
        </w:rPr>
        <w:t>|</w:t>
      </w:r>
      <w:r>
        <w:rPr>
          <w:rStyle w:val="ForeignDevanagariScript"/>
          <w:rFonts w:hint="eastAsia"/>
          <w:cs/>
        </w:rPr>
        <w:t>क्ष</w:t>
      </w:r>
      <w:r>
        <w:t>| &lt;kṣa&gt; corresponds in our view to not one, not two, but three graphemes, &lt;k&gt;, &lt;ṣ&gt; and &lt;a&gt;. This conclusion may be somewhat surprising, but it is most expedient for the analysis of transliteration, and we feel that it may also be relevant to graphematics in general.</w:t>
      </w:r>
    </w:p>
    <w:p w14:paraId="07663B7D" w14:textId="77777777" w:rsidR="00431357" w:rsidRDefault="00431357" w:rsidP="00431357">
      <w:pPr>
        <w:pStyle w:val="Cmsor2"/>
        <w:numPr>
          <w:ilvl w:val="1"/>
          <w:numId w:val="3"/>
        </w:numPr>
        <w:rPr>
          <w:lang w:bidi="sa-IN"/>
        </w:rPr>
      </w:pPr>
      <w:bookmarkStart w:id="72" w:name="_Toc200963254"/>
      <w:r>
        <w:rPr>
          <w:lang w:bidi="sa-IN"/>
        </w:rPr>
        <w:t>Graphic structures and their elements</w:t>
      </w:r>
      <w:bookmarkEnd w:id="72"/>
    </w:p>
    <w:p w14:paraId="7804DA96" w14:textId="77777777" w:rsidR="00431357" w:rsidRDefault="00431357" w:rsidP="00431357">
      <w:r>
        <w:rPr>
          <w:lang w:bidi="sa-IN"/>
        </w:rPr>
        <w:t xml:space="preserve">Having arrived at a concept of the grapheme that appears to be feasible in general and practicable for our purposes, we now need to investigate the status of salient graphic entities which are not graphemes by our definition. We begin by introducing the concept of the character for the graphetically autonomous units of writing, and then work upward and downward from that level. The terms and definitions we advance here may or may not be </w:t>
      </w:r>
      <w:r>
        <w:t>relevant to graphematics at large, but they are certainly useful for the analysis of aksharic writing. We therefore encourage you not only to read the definitions in order to understand the instructions of this Guide clearly, but also to use these terms — in the senses defined here — in your own philological and palaeographic discussions.</w:t>
      </w:r>
    </w:p>
    <w:p w14:paraId="6D42A4D3" w14:textId="77777777" w:rsidR="00431357" w:rsidRDefault="00431357" w:rsidP="00431357">
      <w:pPr>
        <w:pStyle w:val="Cmsor3"/>
        <w:numPr>
          <w:ilvl w:val="2"/>
          <w:numId w:val="3"/>
        </w:numPr>
        <w:rPr>
          <w:lang w:bidi="sa-IN"/>
        </w:rPr>
      </w:pPr>
      <w:bookmarkStart w:id="73" w:name="_Toc199757538"/>
      <w:bookmarkStart w:id="74" w:name="_Ref199758726"/>
      <w:bookmarkStart w:id="75" w:name="_Ref199770899"/>
      <w:bookmarkStart w:id="76" w:name="_Ref199836496"/>
      <w:bookmarkStart w:id="77" w:name="_Ref199836546"/>
      <w:bookmarkStart w:id="78" w:name="_Toc200963255"/>
      <w:r>
        <w:rPr>
          <w:lang w:bidi="sa-IN"/>
        </w:rPr>
        <w:t>Characters and glyphs</w:t>
      </w:r>
      <w:bookmarkEnd w:id="73"/>
      <w:bookmarkEnd w:id="74"/>
      <w:bookmarkEnd w:id="75"/>
      <w:bookmarkEnd w:id="76"/>
      <w:bookmarkEnd w:id="77"/>
      <w:bookmarkEnd w:id="78"/>
    </w:p>
    <w:p w14:paraId="30BA2811" w14:textId="77777777" w:rsidR="00431357" w:rsidRDefault="00431357" w:rsidP="00431357">
      <w:r>
        <w:t xml:space="preserve">We define a </w:t>
      </w:r>
      <w:r>
        <w:rPr>
          <w:b/>
          <w:bCs/>
        </w:rPr>
        <w:t>character</w:t>
      </w:r>
      <w:r>
        <w:t xml:space="preserve"> as a minimal graphetically autonomous unit of a writing system, meaning that the character cannot be broken down into components that can also manifest independently according to the rules of a writing system. Characters are graphematic (i.e. emic) units delineated on the basis of graphetic segmentality. </w:t>
      </w:r>
    </w:p>
    <w:p w14:paraId="709FDFED" w14:textId="77777777" w:rsidR="00431357" w:rsidRDefault="00431357" w:rsidP="00BE27A3">
      <w:pPr>
        <w:pStyle w:val="Normlbehzs"/>
      </w:pPr>
      <w:r>
        <w:t>The term ‘character’ is widely used in a vague non-technical sense, and is rarely defined in a scholarly manner.</w:t>
      </w:r>
      <w:r>
        <w:rPr>
          <w:rStyle w:val="Lbjegyzet-hivatkozs"/>
        </w:rPr>
        <w:footnoteReference w:id="44"/>
      </w:r>
      <w:r>
        <w:t xml:space="preserve"> Importantly, ‘character’ as defined in information technology, specifically in the Unicode standard,</w:t>
      </w:r>
      <w:bookmarkStart w:id="79" w:name="_Ref199852369"/>
      <w:r>
        <w:rPr>
          <w:rStyle w:val="Lbjegyzet-hivatkozs"/>
        </w:rPr>
        <w:footnoteReference w:id="45"/>
      </w:r>
      <w:bookmarkEnd w:id="79"/>
      <w:r>
        <w:t xml:space="preserve"> is </w:t>
      </w:r>
      <w:r>
        <w:rPr>
          <w:i/>
          <w:iCs/>
        </w:rPr>
        <w:t>not</w:t>
      </w:r>
      <w:r>
        <w:t xml:space="preserve"> what we define as a character. The grapholinguistic literature rarely uses this term,</w:t>
      </w:r>
      <w:r>
        <w:rPr>
          <w:rStyle w:val="Lbjegyzet-hivatkozs"/>
        </w:rPr>
        <w:footnoteReference w:id="46"/>
      </w:r>
      <w:r>
        <w:t xml:space="preserve"> and tends to deal with the character — as defined by us — under the blanket term ‘segment’. In alphabetic writing systems, characters (as a rule) coincide with graphemes,</w:t>
      </w:r>
      <w:bookmarkStart w:id="80" w:name="_Ref199837795"/>
      <w:r>
        <w:rPr>
          <w:rStyle w:val="Lbjegyzet-hivatkozs"/>
        </w:rPr>
        <w:footnoteReference w:id="47"/>
      </w:r>
      <w:bookmarkEnd w:id="80"/>
      <w:r>
        <w:t xml:space="preserve"> but this is not necessarily so in other types of writing systems.</w:t>
      </w:r>
      <w:r>
        <w:rPr>
          <w:rStyle w:val="Lbjegyzet-hivatkozs"/>
        </w:rPr>
        <w:footnoteReference w:id="48"/>
      </w:r>
    </w:p>
    <w:p w14:paraId="405E7970" w14:textId="77777777" w:rsidR="00431357" w:rsidRDefault="00431357" w:rsidP="00BE27A3">
      <w:pPr>
        <w:pStyle w:val="Normlbehzs"/>
      </w:pPr>
      <w:r>
        <w:t xml:space="preserve">For the etic counterparts of characters — their actual graphic manifestations — we shall use the term </w:t>
      </w:r>
      <w:r>
        <w:rPr>
          <w:b/>
          <w:bCs/>
        </w:rPr>
        <w:t>glyph</w:t>
      </w:r>
      <w:r>
        <w:t xml:space="preserve">. The concept of glyphs is thus related, but not identical, to that of </w:t>
      </w:r>
      <w:r>
        <w:rPr>
          <w:b/>
          <w:bCs/>
        </w:rPr>
        <w:t>graphs</w:t>
      </w:r>
      <w:r>
        <w:t xml:space="preserve">, which we define in a stricter sense as the etic counterparts of (individual) graphemes. Where the distinction between glyphs and graphs </w:t>
      </w:r>
      <w:r>
        <w:lastRenderedPageBreak/>
        <w:t xml:space="preserve">is irrelevant, we use the umbrella term </w:t>
      </w:r>
      <w:r>
        <w:rPr>
          <w:b/>
          <w:bCs/>
        </w:rPr>
        <w:t>graphic sign</w:t>
      </w:r>
      <w:r>
        <w:t>.</w:t>
      </w:r>
      <w:r>
        <w:rPr>
          <w:rStyle w:val="Lbjegyzet-hivatkozs"/>
        </w:rPr>
        <w:footnoteReference w:id="49"/>
      </w:r>
      <w:r>
        <w:t xml:space="preserve"> Thus, in our terms, Devanagari |</w:t>
      </w:r>
      <w:r>
        <w:rPr>
          <w:rStyle w:val="ForeignDevanagariScript"/>
          <w:cs/>
        </w:rPr>
        <w:t>अ</w:t>
      </w:r>
      <w:r>
        <w:t>| and Roman |A| (corresponding to the character &lt;A&gt; in their respective writing systems) are simultaneously glyphs and graphs, while the Devanagari glyph |</w:t>
      </w:r>
      <w:r>
        <w:rPr>
          <w:rStyle w:val="ForeignDevanagariScript"/>
          <w:rFonts w:hint="cs"/>
          <w:cs/>
        </w:rPr>
        <w:t>का</w:t>
      </w:r>
      <w:r>
        <w:t>| (corresponding to the character &lt;kā&gt;) is constituted of two graphs (|</w:t>
      </w:r>
      <w:r>
        <w:rPr>
          <w:rStyle w:val="ForeignDevanagariScript"/>
          <w:rFonts w:hint="cs"/>
          <w:cs/>
        </w:rPr>
        <w:t>क</w:t>
      </w:r>
      <w:r>
        <w:t>|</w:t>
      </w:r>
      <w:r>
        <w:rPr>
          <w:lang w:bidi="sa-IN"/>
        </w:rPr>
        <w:t xml:space="preserve"> </w:t>
      </w:r>
      <w:r>
        <w:t>and |</w:t>
      </w:r>
      <w:r>
        <w:rPr>
          <w:rStyle w:val="ForeignDevanagariScript"/>
          <w:rFonts w:hint="cs"/>
          <w:cs/>
        </w:rPr>
        <w:t>ा</w:t>
      </w:r>
      <w:r>
        <w:t>|), which individually correspond to the graphemes &lt;k&gt; and &lt;ā&gt;. As is the case with ‘character’, the term ‘glyph’ is rarely used in a technical sense and, when used, is rarely distinguished from ‘graph’.</w:t>
      </w:r>
      <w:bookmarkStart w:id="81" w:name="_Ref198909201"/>
      <w:r>
        <w:rPr>
          <w:rStyle w:val="Lbjegyzet-hivatkozs"/>
        </w:rPr>
        <w:footnoteReference w:id="50"/>
      </w:r>
      <w:bookmarkEnd w:id="81"/>
    </w:p>
    <w:p w14:paraId="03659EB9" w14:textId="77777777" w:rsidR="00431357" w:rsidRDefault="00431357" w:rsidP="00431357">
      <w:pPr>
        <w:pStyle w:val="Cmsor3"/>
        <w:numPr>
          <w:ilvl w:val="2"/>
          <w:numId w:val="3"/>
        </w:numPr>
        <w:rPr>
          <w:lang w:bidi="sa-IN"/>
        </w:rPr>
      </w:pPr>
      <w:bookmarkStart w:id="82" w:name="_Toc199757539"/>
      <w:bookmarkStart w:id="83" w:name="_Ref199770569"/>
      <w:bookmarkStart w:id="84" w:name="_Ref199778699"/>
      <w:bookmarkStart w:id="85" w:name="_Ref199839785"/>
      <w:bookmarkStart w:id="86" w:name="_Toc200963256"/>
      <w:r>
        <w:rPr>
          <w:lang w:bidi="sa-IN"/>
        </w:rPr>
        <w:t>Polygraphy</w:t>
      </w:r>
      <w:bookmarkEnd w:id="82"/>
      <w:bookmarkEnd w:id="83"/>
      <w:bookmarkEnd w:id="84"/>
      <w:bookmarkEnd w:id="85"/>
      <w:bookmarkEnd w:id="86"/>
    </w:p>
    <w:p w14:paraId="6C86DB4C" w14:textId="03AD4ABA" w:rsidR="00431357" w:rsidRDefault="00431357" w:rsidP="00431357">
      <w:r>
        <w:rPr>
          <w:lang w:bidi="sa-IN"/>
        </w:rPr>
        <w:t xml:space="preserve">Many writing systems employ established sequences of graphs with a graphematic function, such as English </w:t>
      </w:r>
      <w:r>
        <w:rPr>
          <w:rStyle w:val="Foreign"/>
        </w:rPr>
        <w:t>sh</w:t>
      </w:r>
      <w:r>
        <w:t xml:space="preserve">, which corresponds to the phoneme /ʃ/ with great consistency. Such combinations are technically known as </w:t>
      </w:r>
      <w:r>
        <w:rPr>
          <w:b/>
          <w:bCs/>
        </w:rPr>
        <w:t>polygraphs</w:t>
      </w:r>
      <w:r>
        <w:t xml:space="preserve"> (and as </w:t>
      </w:r>
      <w:r>
        <w:rPr>
          <w:b/>
          <w:bCs/>
        </w:rPr>
        <w:t>digraphs</w:t>
      </w:r>
      <w:r>
        <w:t xml:space="preserve"> when comprised of two members), and have been recognised as graphemes in some approaches.</w:t>
      </w:r>
      <w:r>
        <w:rPr>
          <w:rStyle w:val="Lbjegyzet-hivatkozs"/>
        </w:rPr>
        <w:footnoteReference w:id="51"/>
      </w:r>
      <w:r>
        <w:t xml:space="preserve"> Our definition of the grapheme precludes this: polygraphs are not minimal and can always be broken down into individual graphemes, whose context-dependent joint correspondence to a phoneme is a matter of grapheme to phoneme mapping. Polygraphs are common in alphabetic writing systems, but rare in other phonographic systems.</w:t>
      </w:r>
      <w:r>
        <w:rPr>
          <w:rStyle w:val="Lbjegyzet-hivatkozs"/>
        </w:rPr>
        <w:footnoteReference w:id="52"/>
      </w:r>
      <w:r>
        <w:t xml:space="preserve"> The DHARMA transliteration scheme employs polygraphs for certain source graphemes, the practical consequences of which will be discussed in §</w:t>
      </w:r>
      <w:r>
        <w:fldChar w:fldCharType="begin"/>
      </w:r>
      <w:r>
        <w:instrText xml:space="preserve"> REF _Ref199773884 \r \h </w:instrText>
      </w:r>
      <w:r>
        <w:fldChar w:fldCharType="separate"/>
      </w:r>
      <w:r w:rsidR="00CA5448">
        <w:rPr>
          <w:b/>
          <w:bCs/>
          <w:lang w:val="hu-HU"/>
        </w:rPr>
        <w:t>Hiba! A hivatkozási forrás nem található.</w:t>
      </w:r>
      <w:r>
        <w:fldChar w:fldCharType="end"/>
      </w:r>
      <w:r>
        <w:t>.</w:t>
      </w:r>
    </w:p>
    <w:p w14:paraId="0C97E661" w14:textId="77777777" w:rsidR="00431357" w:rsidRDefault="00431357" w:rsidP="00431357">
      <w:pPr>
        <w:pStyle w:val="Cmsor3"/>
        <w:numPr>
          <w:ilvl w:val="2"/>
          <w:numId w:val="3"/>
        </w:numPr>
      </w:pPr>
      <w:bookmarkStart w:id="87" w:name="_Toc199757540"/>
      <w:bookmarkStart w:id="88" w:name="_Ref199836617"/>
      <w:bookmarkStart w:id="89" w:name="_Toc200963257"/>
      <w:r>
        <w:t>Glyph complexity</w:t>
      </w:r>
      <w:bookmarkEnd w:id="87"/>
      <w:bookmarkEnd w:id="88"/>
      <w:bookmarkEnd w:id="89"/>
    </w:p>
    <w:p w14:paraId="3A6DBCC7" w14:textId="77777777" w:rsidR="00431357" w:rsidRDefault="00431357" w:rsidP="00431357">
      <w:r>
        <w:t xml:space="preserve">As outlined above, Indic </w:t>
      </w:r>
      <w:r>
        <w:rPr>
          <w:rStyle w:val="Foreign"/>
        </w:rPr>
        <w:t>akṣaras</w:t>
      </w:r>
      <w:r>
        <w:t xml:space="preserve"> can (as characters) incorporate one or more graphemes, and can (as glyphs) be composed of one or more graphs. These two kinds of complexity — graphematic and graphetic — do not necessarily overlap, because the inherent vowel, though a grapheme, never manifests overtly as a graph. When discussing how the graphs of an Indic writing system are composed into glyphs (and accordingly, how the corresponding graphemes cluster into characters), we find it most useful to prioritise graph</w:t>
      </w:r>
      <w:r>
        <w:rPr>
          <w:rFonts w:hint="cs"/>
          <w:cs/>
        </w:rPr>
        <w:t>त</w:t>
      </w:r>
      <w:r>
        <w:t>ic complexity, as follows.</w:t>
      </w:r>
    </w:p>
    <w:p w14:paraId="1EEFF836" w14:textId="77777777" w:rsidR="00431357" w:rsidRDefault="00431357" w:rsidP="00BE27A3">
      <w:pPr>
        <w:pStyle w:val="Normlbehzs"/>
      </w:pPr>
      <w:r>
        <w:t xml:space="preserve">A </w:t>
      </w:r>
      <w:r>
        <w:rPr>
          <w:b/>
          <w:bCs/>
        </w:rPr>
        <w:t>simplex glyph</w:t>
      </w:r>
      <w:r>
        <w:t xml:space="preserve"> is one that is comprised of a single graph, which may correspond to a single grapheme or may — on the </w:t>
      </w:r>
      <w:r>
        <w:rPr>
          <w:rStyle w:val="Foreign"/>
        </w:rPr>
        <w:t>akṣara</w:t>
      </w:r>
      <w:r>
        <w:t xml:space="preserve"> level— indicate the presence of the inherent vowel in addition to a consonant grapheme. This includes independent (typically initial) vowel signs such as Devanagari |</w:t>
      </w:r>
      <w:r>
        <w:rPr>
          <w:rFonts w:ascii="Tiro Devanagari Sanskrit" w:hAnsi="Tiro Devanagari Sanskrit"/>
          <w:cs/>
        </w:rPr>
        <w:t>अ</w:t>
      </w:r>
      <w:r>
        <w:t>| (independent &lt;A&gt;), and independent (typically final) consonant signs such as Bengali |</w:t>
      </w:r>
      <w:r>
        <w:rPr>
          <w:rFonts w:cs="Vrinda"/>
          <w:cs/>
          <w:lang w:bidi="bn-IN"/>
        </w:rPr>
        <w:t>ৎ</w:t>
      </w:r>
      <w:r>
        <w:t xml:space="preserve">| (final &lt;T&gt;), as well as basic consonant signs comprising an </w:t>
      </w:r>
      <w:r>
        <w:rPr>
          <w:rStyle w:val="Foreign"/>
        </w:rPr>
        <w:t>akṣara</w:t>
      </w:r>
      <w:r>
        <w:t xml:space="preserve"> with their inherent vowel (e.g. Devanagari |</w:t>
      </w:r>
      <w:r>
        <w:rPr>
          <w:rFonts w:hint="cs"/>
          <w:cs/>
        </w:rPr>
        <w:t>त</w:t>
      </w:r>
      <w:r>
        <w:t>| &lt;ta&gt;).</w:t>
      </w:r>
    </w:p>
    <w:p w14:paraId="7711E1E4" w14:textId="051038E6" w:rsidR="00431357" w:rsidRDefault="00431357" w:rsidP="00BE27A3">
      <w:pPr>
        <w:pStyle w:val="Normlbehzs"/>
      </w:pPr>
      <w:r>
        <w:t xml:space="preserve">Conversely, a </w:t>
      </w:r>
      <w:r>
        <w:rPr>
          <w:b/>
          <w:bCs/>
        </w:rPr>
        <w:t>complex glyph</w:t>
      </w:r>
      <w:r>
        <w:t xml:space="preserve"> is one that is comprised of two or more graphs, such as Devanagari |</w:t>
      </w:r>
      <w:r>
        <w:rPr>
          <w:rStyle w:val="ForeignDevanagariScript"/>
          <w:rFonts w:hint="cs"/>
          <w:cs/>
        </w:rPr>
        <w:t>ते</w:t>
      </w:r>
      <w:r>
        <w:t>| &lt;te&gt; and |</w:t>
      </w:r>
      <w:r>
        <w:rPr>
          <w:rStyle w:val="ForeignDevanagariScript"/>
          <w:rFonts w:hint="cs"/>
          <w:cs/>
        </w:rPr>
        <w:t>क्ल</w:t>
      </w:r>
      <w:r>
        <w:t>| &lt;kla&gt;.</w:t>
      </w:r>
      <w:r>
        <w:rPr>
          <w:rStyle w:val="Lbjegyzet-hivatkozs"/>
        </w:rPr>
        <w:footnoteReference w:id="53"/>
      </w:r>
      <w:r>
        <w:t xml:space="preserve"> This class includes every kind of glyph not classified above as simplex. Glyphs which represent several consonant graphemes without isolable graphic components, such as Devanagari </w:t>
      </w:r>
      <w:r>
        <w:rPr>
          <w:lang w:bidi="sa-IN"/>
        </w:rPr>
        <w:t>|</w:t>
      </w:r>
      <w:r>
        <w:rPr>
          <w:rStyle w:val="ForeignDevanagariScript"/>
          <w:rFonts w:hint="eastAsia"/>
          <w:cs/>
        </w:rPr>
        <w:t>क्ष</w:t>
      </w:r>
      <w:r>
        <w:t xml:space="preserve">| &lt;kṣa&gt; </w:t>
      </w:r>
      <w:r>
        <w:lastRenderedPageBreak/>
        <w:t>discussed in §</w:t>
      </w:r>
      <w:r>
        <w:fldChar w:fldCharType="begin"/>
      </w:r>
      <w:r>
        <w:instrText xml:space="preserve"> REF _Ref199774168 \r \h </w:instrText>
      </w:r>
      <w:r>
        <w:fldChar w:fldCharType="separate"/>
      </w:r>
      <w:r w:rsidR="00CA5448">
        <w:t>2.3.2.2</w:t>
      </w:r>
      <w:r>
        <w:fldChar w:fldCharType="end"/>
      </w:r>
      <w:r>
        <w:t xml:space="preserve"> above, are a special case in this regard. Arguably, they are graphetically simplex, yet as already noted, they are exceptions to a rule and derive palaeographically from modifications of graphically complex glyphs. We therefore classify them with complex glyphs, and note that in any case, the notion of complex glyphs tends to be relevant only in cases where graphetic complexity is unequivocally present. A complex glyph is thus not the same as a </w:t>
      </w:r>
      <w:r>
        <w:rPr>
          <w:b/>
          <w:bCs/>
        </w:rPr>
        <w:t>conjunct</w:t>
      </w:r>
      <w:r>
        <w:t xml:space="preserve"> or </w:t>
      </w:r>
      <w:r>
        <w:rPr>
          <w:b/>
          <w:bCs/>
        </w:rPr>
        <w:t>ligature</w:t>
      </w:r>
      <w:r>
        <w:t xml:space="preserve"> in an aksharic writing system,</w:t>
      </w:r>
      <w:r>
        <w:rPr>
          <w:rStyle w:val="Lbjegyzet-hivatkozs"/>
        </w:rPr>
        <w:footnoteReference w:id="54"/>
      </w:r>
      <w:r>
        <w:t xml:space="preserve"> since a conjunct includes two or more consonant components, while a complex glyph may also consist of a consonant and a vowel marker.</w:t>
      </w:r>
    </w:p>
    <w:p w14:paraId="0413E377" w14:textId="77777777" w:rsidR="00431357" w:rsidRDefault="00431357" w:rsidP="00BE27A3">
      <w:pPr>
        <w:pStyle w:val="Normlbehzs"/>
      </w:pPr>
      <w:r>
        <w:t>We have provided some actual examples of simplex and complex glyphs above, but generally when discussing the Indic writing system, and especially when the script involved cannot be easily represented in a digital document, we find it more practical to represent them in transliteration, i.e. in their graphematic aspect as characters. That is to say, we endorse the use of simplified phrases such as “the Devanagari glyph &lt;ta&gt;” or even “the complex character &lt;rdha&gt;”, where the former would be meticulously put as “the Devanagari glyph manifesting the character &lt;ta&gt;”, and the latter as “the character &lt;rdha&gt;, which is represented by a complex glyph”.</w:t>
      </w:r>
    </w:p>
    <w:p w14:paraId="0A09F49F" w14:textId="77777777" w:rsidR="00431357" w:rsidRDefault="00431357" w:rsidP="00431357">
      <w:pPr>
        <w:pStyle w:val="Cmsor4"/>
        <w:numPr>
          <w:ilvl w:val="3"/>
          <w:numId w:val="3"/>
        </w:numPr>
      </w:pPr>
      <w:bookmarkStart w:id="90" w:name="_Ref199775450"/>
      <w:bookmarkStart w:id="91" w:name="_Toc200963258"/>
      <w:r>
        <w:t>Glyph components</w:t>
      </w:r>
      <w:bookmarkEnd w:id="90"/>
      <w:bookmarkEnd w:id="91"/>
    </w:p>
    <w:p w14:paraId="3AFA2791" w14:textId="77777777" w:rsidR="00431357" w:rsidRDefault="00431357" w:rsidP="00431357">
      <w:r>
        <w:t xml:space="preserve">We use the term </w:t>
      </w:r>
      <w:r>
        <w:rPr>
          <w:b/>
          <w:bCs/>
        </w:rPr>
        <w:t>component</w:t>
      </w:r>
      <w:r>
        <w:t xml:space="preserve"> for a visually discernible graph that is part of a complex glyph.</w:t>
      </w:r>
      <w:r>
        <w:rPr>
          <w:rStyle w:val="Lbjegyzet-hivatkozs"/>
        </w:rPr>
        <w:footnoteReference w:id="55"/>
      </w:r>
      <w:r>
        <w:t xml:space="preserve"> As above, we endorse describing components in graphematic terms even though they are graphetic phenomena. A palaeographic description or a discussion of reading difficulties may thus mention, for instance, “the &lt;dh&gt; component of the glyph &lt;rddhe&gt;” (where a meticulous phrasing would be something like “the component which instantiates the grapheme &lt;dh&gt; in the glyph manifesting &lt;rddhe&gt;”).</w:t>
      </w:r>
    </w:p>
    <w:p w14:paraId="29CCBB2C" w14:textId="395E3C48" w:rsidR="00431357" w:rsidRDefault="00431357" w:rsidP="00BE27A3">
      <w:pPr>
        <w:pStyle w:val="Normlbehzs"/>
      </w:pPr>
      <w:r>
        <w:t xml:space="preserve">We employ the term </w:t>
      </w:r>
      <w:r>
        <w:rPr>
          <w:b/>
          <w:bCs/>
        </w:rPr>
        <w:t>marker</w:t>
      </w:r>
      <w:r>
        <w:t xml:space="preserve"> for a special set of graphs that can only appear in a graphetically dependent position, i.e. which can only manifest as components and never as glyphs. ‘Marker’ is not an established term in grapholinguistics,</w:t>
      </w:r>
      <w:r>
        <w:rPr>
          <w:rStyle w:val="Lbjegyzet-hivatkozs"/>
        </w:rPr>
        <w:footnoteReference w:id="56"/>
      </w:r>
      <w:r>
        <w:t xml:space="preserve"> but is defined here in agreement with Ollett and Taylor </w:t>
      </w:r>
      <w:r>
        <w:fldChar w:fldCharType="begin"/>
      </w:r>
      <w:r>
        <w:instrText xml:space="preserve"> ADDIN ZOTERO_ITEM CSL_CITATION {"citationID":"PM7pJjgh","properties":{"formattedCitation":"(forthcoming)","plainCitation":"(forthcoming)","noteIndex":0},"citationItems":[{"id":26745,"uris":["http://zotero.org/groups/1633743/items/95PFNJ4Q"],"itemData":{"id":26745,"type":"document","title":"Representing Kannada text","author":[{"family":"Ollett","given":"Andrew"},{"family":"Taylor","given":"Sarah Pierce"}],"issued":{"literal":"forthcoming"}},"suppress-author":true}],"schema":"https://github.com/citation-style-language/schema/raw/master/csl-citation.json"} </w:instrText>
      </w:r>
      <w:r>
        <w:fldChar w:fldCharType="separate"/>
      </w:r>
      <w:r>
        <w:rPr>
          <w:rFonts w:cs="Gentium Plus"/>
        </w:rPr>
        <w:t>(forthcoming)</w:t>
      </w:r>
      <w:r>
        <w:fldChar w:fldCharType="end"/>
      </w:r>
      <w:r>
        <w:t xml:space="preserve">. In actual usage we find ‘marker’ most useful for referring to graphs which modify the default vowel of an </w:t>
      </w:r>
      <w:r>
        <w:rPr>
          <w:rStyle w:val="Foreign"/>
        </w:rPr>
        <w:t>akṣara</w:t>
      </w:r>
      <w:r>
        <w:t xml:space="preserve"> (i.e. to the dependent vowel signs and the </w:t>
      </w:r>
      <w:r>
        <w:rPr>
          <w:rStyle w:val="Foreign"/>
        </w:rPr>
        <w:t>virāma</w:t>
      </w:r>
      <w:r>
        <w:t>, for which see §</w:t>
      </w:r>
      <w:r>
        <w:fldChar w:fldCharType="begin"/>
      </w:r>
      <w:r>
        <w:instrText xml:space="preserve"> REF _Ref199774821 \r \h </w:instrText>
      </w:r>
      <w:r>
        <w:fldChar w:fldCharType="separate"/>
      </w:r>
      <w:r w:rsidR="00CA5448">
        <w:t>2.5.2</w:t>
      </w:r>
      <w:r>
        <w:fldChar w:fldCharType="end"/>
      </w:r>
      <w:r>
        <w:t>), and prefer to speak of consonantal markers as dependent consonants.</w:t>
      </w:r>
      <w:r>
        <w:rPr>
          <w:rStyle w:val="Lbjegyzet-hivatkozs"/>
        </w:rPr>
        <w:footnoteReference w:id="57"/>
      </w:r>
    </w:p>
    <w:p w14:paraId="2E354421" w14:textId="77777777" w:rsidR="00431357" w:rsidRDefault="00431357" w:rsidP="00431357">
      <w:pPr>
        <w:pStyle w:val="Cmsor4"/>
        <w:numPr>
          <w:ilvl w:val="3"/>
          <w:numId w:val="3"/>
        </w:numPr>
      </w:pPr>
      <w:bookmarkStart w:id="92" w:name="_Ref199836662"/>
      <w:bookmarkStart w:id="93" w:name="_Toc200963259"/>
      <w:r>
        <w:t>Graphic elements</w:t>
      </w:r>
      <w:bookmarkEnd w:id="92"/>
      <w:bookmarkEnd w:id="93"/>
    </w:p>
    <w:p w14:paraId="4C8361DB" w14:textId="77777777" w:rsidR="00431357" w:rsidRDefault="00431357" w:rsidP="00431357">
      <w:r>
        <w:t>The scope of the term ‘component’, as defined above, is restricted to graphs, i.e. to manifestations of graphemes. A single graph may itself be graphically quite complex, for instance Devanagari |</w:t>
      </w:r>
      <w:r>
        <w:rPr>
          <w:rStyle w:val="ForeignDevanagariScript"/>
          <w:rFonts w:hint="cs"/>
          <w:cs/>
        </w:rPr>
        <w:t>औ</w:t>
      </w:r>
      <w:r>
        <w:t xml:space="preserve">| &lt;au&gt;. For any visually discernible constituent parts of individual graphs, i.e. for salient shapes which are not themselves graphs, we recommend the term </w:t>
      </w:r>
      <w:r>
        <w:rPr>
          <w:b/>
          <w:bCs/>
        </w:rPr>
        <w:t>element</w:t>
      </w:r>
      <w:r>
        <w:t xml:space="preserve"> or, for extra clarity, graphic element. Elements can be distinctive features of graphs — as the horizontal strokes that distinguish Brāhmī |</w:t>
      </w:r>
      <w:r>
        <w:rPr>
          <w:rFonts w:ascii="Segoe UI Historic" w:hAnsi="Segoe UI Historic" w:cs="Segoe UI Historic"/>
        </w:rPr>
        <w:t>𑀓</w:t>
      </w:r>
      <w:r>
        <w:t>| &lt;ka&gt; from |</w:t>
      </w:r>
      <w:r>
        <w:rPr>
          <w:rFonts w:ascii="Segoe UI Historic" w:hAnsi="Segoe UI Historic" w:cs="Segoe UI Historic"/>
        </w:rPr>
        <w:t>𑀭</w:t>
      </w:r>
      <w:r>
        <w:t>| &lt;ra&gt; or Roman |E| from |F| — but they do not in themselves carry linguistic information. Much as glyphs may be comprised of one graph or several graphs, graphs too may be comprised of a single element (as the graph for &lt;e&gt; in Devanagari |</w:t>
      </w:r>
      <w:r>
        <w:rPr>
          <w:rStyle w:val="ForeignDevanagariScript"/>
          <w:cs/>
        </w:rPr>
        <w:t>के</w:t>
      </w:r>
      <w:r>
        <w:t>|) or made up of several elements, which may be connected (as in the graph for &lt;k&gt; in Devanagari |</w:t>
      </w:r>
      <w:r>
        <w:rPr>
          <w:rStyle w:val="ForeignDevanagariScript"/>
          <w:cs/>
        </w:rPr>
        <w:t>के</w:t>
      </w:r>
      <w:r>
        <w:t>|) or unconnected (as in the graph for &lt;o&gt; in Tamil |</w:t>
      </w:r>
      <w:r>
        <w:rPr>
          <w:rFonts w:ascii="Tiro Tamil" w:hAnsi="Tiro Tamil" w:cs="Tiro Tamil"/>
          <w:cs/>
          <w:lang w:bidi="ta-IN"/>
        </w:rPr>
        <w:t>கொ</w:t>
      </w:r>
      <w:r>
        <w:t xml:space="preserve">|). The important difference is that while the graphs making up a complex glyph are individually meaningful (each corresponding to a grapheme), the elements making up a multi-element graph are not. </w:t>
      </w:r>
      <w:r>
        <w:rPr>
          <w:rFonts w:cs="Latha"/>
          <w:lang w:bidi="ta-IN"/>
        </w:rPr>
        <w:t>Most sign inventories include some elements that occur alone or in various combinations to constitute different graphs, but even if such an element can constitute a graph on its own, it does not remain a graph when it is combined with other elements.</w:t>
      </w:r>
      <w:r>
        <w:rPr>
          <w:rStyle w:val="Lbjegyzet-hivatkozs"/>
        </w:rPr>
        <w:footnoteReference w:id="58"/>
      </w:r>
    </w:p>
    <w:p w14:paraId="674DED6A" w14:textId="77777777" w:rsidR="00431357" w:rsidRDefault="00431357" w:rsidP="00BE27A3">
      <w:pPr>
        <w:pStyle w:val="Normlbehzs"/>
      </w:pPr>
      <w:r>
        <w:lastRenderedPageBreak/>
        <w:t xml:space="preserve">We further suggest the term </w:t>
      </w:r>
      <w:r>
        <w:rPr>
          <w:b/>
          <w:bCs/>
        </w:rPr>
        <w:t>stroke</w:t>
      </w:r>
      <w:r>
        <w:t xml:space="preserve"> for elements which are uninterrupted lines and may be conceived of as a single stroke of the writing instrument. To refer to particular elements of a graph, chiefly in palaeographic description or a discussion of reading difficulties, we encourage the use of intuitive biological and architectural analogues such as arm, leg, wing, tail, stem, lobe, arch, base, etc. </w:t>
      </w:r>
    </w:p>
    <w:p w14:paraId="3399FA10" w14:textId="77777777" w:rsidR="00431357" w:rsidRDefault="00431357" w:rsidP="00431357">
      <w:pPr>
        <w:pStyle w:val="Cmsor2"/>
        <w:numPr>
          <w:ilvl w:val="1"/>
          <w:numId w:val="3"/>
        </w:numPr>
      </w:pPr>
      <w:bookmarkStart w:id="94" w:name="_Toc200963260"/>
      <w:r>
        <w:t>Problematic cases: what is a grapheme, and what is not?</w:t>
      </w:r>
      <w:bookmarkEnd w:id="94"/>
    </w:p>
    <w:p w14:paraId="351B09A3" w14:textId="77777777" w:rsidR="00431357" w:rsidRDefault="00431357" w:rsidP="00431357">
      <w:pPr>
        <w:pStyle w:val="Cmsor3"/>
        <w:numPr>
          <w:ilvl w:val="2"/>
          <w:numId w:val="3"/>
        </w:numPr>
        <w:rPr>
          <w:rStyle w:val="Foreign"/>
          <w:i w:val="0"/>
          <w:iCs w:val="0"/>
        </w:rPr>
      </w:pPr>
      <w:bookmarkStart w:id="95" w:name="_Toc199757541"/>
      <w:bookmarkStart w:id="96" w:name="_Ref199770578"/>
      <w:bookmarkStart w:id="97" w:name="_Ref199836695"/>
      <w:bookmarkStart w:id="98" w:name="_Toc200963261"/>
      <w:r>
        <w:rPr>
          <w:rStyle w:val="Foreign"/>
        </w:rPr>
        <w:t>Diacritical marks</w:t>
      </w:r>
      <w:bookmarkEnd w:id="95"/>
      <w:bookmarkEnd w:id="96"/>
      <w:bookmarkEnd w:id="97"/>
      <w:bookmarkEnd w:id="98"/>
    </w:p>
    <w:p w14:paraId="694D732D" w14:textId="5638DBD3" w:rsidR="00431357" w:rsidRDefault="00431357" w:rsidP="00431357">
      <w:r>
        <w:rPr>
          <w:b/>
          <w:bCs/>
        </w:rPr>
        <w:t>Diacritical marks</w:t>
      </w:r>
      <w:r>
        <w:t xml:space="preserve"> (or, in short, diacritics) are, in our terms, a special class of element (##) which can combine with specific (individually meaningful) graphs to alter their connotation. Most diacritical marks can be added to a range of graphs and often (though not always) alter the connotation of those graphs in a somewhat consistent manner (for instance, in the DHARMA transliteration, the macron makes vowels long, and the underdot makes consonants retroflex). Diacritical marks may thus be perceived as independently combinable bearers of linguistic information, giving rise to the question whether they should be considered graphemes in their own right. While we acknowledge that diacritical marks possess a graphematic function, and that this deserves attention, we emphasise that they are not graphemes by our definition, since the information they represent does not pertain to the </w:t>
      </w:r>
      <w:r>
        <w:rPr>
          <w:i/>
          <w:iCs/>
        </w:rPr>
        <w:t>presence</w:t>
      </w:r>
      <w:r>
        <w:t xml:space="preserve"> of a particular linguistic unit on the writing system’s dominant level of representational mapping, but rather to some </w:t>
      </w:r>
      <w:r>
        <w:rPr>
          <w:i/>
          <w:iCs/>
        </w:rPr>
        <w:t>feature</w:t>
      </w:r>
      <w:r>
        <w:t xml:space="preserve"> of a unit whose presence is signified by a proper grapheme. We emphasise that the markers of the Indic writing system (as defined in §</w:t>
      </w:r>
      <w:r>
        <w:fldChar w:fldCharType="begin"/>
      </w:r>
      <w:r>
        <w:instrText xml:space="preserve"> REF _Ref199775450 \r \h </w:instrText>
      </w:r>
      <w:r>
        <w:fldChar w:fldCharType="separate"/>
      </w:r>
      <w:r w:rsidR="00CA5448">
        <w:t>2.4.3.1</w:t>
      </w:r>
      <w:r>
        <w:fldChar w:fldCharType="end"/>
      </w:r>
      <w:r>
        <w:t xml:space="preserve"> above) are </w:t>
      </w:r>
      <w:r>
        <w:rPr>
          <w:i/>
          <w:iCs/>
        </w:rPr>
        <w:t>not</w:t>
      </w:r>
      <w:r>
        <w:t xml:space="preserve"> diacritical marks in our terms, even though secondary literature often refers to them as such.</w:t>
      </w:r>
    </w:p>
    <w:p w14:paraId="5B4871B1" w14:textId="77777777" w:rsidR="00431357" w:rsidRDefault="00431357" w:rsidP="00BE27A3">
      <w:pPr>
        <w:pStyle w:val="Normlbehzs"/>
      </w:pPr>
      <w:r>
        <w:t>Diacritical marks thus have no special relevance to transliteration: like any distinctive element, they are only relevant to us inasmuch as they distinguish one graph from another.</w:t>
      </w:r>
      <w:r>
        <w:rPr>
          <w:rStyle w:val="Lbjegyzet-hivatkozs"/>
        </w:rPr>
        <w:footnoteReference w:id="59"/>
      </w:r>
      <w:r>
        <w:t xml:space="preserve"> If a source grapheme is distinguished by a diacritical mark from another source grapheme, than the distinction itself must be preserved in transliteration, but it need not involve a diacritical mark, or indeed, any feature corresponding to the diacritical mark.</w:t>
      </w:r>
      <w:r>
        <w:rPr>
          <w:rStyle w:val="Lbjegyzet-hivatkozs"/>
        </w:rPr>
        <w:footnoteReference w:id="60"/>
      </w:r>
    </w:p>
    <w:p w14:paraId="053E862B" w14:textId="77777777" w:rsidR="00431357" w:rsidRDefault="00431357" w:rsidP="00431357">
      <w:pPr>
        <w:pStyle w:val="Cmsor3"/>
        <w:numPr>
          <w:ilvl w:val="2"/>
          <w:numId w:val="3"/>
        </w:numPr>
      </w:pPr>
      <w:bookmarkStart w:id="99" w:name="_Toc199757542"/>
      <w:bookmarkStart w:id="100" w:name="_Ref199774821"/>
      <w:bookmarkStart w:id="101" w:name="_Ref199777633"/>
      <w:bookmarkStart w:id="102" w:name="_Ref199778443"/>
      <w:bookmarkStart w:id="103" w:name="_Toc200963262"/>
      <w:r>
        <w:rPr>
          <w:rStyle w:val="Foreign"/>
        </w:rPr>
        <w:t>Virāma</w:t>
      </w:r>
      <w:bookmarkEnd w:id="99"/>
      <w:bookmarkEnd w:id="100"/>
      <w:bookmarkEnd w:id="101"/>
      <w:bookmarkEnd w:id="102"/>
      <w:bookmarkEnd w:id="103"/>
    </w:p>
    <w:p w14:paraId="4AADE48E" w14:textId="77777777" w:rsidR="00431357" w:rsidRDefault="00431357" w:rsidP="00431357">
      <w:r>
        <w:t xml:space="preserve">A moot point we have been carefully avoiding is the status of the </w:t>
      </w:r>
      <w:r>
        <w:rPr>
          <w:rStyle w:val="Foreign"/>
        </w:rPr>
        <w:t>virāma</w:t>
      </w:r>
      <w:r>
        <w:t xml:space="preserve">, the “vowel killer” sign of aksharic writing systems. The </w:t>
      </w:r>
      <w:r>
        <w:rPr>
          <w:rStyle w:val="Foreign"/>
        </w:rPr>
        <w:t>virāma</w:t>
      </w:r>
      <w:r>
        <w:t xml:space="preserve"> negates the inherent vowel of an </w:t>
      </w:r>
      <w:r>
        <w:rPr>
          <w:rStyle w:val="Foreign"/>
        </w:rPr>
        <w:t>akṣara</w:t>
      </w:r>
      <w:r>
        <w:t xml:space="preserve">, contributing nothing positive regarding a phoneme, so it is difficult to recognise it as a grapheme. Simultaneously, it is also difficult to recognise as a diacritical mark, as it does not serve for the distinction of one grapheme from another: an </w:t>
      </w:r>
      <w:r>
        <w:rPr>
          <w:rStyle w:val="Foreign"/>
        </w:rPr>
        <w:t>akṣara</w:t>
      </w:r>
      <w:r>
        <w:t xml:space="preserve"> without a </w:t>
      </w:r>
      <w:r>
        <w:rPr>
          <w:rStyle w:val="Foreign"/>
        </w:rPr>
        <w:t>virāma</w:t>
      </w:r>
      <w:r>
        <w:t xml:space="preserve"> is comprised of at least two graphemes, and if a </w:t>
      </w:r>
      <w:r>
        <w:rPr>
          <w:rStyle w:val="Foreign"/>
        </w:rPr>
        <w:t>virāma</w:t>
      </w:r>
      <w:r>
        <w:t xml:space="preserve"> is added to the same </w:t>
      </w:r>
      <w:r>
        <w:rPr>
          <w:rStyle w:val="Foreign"/>
        </w:rPr>
        <w:t>akṣara</w:t>
      </w:r>
      <w:r>
        <w:t>, one or more of those graphemes remain</w:t>
      </w:r>
      <w:r>
        <w:rPr>
          <w:rStyle w:val="Lbjegyzet-hivatkozs"/>
        </w:rPr>
        <w:footnoteReference w:id="61"/>
      </w:r>
      <w:r>
        <w:t xml:space="preserve"> and one ceases to be present, but none are changed to a different grapheme.</w:t>
      </w:r>
    </w:p>
    <w:p w14:paraId="0C25F9A0" w14:textId="27D72283" w:rsidR="00431357" w:rsidRDefault="00431357" w:rsidP="00BE27A3">
      <w:pPr>
        <w:pStyle w:val="Normlbehzs"/>
      </w:pPr>
      <w:r>
        <w:t xml:space="preserve">All things considered, we are willing to grant grapheme status to the </w:t>
      </w:r>
      <w:r>
        <w:rPr>
          <w:rStyle w:val="Foreign"/>
        </w:rPr>
        <w:t>virāma</w:t>
      </w:r>
      <w:r>
        <w:t xml:space="preserve">, and have phrased our definition of the grapheme accordingly: we require a grapheme to represent “information pertaining to the </w:t>
      </w:r>
      <w:r>
        <w:lastRenderedPageBreak/>
        <w:t xml:space="preserve">presence” of linguistic units, where this information may be that a unit is </w:t>
      </w:r>
      <w:r>
        <w:rPr>
          <w:i/>
          <w:iCs/>
        </w:rPr>
        <w:t>not</w:t>
      </w:r>
      <w:r>
        <w:t xml:space="preserve"> present even though its presence has been indicated by another grapheme (that manifest in the integral </w:t>
      </w:r>
      <w:r>
        <w:rPr>
          <w:rStyle w:val="Foreign"/>
        </w:rPr>
        <w:t>akṣara</w:t>
      </w:r>
      <w:r>
        <w:t xml:space="preserve">). The rationale is admittedly tortuous, but it is essential for a transliteration scheme used in philology and palaeography to make a distinction between a vowelless consonant expressed using a </w:t>
      </w:r>
      <w:r>
        <w:rPr>
          <w:rStyle w:val="Foreign"/>
        </w:rPr>
        <w:t>virāma</w:t>
      </w:r>
      <w:r>
        <w:t xml:space="preserve"> and one expressed in a different way (see also §</w:t>
      </w:r>
      <w:r>
        <w:fldChar w:fldCharType="begin"/>
      </w:r>
      <w:r>
        <w:instrText xml:space="preserve"> REF _Ref199775736 \r \h </w:instrText>
      </w:r>
      <w:r>
        <w:fldChar w:fldCharType="separate"/>
      </w:r>
      <w:r w:rsidR="00CA5448">
        <w:t>3.4</w:t>
      </w:r>
      <w:r>
        <w:fldChar w:fldCharType="end"/>
      </w:r>
      <w:r>
        <w:t>).</w:t>
      </w:r>
      <w:r>
        <w:rPr>
          <w:rStyle w:val="Lbjegyzet-hivatkozs"/>
        </w:rPr>
        <w:footnoteReference w:id="62"/>
      </w:r>
      <w:r>
        <w:t xml:space="preserve"> In further support for recognising the </w:t>
      </w:r>
      <w:r>
        <w:rPr>
          <w:rStyle w:val="Foreign"/>
        </w:rPr>
        <w:t>virāma</w:t>
      </w:r>
      <w:r>
        <w:t xml:space="preserve"> as a grapheme we emphasise that functionally it is fully analogous to vowel markers, which are definitely graphemes in their own right. A basic </w:t>
      </w:r>
      <w:r>
        <w:rPr>
          <w:rStyle w:val="Foreign"/>
        </w:rPr>
        <w:t>akṣara</w:t>
      </w:r>
      <w:r>
        <w:t xml:space="preserve"> signifies the presence of an inherent vowel, a vowel marker signifies the presence of another vowel in place of that inherent vowel, and the </w:t>
      </w:r>
      <w:r>
        <w:rPr>
          <w:rStyle w:val="Foreign"/>
        </w:rPr>
        <w:t>virāma</w:t>
      </w:r>
      <w:r>
        <w:t xml:space="preserve"> signifies a zero-vowel in place of that inherent vowel.</w:t>
      </w:r>
      <w:r>
        <w:rPr>
          <w:rStyle w:val="Lbjegyzet-hivatkozs"/>
        </w:rPr>
        <w:footnoteReference w:id="63"/>
      </w:r>
    </w:p>
    <w:p w14:paraId="27E62107" w14:textId="77777777" w:rsidR="00431357" w:rsidRDefault="00431357" w:rsidP="00431357">
      <w:pPr>
        <w:pStyle w:val="Cmsor3"/>
        <w:numPr>
          <w:ilvl w:val="2"/>
          <w:numId w:val="3"/>
        </w:numPr>
      </w:pPr>
      <w:bookmarkStart w:id="104" w:name="_Toc199757543"/>
      <w:bookmarkStart w:id="105" w:name="_Toc200963263"/>
      <w:r>
        <w:rPr>
          <w:rStyle w:val="Foreign"/>
        </w:rPr>
        <w:t>Anusvāra</w:t>
      </w:r>
      <w:r>
        <w:t xml:space="preserve"> relatives</w:t>
      </w:r>
      <w:bookmarkEnd w:id="104"/>
      <w:bookmarkEnd w:id="105"/>
    </w:p>
    <w:p w14:paraId="428DE255" w14:textId="77777777" w:rsidR="00431357" w:rsidRDefault="00431357" w:rsidP="00431357">
      <w:r>
        <w:t xml:space="preserve">The typical usage of the </w:t>
      </w:r>
      <w:r>
        <w:rPr>
          <w:rStyle w:val="Foreign"/>
        </w:rPr>
        <w:t>anusvāra</w:t>
      </w:r>
      <w:r>
        <w:t xml:space="preserve"> is to indicate the presence of a nasal consonant, whose locus of articulation is determined by the subsequent context. Used in this manner, the </w:t>
      </w:r>
      <w:r>
        <w:rPr>
          <w:rStyle w:val="Foreign"/>
        </w:rPr>
        <w:t>anusvāra</w:t>
      </w:r>
      <w:r>
        <w:t xml:space="preserve"> is beyond doubt a grapheme by our definition. However, in certain languages in certain contexts, it can also be a diacritical mark representing the nasal quality of a vowel. Some standardised modern writing systems employ different graphic signs (the </w:t>
      </w:r>
      <w:r>
        <w:rPr>
          <w:rStyle w:val="Foreign"/>
        </w:rPr>
        <w:t>bindu</w:t>
      </w:r>
      <w:r>
        <w:t xml:space="preserve"> |</w:t>
      </w:r>
      <w:r>
        <w:rPr>
          <w:rStyle w:val="ForeignDevanagariScript"/>
          <w:rFonts w:hint="cs"/>
          <w:cs/>
        </w:rPr>
        <w:t>ं</w:t>
      </w:r>
      <w:r>
        <w:t xml:space="preserve">| and the </w:t>
      </w:r>
      <w:r>
        <w:rPr>
          <w:rStyle w:val="Foreign"/>
        </w:rPr>
        <w:t>candrabindu</w:t>
      </w:r>
      <w:r>
        <w:t xml:space="preserve"> |</w:t>
      </w:r>
      <w:r>
        <w:rPr>
          <w:rStyle w:val="ForeignDevanagariScript"/>
          <w:rFonts w:hint="cs"/>
          <w:cs/>
        </w:rPr>
        <w:t>ँ</w:t>
      </w:r>
      <w:r>
        <w:t>|) for these purposes, but such a distinction is by no means universal.</w:t>
      </w:r>
    </w:p>
    <w:p w14:paraId="5830BA15" w14:textId="77777777" w:rsidR="00431357" w:rsidRDefault="00431357" w:rsidP="00BE27A3">
      <w:pPr>
        <w:pStyle w:val="Normlbehzs"/>
      </w:pPr>
      <w:r>
        <w:t xml:space="preserve">In the diplomatic transliteration of primary texts, we wish to make no assumptions about whether such signs were employed by their writers to represent a phoneme or to qualify a phoneme represented by another graph, and prefer to err on the side of caution. An additional rationale for doing so is that </w:t>
      </w:r>
      <w:r>
        <w:rPr>
          <w:rStyle w:val="Foreign"/>
        </w:rPr>
        <w:t>anusvāra</w:t>
      </w:r>
      <w:r>
        <w:t xml:space="preserve"> variants may be perceived as always representing an abstract nasal phoneme, and the fact that it is sometimes realised as a nasalisation of the preceding vowel phoneme may be viewed as an issue of complex grapheme to phoneme correspondence. Therefore, our general approach is to treat all </w:t>
      </w:r>
      <w:r>
        <w:rPr>
          <w:rStyle w:val="Foreign"/>
        </w:rPr>
        <w:t>anusvāra</w:t>
      </w:r>
      <w:r>
        <w:t xml:space="preserve"> variants as graphemes on their own right, and thus to represent them with a corresponding target grapheme.</w:t>
      </w:r>
      <w:r>
        <w:rPr>
          <w:rStyle w:val="Lbjegyzet-hivatkozs"/>
        </w:rPr>
        <w:footnoteReference w:id="64"/>
      </w:r>
    </w:p>
    <w:p w14:paraId="605FA459" w14:textId="77777777" w:rsidR="00431357" w:rsidRDefault="00431357" w:rsidP="00431357">
      <w:pPr>
        <w:pStyle w:val="Cmsor3"/>
        <w:numPr>
          <w:ilvl w:val="2"/>
          <w:numId w:val="3"/>
        </w:numPr>
      </w:pPr>
      <w:bookmarkStart w:id="106" w:name="_Toc199757544"/>
      <w:bookmarkStart w:id="107" w:name="_Toc200963264"/>
      <w:r>
        <w:t>Other signs of vague status</w:t>
      </w:r>
      <w:bookmarkEnd w:id="106"/>
      <w:bookmarkEnd w:id="107"/>
    </w:p>
    <w:p w14:paraId="5030D9AD" w14:textId="77777777" w:rsidR="00431357" w:rsidRDefault="00431357" w:rsidP="00431357">
      <w:r>
        <w:t xml:space="preserve">When in a particular variant of the Indic writing system the status of a graphic sign vis-à-vis graphemes is poorly understood or difficult to establish in spite of being well understood, we — as in the case of </w:t>
      </w:r>
      <w:r>
        <w:rPr>
          <w:rStyle w:val="Foreign"/>
        </w:rPr>
        <w:t>anusvāra</w:t>
      </w:r>
      <w:r>
        <w:t xml:space="preserve"> variants — we prefer to err on the side of caution and recognise such signs as “honorary” graphemes. This approach allows us to represent the problematic sign with a single target grapheme, instead of having to introduce a series of target graphemes for each combination of the problematic sign with a basic grapheme. An example of a poorly understood graphic sign is the underdot in Mon, Pyu and Burmese (#§), while the Gurmukhi </w:t>
      </w:r>
      <w:r>
        <w:rPr>
          <w:rStyle w:val="Foreign"/>
        </w:rPr>
        <w:t>addak</w:t>
      </w:r>
      <w:r>
        <w:t xml:space="preserve"> may exemplify signs which are well understood but difficult to classify.</w:t>
      </w:r>
      <w:r>
        <w:rPr>
          <w:rStyle w:val="Lbjegyzet-hivatkozs"/>
        </w:rPr>
        <w:footnoteReference w:id="65"/>
      </w:r>
      <w:r>
        <w:t xml:space="preserve"> The DHARMA transliteration scheme does not include a specific provision for the </w:t>
      </w:r>
      <w:r>
        <w:rPr>
          <w:rStyle w:val="Foreign"/>
        </w:rPr>
        <w:t>addak</w:t>
      </w:r>
      <w:r>
        <w:t xml:space="preserve">, and is open to extension with </w:t>
      </w:r>
      <w:r>
        <w:lastRenderedPageBreak/>
        <w:t>additional target graphemes (often already conventionalised in the relevant subfield) for use in any linguistic or regional context that we have not yet catered for.</w:t>
      </w:r>
    </w:p>
    <w:p w14:paraId="7D1B9889" w14:textId="77777777" w:rsidR="00431357" w:rsidRDefault="00431357" w:rsidP="00431357">
      <w:pPr>
        <w:pStyle w:val="Cmsor3"/>
        <w:numPr>
          <w:ilvl w:val="2"/>
          <w:numId w:val="3"/>
        </w:numPr>
      </w:pPr>
      <w:bookmarkStart w:id="108" w:name="_Ref199757158"/>
      <w:bookmarkStart w:id="109" w:name="_Toc199757545"/>
      <w:bookmarkStart w:id="110" w:name="_Toc200963265"/>
      <w:r>
        <w:t>Non-phonographic signs</w:t>
      </w:r>
      <w:bookmarkEnd w:id="108"/>
      <w:bookmarkEnd w:id="109"/>
      <w:bookmarkEnd w:id="110"/>
    </w:p>
    <w:p w14:paraId="26B7C60B" w14:textId="77777777" w:rsidR="00431357" w:rsidRDefault="00431357" w:rsidP="00431357">
      <w:r>
        <w:t xml:space="preserve">Texts written in a phonographic writing system often include graphic signs which signify non-phonographic information. The most common examples of such signs are punctuation marks, which primarily convey information about the syntactic, semantic and/or prosodic segmentation of the text. There are also signs for abstract concepts: ciphers signify numbers, and certain signs signify miscellaneous concepts, such as the section sign, the percent sign or currency signs. Some may pertain to language in an abstract way, like the </w:t>
      </w:r>
      <w:r>
        <w:rPr>
          <w:rStyle w:val="Foreign"/>
        </w:rPr>
        <w:t>avagraha</w:t>
      </w:r>
      <w:r>
        <w:t xml:space="preserve"> of the Indic writing system or the apostrophe of the Roman one, which are often used to indicate elision. Others may be quite beyond the domain of glottography, such as “auspiciousness” presumably conveyed by many opening and closing symbols used in inscriptions or “irony” conveyed by a winking smiley in a text message. </w:t>
      </w:r>
    </w:p>
    <w:p w14:paraId="73355AA7" w14:textId="6C3498A5" w:rsidR="00431357" w:rsidRDefault="00431357" w:rsidP="00BE27A3">
      <w:pPr>
        <w:pStyle w:val="Normlbehzs"/>
      </w:pPr>
      <w:r>
        <w:t xml:space="preserve">Whether such signs are to be considered graphemes — and if yes, exactly how the grapheme ought to be defined to accommodate them — is a vexed question </w:t>
      </w:r>
      <w:r>
        <w:fldChar w:fldCharType="begin"/>
      </w:r>
      <w:r>
        <w:instrText xml:space="preserve"> ADDIN ZOTERO_ITEM CSL_CITATION {"citationID":"P5qyzHpc","properties":{"formattedCitation":"(cf. Meletis and D\\uc0\\u252{}rscheid 2022, 132\\uc0\\u8211{}33)","plainCitation":"(cf. Meletis and Dürscheid 2022, 132–33)","noteIndex":0},"citationItems":[{"id":25331,"uris":["http://zotero.org/groups/1633743/items/2FRSBS2M"],"itemData":{"id":25331,"type":"book","abstract":"Grapholinguistics,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132-133","label":"page","prefix":"cf."}],"schema":"https://github.com/citation-style-language/schema/raw/master/csl-citation.json"} </w:instrText>
      </w:r>
      <w:r>
        <w:fldChar w:fldCharType="separate"/>
      </w:r>
      <w:r>
        <w:rPr>
          <w:rFonts w:cs="Gentium Plus"/>
          <w:kern w:val="0"/>
          <w:szCs w:val="24"/>
        </w:rPr>
        <w:t>(cf. Meletis and Dürscheid 2022, 132–33)</w:t>
      </w:r>
      <w:r>
        <w:fldChar w:fldCharType="end"/>
      </w:r>
      <w:r>
        <w:t>. We feel that the best way to reconcile such signs with the framework presented above is to understand them as graphemes belonging to one or more secondary writing systems, which are separate from (though generally correlated with) the primary writing system used for a particular language-script pair, and which are not in themselves capable of representing any language in its entirety. But whatever their exact grapholinguistic status, all such signs need to be reflected somehow in transliteration.</w:t>
      </w:r>
    </w:p>
    <w:p w14:paraId="60E39D85" w14:textId="77777777" w:rsidR="00431357" w:rsidRDefault="00431357" w:rsidP="00BE27A3">
      <w:pPr>
        <w:pStyle w:val="Normlbehzs"/>
      </w:pPr>
      <w:r>
        <w:t>It would, however, not be practicable to give full justice to the practically infinite variety of such signs by transliterating each with a different target grapheme. We therefore classify written signs along the following lines.</w:t>
      </w:r>
      <w:r>
        <w:rPr>
          <w:rStyle w:val="Lbjegyzet-hivatkozs"/>
        </w:rPr>
        <w:footnoteReference w:id="66"/>
      </w:r>
      <w:r>
        <w:t xml:space="preserve"> An </w:t>
      </w:r>
      <w:r>
        <w:rPr>
          <w:b/>
          <w:bCs/>
        </w:rPr>
        <w:t>alphabetic sign</w:t>
      </w:r>
      <w:r>
        <w:t xml:space="preserve"> or alphabetic grapheme is one that represents speech sounds in any phonographic writing system. Thus, ‘alphabetic’ in this phrase does not imply an alphabetic writing system; in fact, we prefer referring to the alphabetic signs of alphabetic systems as letters. All other graphic signs are non-alphabetic signs. Among these, a </w:t>
      </w:r>
      <w:r>
        <w:rPr>
          <w:b/>
          <w:bCs/>
        </w:rPr>
        <w:t>numeric sign</w:t>
      </w:r>
      <w:r>
        <w:t xml:space="preserve"> or </w:t>
      </w:r>
      <w:r>
        <w:rPr>
          <w:b/>
          <w:bCs/>
        </w:rPr>
        <w:t>cipher</w:t>
      </w:r>
      <w:r>
        <w:t xml:space="preserve"> is one that denotes a number, transliterated as per #§. Alphabetic and numeric signs together are referred to as </w:t>
      </w:r>
      <w:r>
        <w:rPr>
          <w:b/>
          <w:bCs/>
        </w:rPr>
        <w:t>alphanumeric signs</w:t>
      </w:r>
      <w:r>
        <w:t xml:space="preserve">, and all others are non-alphanumeric. Among the latter, we give differential treatment to the </w:t>
      </w:r>
      <w:r>
        <w:rPr>
          <w:rStyle w:val="Foreign"/>
        </w:rPr>
        <w:t>avagraha</w:t>
      </w:r>
      <w:r>
        <w:t xml:space="preserve"> (#§), and distinguish the category of </w:t>
      </w:r>
      <w:r>
        <w:rPr>
          <w:b/>
          <w:bCs/>
        </w:rPr>
        <w:t>punctuation sign</w:t>
      </w:r>
      <w:r>
        <w:t xml:space="preserve"> (#§). All other non-alphanumeric signs are referred to as </w:t>
      </w:r>
      <w:r>
        <w:rPr>
          <w:b/>
          <w:bCs/>
        </w:rPr>
        <w:t>symbols</w:t>
      </w:r>
      <w:r>
        <w:t xml:space="preserve"> or </w:t>
      </w:r>
      <w:r>
        <w:rPr>
          <w:b/>
          <w:bCs/>
        </w:rPr>
        <w:t>miscellaneous signs</w:t>
      </w:r>
      <w:r>
        <w:t xml:space="preserve"> (#§), with the caveat that the boundary between punctuation signs and miscellaneous signs is permeable and cannot always be established objectively. Our transliteration scheme comes close to giving full justice to alphabetic signs, but becomes increasingly insensitive as we progress away from phonography. Some of the variety of non-phonographic signs may, however, be captured in the encoding of our digital editions.</w:t>
      </w:r>
    </w:p>
    <w:p w14:paraId="171EE40A" w14:textId="77777777" w:rsidR="00431357" w:rsidRDefault="00431357" w:rsidP="00431357">
      <w:pPr>
        <w:pStyle w:val="Cmsor3"/>
        <w:numPr>
          <w:ilvl w:val="2"/>
          <w:numId w:val="3"/>
        </w:numPr>
      </w:pPr>
      <w:bookmarkStart w:id="111" w:name="_Toc199757546"/>
      <w:bookmarkStart w:id="112" w:name="_Ref199772431"/>
      <w:bookmarkStart w:id="113" w:name="_Ref199772437"/>
      <w:bookmarkStart w:id="114" w:name="_Ref199774907"/>
      <w:bookmarkStart w:id="115" w:name="_Ref199838036"/>
      <w:bookmarkStart w:id="116" w:name="_Toc200963266"/>
      <w:r>
        <w:t>Fuzzy segmentation</w:t>
      </w:r>
      <w:bookmarkEnd w:id="111"/>
      <w:bookmarkEnd w:id="112"/>
      <w:bookmarkEnd w:id="113"/>
      <w:bookmarkEnd w:id="114"/>
      <w:bookmarkEnd w:id="115"/>
      <w:bookmarkEnd w:id="116"/>
    </w:p>
    <w:p w14:paraId="171F1C9E" w14:textId="77777777" w:rsidR="00431357" w:rsidRDefault="00431357" w:rsidP="00431357">
      <w:r>
        <w:t>When a writing system in the broad sense is considered with an extensive diachronic and/or synchronic scope, the class of complex characters inevitably exhibits a smooth transition to (independent) character sequences on one side and to simplex characters on the other. Such fuzzy boundaries are more prominent in alphabetic writing systems,</w:t>
      </w:r>
      <w:r>
        <w:rPr>
          <w:rStyle w:val="Lbjegyzet-hivatkozs"/>
        </w:rPr>
        <w:footnoteReference w:id="67"/>
      </w:r>
      <w:r>
        <w:t xml:space="preserve"> but they can also occur in the Indic system,</w:t>
      </w:r>
      <w:r>
        <w:rPr>
          <w:rStyle w:val="Lbjegyzet-hivatkozs"/>
        </w:rPr>
        <w:footnoteReference w:id="68"/>
      </w:r>
      <w:r>
        <w:t xml:space="preserve"> and require either special cases applicable to the writing systems of particular languages, or an arbitrary blanket decision. As a general rule of thumb for the latter, category assignment may be based on the “dominant level of graphic segmentation”, much as we have defined graphemes above on the basis of the dominant level of representational mapping. </w:t>
      </w:r>
      <w:r>
        <w:lastRenderedPageBreak/>
        <w:t>Thus, for borderline cases in the Indic writing system, we tend to assume by default that we are dealing with a complex glyph consisting of multiple graphs, rather than with a simplex glyph involving merely distinctive elements.</w:t>
      </w:r>
    </w:p>
    <w:p w14:paraId="1F9989BB" w14:textId="77777777" w:rsidR="00431357" w:rsidRDefault="00431357" w:rsidP="00BE27A3">
      <w:pPr>
        <w:pStyle w:val="Normlbehzs"/>
      </w:pPr>
      <w:r>
        <w:t xml:space="preserve">The status of the </w:t>
      </w:r>
      <w:r>
        <w:rPr>
          <w:rStyle w:val="Foreign"/>
        </w:rPr>
        <w:t>visarga</w:t>
      </w:r>
      <w:r>
        <w:t xml:space="preserve"> and the </w:t>
      </w:r>
      <w:r>
        <w:rPr>
          <w:rStyle w:val="Foreign"/>
        </w:rPr>
        <w:t>anusvāra</w:t>
      </w:r>
      <w:r>
        <w:t xml:space="preserve"> (along with its variants) remains open: they are traditionally considered to be dependent on </w:t>
      </w:r>
      <w:r>
        <w:rPr>
          <w:rStyle w:val="Foreign"/>
        </w:rPr>
        <w:t>akṣaras</w:t>
      </w:r>
      <w:r>
        <w:t xml:space="preserve">, but they are always graphetically distinct, and can in many specific writing systems occupy a separate segmental space of their own, be physically separated from their “parent” </w:t>
      </w:r>
      <w:r>
        <w:rPr>
          <w:rStyle w:val="Foreign"/>
        </w:rPr>
        <w:t>akṣara</w:t>
      </w:r>
      <w:r>
        <w:t xml:space="preserve"> by a physical feature, or be graphetically associated with the following character. For the former reason, they are thus arguably components in our terms, while for the latter reason it may be argued that they are independent simplex characters.</w:t>
      </w:r>
      <w:r>
        <w:rPr>
          <w:rStyle w:val="Lbjegyzet-hivatkozs"/>
        </w:rPr>
        <w:footnoteReference w:id="69"/>
      </w:r>
      <w:r>
        <w:t xml:space="preserve"> As far as transliteration is concerned, the question is irrelevant: in either case they are graphemes in their own right, and are thus represented in transliteration by an equivalent grapheme, which in turn is always an independent segment in transliteration.</w:t>
      </w:r>
    </w:p>
    <w:p w14:paraId="6045847A" w14:textId="77777777" w:rsidR="00431357" w:rsidRDefault="00431357" w:rsidP="00431357">
      <w:pPr>
        <w:pStyle w:val="Cmsor2"/>
        <w:numPr>
          <w:ilvl w:val="1"/>
          <w:numId w:val="3"/>
        </w:numPr>
      </w:pPr>
      <w:bookmarkStart w:id="117" w:name="_Ref199778013"/>
      <w:bookmarkStart w:id="118" w:name="_Toc200963267"/>
      <w:r>
        <w:t>Revisiting allography</w:t>
      </w:r>
      <w:bookmarkEnd w:id="117"/>
      <w:bookmarkEnd w:id="118"/>
    </w:p>
    <w:p w14:paraId="65F82957" w14:textId="77777777" w:rsidR="00431357" w:rsidRDefault="00431357" w:rsidP="00431357">
      <w:r>
        <w:t xml:space="preserve">By our definition, different graphs that signify </w:t>
      </w:r>
      <w:r>
        <w:rPr>
          <w:lang w:bidi="sa-IN"/>
        </w:rPr>
        <w:t xml:space="preserve">the same linguistic information as far as the dominant level of representational mapping (i.e. in our case, the level of abstract phonemes) is concerned cannot be considered different graphemes. Therefore, the graphs expressing the grapheme </w:t>
      </w:r>
      <w:r>
        <w:t>&lt;r&gt; in Devanagari |</w:t>
      </w:r>
      <w:r>
        <w:rPr>
          <w:rStyle w:val="ForeignDevanagariScript"/>
          <w:rFonts w:hint="cs"/>
          <w:cs/>
        </w:rPr>
        <w:t>र</w:t>
      </w:r>
      <w:r>
        <w:rPr>
          <w:lang w:bidi="sa-IN"/>
        </w:rPr>
        <w:t>| (&lt;ra&gt;), |</w:t>
      </w:r>
      <w:r>
        <w:rPr>
          <w:rStyle w:val="ForeignDevanagariScript"/>
          <w:rFonts w:hint="cs"/>
          <w:cs/>
        </w:rPr>
        <w:t>र्क</w:t>
      </w:r>
      <w:r>
        <w:rPr>
          <w:lang w:bidi="sa-IN"/>
        </w:rPr>
        <w:t>| (&lt;rka&gt;) and |</w:t>
      </w:r>
      <w:r>
        <w:rPr>
          <w:rStyle w:val="ForeignDevanagariScript"/>
          <w:rFonts w:hint="cs"/>
          <w:cs/>
        </w:rPr>
        <w:t>क्र</w:t>
      </w:r>
      <w:r>
        <w:rPr>
          <w:lang w:bidi="sa-IN"/>
        </w:rPr>
        <w:t xml:space="preserve">| (&lt;kra&gt;), those expressing &lt;u&gt; in </w:t>
      </w:r>
      <w:r>
        <w:t>Devanagari |</w:t>
      </w:r>
      <w:r>
        <w:rPr>
          <w:rStyle w:val="ForeignDevanagariScript"/>
          <w:cs/>
        </w:rPr>
        <w:t>उ</w:t>
      </w:r>
      <w:r>
        <w:t xml:space="preserve">| </w:t>
      </w:r>
      <w:r>
        <w:rPr>
          <w:lang w:bidi="sa-IN"/>
        </w:rPr>
        <w:t>(&lt;u&gt;)</w:t>
      </w:r>
      <w:r>
        <w:t>, |</w:t>
      </w:r>
      <w:r>
        <w:rPr>
          <w:rStyle w:val="ForeignDevanagariScript"/>
          <w:rFonts w:hint="cs"/>
          <w:cs/>
        </w:rPr>
        <w:t>कु</w:t>
      </w:r>
      <w:r>
        <w:t xml:space="preserve">| </w:t>
      </w:r>
      <w:r>
        <w:rPr>
          <w:lang w:bidi="sa-IN"/>
        </w:rPr>
        <w:t>(&lt;ku&gt;)</w:t>
      </w:r>
      <w:r>
        <w:t xml:space="preserve"> and |</w:t>
      </w:r>
      <w:r>
        <w:rPr>
          <w:rStyle w:val="ForeignDevanagariScript"/>
          <w:rFonts w:hint="cs"/>
          <w:cs/>
        </w:rPr>
        <w:t>रु</w:t>
      </w:r>
      <w:r>
        <w:t xml:space="preserve">| </w:t>
      </w:r>
      <w:r>
        <w:rPr>
          <w:lang w:bidi="sa-IN"/>
        </w:rPr>
        <w:t>(&lt;ru&gt;)</w:t>
      </w:r>
      <w:r>
        <w:t>, and those expressing &lt;t&gt; in Bengali |</w:t>
      </w:r>
      <w:r>
        <w:rPr>
          <w:rStyle w:val="ForeignBengaliScript"/>
          <w:rFonts w:hint="cs"/>
          <w:cs/>
        </w:rPr>
        <w:t>ত</w:t>
      </w:r>
      <w:r>
        <w:t xml:space="preserve">| </w:t>
      </w:r>
      <w:r>
        <w:rPr>
          <w:lang w:bidi="sa-IN"/>
        </w:rPr>
        <w:t>(&lt;ta&gt;)</w:t>
      </w:r>
      <w:r>
        <w:t xml:space="preserve"> and |</w:t>
      </w:r>
      <w:r>
        <w:rPr>
          <w:rStyle w:val="ForeignBengaliScript"/>
          <w:cs/>
        </w:rPr>
        <w:t>ৎ</w:t>
      </w:r>
      <w:r>
        <w:t xml:space="preserve">| </w:t>
      </w:r>
      <w:r>
        <w:rPr>
          <w:lang w:bidi="sa-IN"/>
        </w:rPr>
        <w:t>(final &lt;t&gt;)</w:t>
      </w:r>
      <w:r>
        <w:t xml:space="preserve"> </w:t>
      </w:r>
      <w:r>
        <w:rPr>
          <w:lang w:bidi="sa-IN"/>
        </w:rPr>
        <w:t xml:space="preserve">must be deemed allographs. </w:t>
      </w:r>
      <w:r>
        <w:t>We feel, however, that the alternation of such forms is different, and more fundamental, than the “simple” allography exemplified by the alternation of Devanagari |</w:t>
      </w:r>
      <w:r>
        <w:rPr>
          <w:rStyle w:val="ForeignDevanagariScript"/>
          <w:cs/>
        </w:rPr>
        <w:t>अ</w:t>
      </w:r>
      <w:r>
        <w:t>|, |</w:t>
      </w:r>
      <w:r>
        <w:rPr>
          <w:rStyle w:val="ForeignDevanagariAlt"/>
          <w:rFonts w:asciiTheme="majorBidi" w:hAnsiTheme="majorBidi" w:cstheme="majorBidi"/>
          <w:cs/>
        </w:rPr>
        <w:t>अ</w:t>
      </w:r>
      <w:r>
        <w:t>| and |</w:t>
      </w:r>
      <w:r>
        <w:rPr>
          <w:rFonts w:ascii="Uttara" w:hAnsi="Uttara" w:cs="Uttara"/>
          <w:cs/>
          <w14:ligatures w14:val="all"/>
        </w:rPr>
        <w:t>अ</w:t>
      </w:r>
      <w:r>
        <w:t>| (for &lt;a&gt;) or |</w:t>
      </w:r>
      <w:r>
        <w:rPr>
          <w:rStyle w:val="ForeignDevanagariScript"/>
          <w:rFonts w:hint="cs"/>
          <w:cs/>
        </w:rPr>
        <w:t>झ</w:t>
      </w:r>
      <w:r>
        <w:t>|, |</w:t>
      </w:r>
      <w:r>
        <w:rPr>
          <w:rStyle w:val="ForeignDevanagariAlt"/>
          <w:rFonts w:asciiTheme="majorBidi" w:hAnsiTheme="majorBidi" w:cstheme="majorBidi"/>
          <w:cs/>
        </w:rPr>
        <w:t>झ</w:t>
      </w:r>
      <w:r>
        <w:t>| and |</w:t>
      </w:r>
      <w:r>
        <w:rPr>
          <w:rStyle w:val="ForeignDevanagariAlt"/>
          <w:rFonts w:hint="cs"/>
          <w:cs/>
        </w:rPr>
        <w:t>झ</w:t>
      </w:r>
      <w:r>
        <w:t xml:space="preserve">| (for &lt;jha&gt;). </w:t>
      </w:r>
      <w:bookmarkStart w:id="119" w:name="_Hlk198560684"/>
      <w:r>
        <w:t xml:space="preserve">In other writing systems, allography of the more fundamental kind may be exemplified by </w:t>
      </w:r>
      <w:r>
        <w:rPr>
          <w:lang w:bidi="sa-IN"/>
        </w:rPr>
        <w:t>Roman</w:t>
      </w:r>
      <w:r>
        <w:t xml:space="preserve"> |a| and |A|, Greek |σ| and |ς| (allographs of the grapheme &lt;s&gt;, the former being used in medial positions, the latter in final positions), or the isolated, initial, medial and final forms of Arabic script. The distinction might be grasped in terms of supplementary linguistic information carried by the graphs in question. We have restricted the linguistic information of a grapheme (in the strict sense) to linguistic units at the dominant level of representational mapping, but we have recognised that other kinds of linguistic information may also be expressed by various elements of writing, which thus also have a graphematic role. </w:t>
      </w:r>
    </w:p>
    <w:p w14:paraId="7C56D375" w14:textId="77777777" w:rsidR="00431357" w:rsidRDefault="00431357" w:rsidP="00BE27A3">
      <w:pPr>
        <w:pStyle w:val="Normlbehzs"/>
        <w:rPr>
          <w:lang w:bidi="sa-IN"/>
        </w:rPr>
      </w:pPr>
      <w:r>
        <w:t>Accordingly, we advance that allography may be viewed as being of three kinds: graphetic, graphotactic and graphematic.</w:t>
      </w:r>
      <w:r>
        <w:rPr>
          <w:rStyle w:val="Lbjegyzet-hivatkozs"/>
        </w:rPr>
        <w:footnoteReference w:id="70"/>
      </w:r>
      <w:r>
        <w:t xml:space="preserve"> </w:t>
      </w:r>
      <w:r>
        <w:rPr>
          <w:b/>
          <w:bCs/>
        </w:rPr>
        <w:t>Graphetic allographs</w:t>
      </w:r>
      <w:r>
        <w:t xml:space="preserve"> are alternative graphs which do not signify any linguistic information other than that contained in the grapheme, as in Devanagari |</w:t>
      </w:r>
      <w:r>
        <w:rPr>
          <w:rStyle w:val="ForeignDevanagariScript"/>
          <w:cs/>
        </w:rPr>
        <w:t>अ</w:t>
      </w:r>
      <w:r>
        <w:t>|, |</w:t>
      </w:r>
      <w:r>
        <w:rPr>
          <w:rStyle w:val="ForeignDevanagariAlt"/>
          <w:rFonts w:asciiTheme="majorBidi" w:hAnsiTheme="majorBidi" w:cstheme="majorBidi"/>
          <w:cs/>
        </w:rPr>
        <w:t>अ</w:t>
      </w:r>
      <w:r>
        <w:t>| and |</w:t>
      </w:r>
      <w:r>
        <w:rPr>
          <w:rFonts w:ascii="Uttara" w:hAnsi="Uttara" w:cs="Uttara"/>
          <w:cs/>
          <w14:ligatures w14:val="all"/>
        </w:rPr>
        <w:t>अ</w:t>
      </w:r>
      <w:r>
        <w:t>| or |</w:t>
      </w:r>
      <w:r>
        <w:rPr>
          <w:rStyle w:val="ForeignDevanagariScript"/>
          <w:rFonts w:hint="cs"/>
          <w:cs/>
        </w:rPr>
        <w:t>झ</w:t>
      </w:r>
      <w:r>
        <w:t>|, |</w:t>
      </w:r>
      <w:r>
        <w:rPr>
          <w:rStyle w:val="ForeignDevanagariAlt"/>
          <w:rFonts w:asciiTheme="majorBidi" w:hAnsiTheme="majorBidi" w:cstheme="majorBidi"/>
          <w:cs/>
        </w:rPr>
        <w:t>झ</w:t>
      </w:r>
      <w:r>
        <w:t>| and |</w:t>
      </w:r>
      <w:r>
        <w:rPr>
          <w:rStyle w:val="ForeignDevanagariAlt"/>
          <w:rFonts w:hint="cs"/>
          <w:cs/>
        </w:rPr>
        <w:t>झ</w:t>
      </w:r>
      <w:r>
        <w:t>|.</w:t>
      </w:r>
      <w:r>
        <w:rPr>
          <w:rStyle w:val="Lbjegyzet-hivatkozs"/>
        </w:rPr>
        <w:footnoteReference w:id="71"/>
      </w:r>
      <w:r>
        <w:t xml:space="preserve"> </w:t>
      </w:r>
      <w:r>
        <w:rPr>
          <w:b/>
          <w:bCs/>
        </w:rPr>
        <w:t>Graphotactic allographs</w:t>
      </w:r>
      <w:r>
        <w:t xml:space="preserve"> are alternative graphs of which the rules of the writing system permit only one in a given graphematic context, as in the &lt;r&gt; of </w:t>
      </w:r>
      <w:r>
        <w:rPr>
          <w:lang w:bidi="sa-IN"/>
        </w:rPr>
        <w:t>|</w:t>
      </w:r>
      <w:r>
        <w:rPr>
          <w:rStyle w:val="ForeignDevanagariScript"/>
          <w:rFonts w:hint="cs"/>
          <w:cs/>
        </w:rPr>
        <w:t>र्क</w:t>
      </w:r>
      <w:r>
        <w:rPr>
          <w:lang w:bidi="sa-IN"/>
        </w:rPr>
        <w:t>| and |</w:t>
      </w:r>
      <w:r>
        <w:rPr>
          <w:rStyle w:val="ForeignDevanagariScript"/>
          <w:rFonts w:hint="cs"/>
          <w:cs/>
        </w:rPr>
        <w:t>क्र</w:t>
      </w:r>
      <w:r>
        <w:rPr>
          <w:lang w:bidi="sa-IN"/>
        </w:rPr>
        <w:t xml:space="preserve">| or the &lt;u&gt; of </w:t>
      </w:r>
      <w:r>
        <w:t>|</w:t>
      </w:r>
      <w:r>
        <w:rPr>
          <w:rStyle w:val="ForeignDevanagariScript"/>
          <w:rFonts w:hint="cs"/>
          <w:cs/>
        </w:rPr>
        <w:t>कु</w:t>
      </w:r>
      <w:r>
        <w:t>| and |</w:t>
      </w:r>
      <w:r>
        <w:rPr>
          <w:rStyle w:val="ForeignDevanagariScript"/>
          <w:rFonts w:hint="cs"/>
          <w:cs/>
        </w:rPr>
        <w:t>रु</w:t>
      </w:r>
      <w:r>
        <w:t>|.</w:t>
      </w:r>
      <w:bookmarkStart w:id="120" w:name="_Ref199772349"/>
      <w:r>
        <w:rPr>
          <w:rStyle w:val="Lbjegyzet-hivatkozs"/>
        </w:rPr>
        <w:footnoteReference w:id="72"/>
      </w:r>
      <w:bookmarkEnd w:id="120"/>
      <w:r>
        <w:t xml:space="preserve"> Such allographs </w:t>
      </w:r>
      <w:r>
        <w:lastRenderedPageBreak/>
        <w:t xml:space="preserve">carry implicit information about the grapheme’s context, i.e. linguistic information other than that present in the grapheme proper. This information may provide clues for reconstructing the context of a legible graph in a damaged inscription, but the writer does not have the option of substituting one graphotactic allograph for another. Finally, </w:t>
      </w:r>
      <w:r>
        <w:rPr>
          <w:b/>
          <w:bCs/>
        </w:rPr>
        <w:t>graphematic allographs</w:t>
      </w:r>
      <w:r>
        <w:t xml:space="preserve"> are alternative graphs which potentially signify linguistic information in addition to, and at a different level than, that inherent in the grapheme, as in Devanagari |</w:t>
      </w:r>
      <w:r>
        <w:rPr>
          <w:rStyle w:val="ForeignDevanagariScript"/>
          <w:rFonts w:hint="cs"/>
          <w:cs/>
        </w:rPr>
        <w:t>र</w:t>
      </w:r>
      <w:r>
        <w:rPr>
          <w:lang w:bidi="sa-IN"/>
        </w:rPr>
        <w:t>| versus (|</w:t>
      </w:r>
      <w:r>
        <w:rPr>
          <w:rStyle w:val="ForeignDevanagariScript"/>
          <w:rFonts w:hint="cs"/>
          <w:cs/>
        </w:rPr>
        <w:t>र्क</w:t>
      </w:r>
      <w:r>
        <w:rPr>
          <w:lang w:bidi="sa-IN"/>
        </w:rPr>
        <w:t>| and |</w:t>
      </w:r>
      <w:r>
        <w:rPr>
          <w:rStyle w:val="ForeignDevanagariScript"/>
          <w:rFonts w:hint="cs"/>
          <w:cs/>
        </w:rPr>
        <w:t>क्र</w:t>
      </w:r>
      <w:r>
        <w:rPr>
          <w:lang w:bidi="sa-IN"/>
        </w:rPr>
        <w:t xml:space="preserve">|) or </w:t>
      </w:r>
      <w:r>
        <w:t>|</w:t>
      </w:r>
      <w:r>
        <w:rPr>
          <w:rStyle w:val="ForeignDevanagariScript"/>
          <w:cs/>
        </w:rPr>
        <w:t>उ</w:t>
      </w:r>
      <w:r>
        <w:t>| versus (|</w:t>
      </w:r>
      <w:r>
        <w:rPr>
          <w:rStyle w:val="ForeignDevanagariScript"/>
          <w:rFonts w:hint="cs"/>
          <w:cs/>
        </w:rPr>
        <w:t>कु</w:t>
      </w:r>
      <w:r>
        <w:t>| and |</w:t>
      </w:r>
      <w:r>
        <w:rPr>
          <w:rStyle w:val="ForeignDevanagariScript"/>
          <w:rFonts w:hint="cs"/>
          <w:cs/>
        </w:rPr>
        <w:t>रु</w:t>
      </w:r>
      <w:r>
        <w:t>|), or in Roman |a| and |A|.</w:t>
      </w:r>
      <w:r>
        <w:rPr>
          <w:rStyle w:val="Lbjegyzet-hivatkozs"/>
        </w:rPr>
        <w:footnoteReference w:id="73"/>
      </w:r>
      <w:r>
        <w:t xml:space="preserve"> This choice is determined (or at least influenced) by linguistic context, but not by the graphematic context. The writer can deliberately employ one allograph or the other in order to express in writing an aspect of language that is not conveyed in the graphemes themselves. Consider the Sanskrit words </w:t>
      </w:r>
      <w:r>
        <w:rPr>
          <w:rStyle w:val="Foreign"/>
        </w:rPr>
        <w:t>kr̥tam etat</w:t>
      </w:r>
      <w:r>
        <w:t xml:space="preserve"> written in Devanagari once as </w:t>
      </w:r>
      <w:r>
        <w:rPr>
          <w:lang w:bidi="sa-IN"/>
        </w:rPr>
        <w:t>|</w:t>
      </w:r>
      <w:r>
        <w:rPr>
          <w:rStyle w:val="ForeignDevanagariScript"/>
          <w:rFonts w:hint="cs"/>
          <w:cs/>
        </w:rPr>
        <w:t>कृतम्एतत्</w:t>
      </w:r>
      <w:r>
        <w:t>| and once as |</w:t>
      </w:r>
      <w:r>
        <w:rPr>
          <w:rStyle w:val="ForeignDevanagariScript"/>
          <w:rFonts w:hint="cs"/>
          <w:cs/>
        </w:rPr>
        <w:t>कृतमेतत्</w:t>
      </w:r>
      <w:r>
        <w:t xml:space="preserve">|, or in </w:t>
      </w:r>
      <w:r>
        <w:rPr>
          <w:lang w:bidi="sa-IN"/>
        </w:rPr>
        <w:t>early Brāhmī as |</w:t>
      </w:r>
      <w:r>
        <w:rPr>
          <w:rStyle w:val="ForeignBrahmiScript"/>
        </w:rPr>
        <w:t>𑀓</w:t>
      </w:r>
      <w:r>
        <w:rPr>
          <w:rStyle w:val="ForeignBrahmiScript"/>
          <w:rFonts w:hint="cs"/>
        </w:rPr>
        <w:t>𑀾𑀢</w:t>
      </w:r>
      <w:r>
        <w:rPr>
          <w:rStyle w:val="ForeignBrahmiScript"/>
          <w:rFonts w:hint="cs"/>
          <w:vertAlign w:val="subscript"/>
        </w:rPr>
        <w:t>𑀫</w:t>
      </w:r>
      <w:r>
        <w:rPr>
          <w:rStyle w:val="ForeignBrahmiScript"/>
          <w:rFonts w:hint="cs"/>
        </w:rPr>
        <w:t>𑀋𑀢</w:t>
      </w:r>
      <w:r>
        <w:rPr>
          <w:rStyle w:val="ForeignBrahmiScript"/>
          <w:rFonts w:hint="cs"/>
          <w:vertAlign w:val="subscript"/>
        </w:rPr>
        <w:t>𑀢</w:t>
      </w:r>
      <w:r>
        <w:rPr>
          <w:lang w:bidi="sa-IN"/>
        </w:rPr>
        <w:t>| (involving the final allograph of &lt;m&gt; and the initial allograph of &lt;e&gt;) and as |</w:t>
      </w:r>
      <w:r>
        <w:rPr>
          <w:rStyle w:val="ForeignBrahmiScript"/>
        </w:rPr>
        <w:t>𑀓</w:t>
      </w:r>
      <w:r>
        <w:rPr>
          <w:rStyle w:val="ForeignBrahmiScript"/>
          <w:rFonts w:hint="cs"/>
        </w:rPr>
        <w:t>𑀾𑀢𑀫𑁂𑀢</w:t>
      </w:r>
      <w:r>
        <w:rPr>
          <w:rStyle w:val="ForeignBrahmiScript"/>
          <w:rFonts w:hint="cs"/>
          <w:vertAlign w:val="subscript"/>
        </w:rPr>
        <w:t>𑀢</w:t>
      </w:r>
      <w:r>
        <w:rPr>
          <w:lang w:bidi="sa-IN"/>
        </w:rPr>
        <w:t xml:space="preserve">| (involving the </w:t>
      </w:r>
      <w:r>
        <w:rPr>
          <w:rStyle w:val="Foreign"/>
        </w:rPr>
        <w:t>akṣara</w:t>
      </w:r>
      <w:r>
        <w:rPr>
          <w:lang w:bidi="sa-IN"/>
        </w:rPr>
        <w:t xml:space="preserve"> &lt;me&gt;).</w:t>
      </w:r>
      <w:r>
        <w:rPr>
          <w:rStyle w:val="Lbjegyzet-hivatkozs"/>
        </w:rPr>
        <w:footnoteReference w:id="74"/>
      </w:r>
      <w:r>
        <w:rPr>
          <w:lang w:bidi="sa-IN"/>
        </w:rPr>
        <w:t xml:space="preserve"> Both are legitimate alternatives in either writing system, but the former in both cases carries additional linguistic information: it implies a pause (and hence, a syntactical or semantic boundary analogous to that expressed by punctuation) between the two words. Likewise, the use of a Roman capital letter instead of a lowercase one can, among other things, indicate the beginning of a sentence or the beginning of a proper name.</w:t>
      </w:r>
    </w:p>
    <w:p w14:paraId="29FB1C14" w14:textId="2BC45E05" w:rsidR="00431357" w:rsidRDefault="00431357" w:rsidP="00BE27A3">
      <w:pPr>
        <w:pStyle w:val="Normlbehzs"/>
      </w:pPr>
      <w:r>
        <w:t xml:space="preserve">As usual, our definitions leave us with fuzzy borderline cases. To be sure, practically any graphic feature can be a </w:t>
      </w:r>
      <w:r>
        <w:rPr>
          <w:i/>
          <w:iCs/>
        </w:rPr>
        <w:t>potential</w:t>
      </w:r>
      <w:r>
        <w:t xml:space="preserve"> carrier of additional linguistic (or sort-of-linguistic) information, and thus have a graphematic role. Switching to a different graph inventory — such as italics for emphasis in a Roman text, Grantha for a Sanskrit word in a Tamil text, or a more ornate script for the royal signature on an Indic inscription — often does have a graphematic function. With Meletis </w:t>
      </w:r>
      <w:r>
        <w:fldChar w:fldCharType="begin"/>
      </w:r>
      <w:r>
        <w:instrText xml:space="preserve"> ADDIN ZOTERO_ITEM CSL_CITATION {"citationID":"lN3vxjir","properties":{"formattedCitation":"(2020b, 256\\uc0\\u8211{}57)","plainCitation":"(2020b, 256–57)","noteIndex":0},"citationItems":[{"id":25429,"uris":["http://zotero.org/groups/1633743/items/2FVI2WXH"],"itemData":{"id":25429,"type":"article-journal","container-title":"Open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256-257","label":"page","suppress-author":true}],"schema":"https://github.com/citation-style-language/schema/raw/master/csl-citation.json"} </w:instrText>
      </w:r>
      <w:r>
        <w:fldChar w:fldCharType="separate"/>
      </w:r>
      <w:r>
        <w:rPr>
          <w:rFonts w:cs="Gentium Plus"/>
          <w:kern w:val="0"/>
          <w:szCs w:val="24"/>
        </w:rPr>
        <w:t>(2020b, 256–57)</w:t>
      </w:r>
      <w:r>
        <w:fldChar w:fldCharType="end"/>
      </w:r>
      <w:r>
        <w:t xml:space="preserve"> we consider suprasegmental variation, i.e. the use of a different inventory for chunks larger than a graphetic segment (as in all of the above examples), to be outside the domain of allography.</w:t>
      </w:r>
      <w:r>
        <w:rPr>
          <w:rStyle w:val="Lbjegyzet-hivatkozs"/>
        </w:rPr>
        <w:footnoteReference w:id="75"/>
      </w:r>
      <w:r>
        <w:t xml:space="preserve"> Epigraphic examples of allographic variation on or below the level of segments include the use of alternate glyphs (e.g. a northern-class Middle Brāhmī &lt;ma&gt; in one spot while other instances of that grapheme in the same inscription are southern-class glyphs; or the use of a cursive form of &lt;lo&gt; while other instances of that grapheme involve a separable consonant base and vowel marker) and the use of alternate glyph composition (e.g. the conjunct &lt;rya&gt; written with the body allograph of &lt;r&gt; and a subscript &lt;y&gt; instead of the standard superscript &lt;r&gt; and body &lt;y&gt;). The semantic implications of such variation, if any, are vague and unlikely to be expressible in terms of language. On the whole, therefore, the only phenomenon we recognise as graphematic allography in the Indic writing system is the alternation of in-</w:t>
      </w:r>
      <w:r>
        <w:rPr>
          <w:rStyle w:val="Foreign"/>
        </w:rPr>
        <w:t>akṣara</w:t>
      </w:r>
      <w:r>
        <w:t xml:space="preserve"> allographs with independent allographs.</w:t>
      </w:r>
    </w:p>
    <w:p w14:paraId="5A7F0BA2" w14:textId="6CB8E63E" w:rsidR="00FA7FDE" w:rsidRDefault="00431357" w:rsidP="007465A4">
      <w:pPr>
        <w:pStyle w:val="Cmsor1"/>
      </w:pPr>
      <w:bookmarkStart w:id="121" w:name="_57r22m5k1jra" w:colFirst="0" w:colLast="0"/>
      <w:bookmarkStart w:id="122" w:name="_xkwt6pqamcvz" w:colFirst="0" w:colLast="0"/>
      <w:bookmarkStart w:id="123" w:name="_Toc200963268"/>
      <w:bookmarkStart w:id="124" w:name="_Toc17811419"/>
      <w:bookmarkStart w:id="125" w:name="_Toc17811474"/>
      <w:bookmarkEnd w:id="24"/>
      <w:bookmarkEnd w:id="25"/>
      <w:bookmarkEnd w:id="26"/>
      <w:bookmarkEnd w:id="27"/>
      <w:bookmarkEnd w:id="62"/>
      <w:bookmarkEnd w:id="69"/>
      <w:bookmarkEnd w:id="119"/>
      <w:bookmarkEnd w:id="121"/>
      <w:bookmarkEnd w:id="122"/>
      <w:r>
        <w:lastRenderedPageBreak/>
        <w:t>General principles</w:t>
      </w:r>
      <w:bookmarkStart w:id="126" w:name="_Ref199919606"/>
      <w:r w:rsidR="007465A4">
        <w:t xml:space="preserve"> of t</w:t>
      </w:r>
      <w:r w:rsidR="00FA7FDE">
        <w:t>he DHARMA transliteration scheme</w:t>
      </w:r>
      <w:bookmarkEnd w:id="123"/>
    </w:p>
    <w:p w14:paraId="56EE392A" w14:textId="77777777" w:rsidR="00FA7FDE" w:rsidRDefault="00FA7FDE" w:rsidP="007465A4">
      <w:pPr>
        <w:pStyle w:val="Cmsor2"/>
      </w:pPr>
      <w:bookmarkStart w:id="127" w:name="_Toc200963269"/>
      <w:r>
        <w:t>DHARMA transliteration, ISO-15919 and IAST</w:t>
      </w:r>
      <w:bookmarkEnd w:id="127"/>
    </w:p>
    <w:p w14:paraId="0C13EF01" w14:textId="77777777" w:rsidR="00FA7FDE" w:rsidRPr="004045EF" w:rsidRDefault="00FA7FDE" w:rsidP="007465A4">
      <w:r>
        <w:t xml:space="preserve">Aside from increasingly obsolete ASCII-based transliteration schemes optimised for computer processing, the only internationally prevalent schemes for the Romanisation of Indic scripts are ISO-15919 and IAST (the </w:t>
      </w:r>
      <w:r w:rsidRPr="0077512E">
        <w:t>International Alphabet of Sanskrit Transliteration</w:t>
      </w:r>
      <w:r>
        <w:t>).</w:t>
      </w:r>
      <w:r>
        <w:rPr>
          <w:rStyle w:val="Lbjegyzet-hivatkozs"/>
        </w:rPr>
        <w:footnoteReference w:id="76"/>
      </w:r>
      <w:r>
        <w:t xml:space="preserve"> The latter is the most widely used among Sanskritists, but provides no distinction for some graphemes associated with other Indian languages. For this reason, the DHARMA transliteration scheme is based on the ISO-15919 scheme, extending it in order to handle graphemes of specific writing systems not covered in the standard, and modifying it in some small details in order to allow for the representation of certain graphetic details and editorial alterations. The key difference between IAST and ISO-15919 (as well as the DMARMA scheme) is that the former employs underdotted </w:t>
      </w:r>
      <w:r>
        <w:rPr>
          <w:rStyle w:val="Foreign"/>
        </w:rPr>
        <w:t>ṃ</w:t>
      </w:r>
      <w:r>
        <w:t xml:space="preserve"> for the </w:t>
      </w:r>
      <w:r>
        <w:rPr>
          <w:rStyle w:val="Foreign"/>
        </w:rPr>
        <w:t>anusvāra</w:t>
      </w:r>
      <w:r>
        <w:t xml:space="preserve"> and underdotted </w:t>
      </w:r>
      <w:r>
        <w:rPr>
          <w:rStyle w:val="Foreign"/>
        </w:rPr>
        <w:t>ṛ</w:t>
      </w:r>
      <w:r w:rsidRPr="004045EF">
        <w:t xml:space="preserve">, </w:t>
      </w:r>
      <w:r>
        <w:rPr>
          <w:rStyle w:val="Foreign"/>
        </w:rPr>
        <w:t>ṝ</w:t>
      </w:r>
      <w:r w:rsidRPr="004045EF">
        <w:t xml:space="preserve"> and </w:t>
      </w:r>
      <w:r>
        <w:rPr>
          <w:rStyle w:val="Foreign"/>
        </w:rPr>
        <w:t>ḷ</w:t>
      </w:r>
      <w:r>
        <w:t xml:space="preserve"> for vocalic consonants, while in the latter, </w:t>
      </w:r>
      <w:r>
        <w:rPr>
          <w:rStyle w:val="Foreign"/>
        </w:rPr>
        <w:t>anusvāra</w:t>
      </w:r>
      <w:r>
        <w:t xml:space="preserve"> is transliterated </w:t>
      </w:r>
      <w:r>
        <w:rPr>
          <w:rStyle w:val="Foreign"/>
        </w:rPr>
        <w:t>ṁ</w:t>
      </w:r>
      <w:r>
        <w:t xml:space="preserve"> with a dot above, and the vocals </w:t>
      </w:r>
      <w:r>
        <w:rPr>
          <w:rStyle w:val="Foreign"/>
        </w:rPr>
        <w:t>r̥</w:t>
      </w:r>
      <w:r>
        <w:t xml:space="preserve">, </w:t>
      </w:r>
      <w:r>
        <w:rPr>
          <w:rStyle w:val="Foreign"/>
        </w:rPr>
        <w:t>r̥̄</w:t>
      </w:r>
      <w:r>
        <w:t xml:space="preserve"> and </w:t>
      </w:r>
      <w:r>
        <w:rPr>
          <w:rStyle w:val="Foreign"/>
        </w:rPr>
        <w:t>l̥</w:t>
      </w:r>
      <w:r>
        <w:t xml:space="preserve"> with an undercircle.</w:t>
      </w:r>
    </w:p>
    <w:p w14:paraId="73C4BEAB" w14:textId="77777777" w:rsidR="00FA7FDE" w:rsidRDefault="00FA7FDE" w:rsidP="007465A4">
      <w:pPr>
        <w:pStyle w:val="Cmsor2"/>
      </w:pPr>
      <w:bookmarkStart w:id="128" w:name="_lop6n9htgo3f" w:colFirst="0" w:colLast="0"/>
      <w:bookmarkStart w:id="129" w:name="_Toc17811420"/>
      <w:bookmarkStart w:id="130" w:name="_Toc17811475"/>
      <w:bookmarkStart w:id="131" w:name="_Toc200963270"/>
      <w:bookmarkEnd w:id="128"/>
      <w:r>
        <w:t>Case sensitivity</w:t>
      </w:r>
      <w:bookmarkEnd w:id="129"/>
      <w:bookmarkEnd w:id="130"/>
      <w:bookmarkEnd w:id="131"/>
    </w:p>
    <w:p w14:paraId="5DD3A6FF" w14:textId="40F37CDC" w:rsidR="00FA7FDE" w:rsidRPr="004045EF" w:rsidRDefault="00FA7FDE" w:rsidP="007465A4">
      <w:r>
        <w:t xml:space="preserve">The ISO-15919 scheme is case-insensitive </w:t>
      </w:r>
      <w:r>
        <w:fldChar w:fldCharType="begin"/>
      </w:r>
      <w:r>
        <w:instrText xml:space="preserve"> ADDIN ZOTERO_ITEM CSL_CITATION {"citationID":"x9fUoeUY","properties":{"formattedCitation":"(International Organization for Standardization 2001, 16, \\uc0\\u167{}8.1.1)","plainCitation":"(International Organization for Standardization 2001, 16, §8.1.1)","noteIndex":0},"citationItems":[{"id":19377,"uris":["http://zotero.org/groups/1633743/items/P2JEJ9R5"],"itemData":{"id":19377,"type":"book","event-place":"Geneva","language":"English","note":"OCLC: 181008314","publisher":"International Organization for Standardization","publisher-place":"Geneva","title":"International Standard ISO 15919: Information and documentation, transliteration of Devanagari and related Indic scripts into Latin characters = Information et documentation, translittération du Devanagari et des écritures indiennes liées en caractères latins","title-short":"ISO15919","author":[{"literal":"International Organization for Standardization"}],"issued":{"date-parts":[["2001"]]}},"locator":"16","label":"page","suffix":", §8.1.1"}],"schema":"https://github.com/citation-style-language/schema/raw/master/csl-citation.json"} </w:instrText>
      </w:r>
      <w:r>
        <w:fldChar w:fldCharType="separate"/>
      </w:r>
      <w:r w:rsidRPr="004045EF">
        <w:rPr>
          <w:rFonts w:cs="Gentium"/>
          <w:kern w:val="0"/>
          <w:szCs w:val="24"/>
        </w:rPr>
        <w:t>(International Organization for Standardization 2001, 16, §8.1.1)</w:t>
      </w:r>
      <w:r>
        <w:fldChar w:fldCharType="end"/>
      </w:r>
      <w:r>
        <w:t>. Strict DHARMA transliteration, in contrast, is case sensitive in order to give distinction to graphematic allographs in transliteration. Uppercase letters in our scheme stand for the independent forms of Indic graphemes, while lowercase letters represent only the in-</w:t>
      </w:r>
      <w:r>
        <w:rPr>
          <w:rStyle w:val="Foreign"/>
        </w:rPr>
        <w:t>akṣara</w:t>
      </w:r>
      <w:r>
        <w:t xml:space="preserve"> forms. The advantage of this is not only that a potentially graphematic feature of the original written text is preserved in transliteration, but also that in the transliteration of poorly legible and lacunose text it makes clear whether what can be made out is a dependent or independent graph, thereby facilitating conjectural restoration. Incidentally, this distinction also reduces the range of situations in which disambiguation (§</w:t>
      </w:r>
      <w:r>
        <w:fldChar w:fldCharType="begin"/>
      </w:r>
      <w:r>
        <w:instrText xml:space="preserve"> REF _Ref15558380 \r \h </w:instrText>
      </w:r>
      <w:r>
        <w:fldChar w:fldCharType="separate"/>
      </w:r>
      <w:r w:rsidR="00CA5448">
        <w:t>3.7</w:t>
      </w:r>
      <w:r>
        <w:fldChar w:fldCharType="end"/>
      </w:r>
      <w:r>
        <w:t>) becomes necessary for the digraphs of the transliteration system. The inevitable drawback of this is that in strict transliteration, uppercase cannot and must never be used for the purposes to which capitalisation is traditionally put in the Roman writing system, such as marking the initials of proper names, sentences and metrical units.</w:t>
      </w:r>
    </w:p>
    <w:p w14:paraId="1BBA6EAA" w14:textId="77777777" w:rsidR="00FA7FDE" w:rsidRDefault="00FA7FDE" w:rsidP="007465A4">
      <w:pPr>
        <w:pStyle w:val="Cmsor3"/>
      </w:pPr>
      <w:bookmarkStart w:id="132" w:name="_Ref26431293"/>
      <w:bookmarkStart w:id="133" w:name="_Toc199757554"/>
      <w:bookmarkStart w:id="134" w:name="_Toc200963271"/>
      <w:r>
        <w:t>A note on the use of uppercase for independent vowels and consonants</w:t>
      </w:r>
      <w:bookmarkEnd w:id="132"/>
      <w:bookmarkEnd w:id="133"/>
      <w:bookmarkEnd w:id="134"/>
    </w:p>
    <w:p w14:paraId="5A34240E" w14:textId="77777777" w:rsidR="00FA7FDE" w:rsidRDefault="00FA7FDE" w:rsidP="007465A4">
      <w:r>
        <w:t>Some of DHARMA’s predecessor projects have used a ° character before transliterated vowels and/or after transliterated consonants to denote their special independent forms. The principal investigators have agreed to discontinue using that notation, and to endorse and propagate the use of uppercase Roman letters instead. Intellectual considerations in favour of doing so include the following:</w:t>
      </w:r>
    </w:p>
    <w:p w14:paraId="1D58250C" w14:textId="0C6DF773" w:rsidR="00FA7FDE" w:rsidRDefault="00FA7FDE" w:rsidP="007465A4">
      <w:pPr>
        <w:pStyle w:val="Lista"/>
      </w:pPr>
      <w:r>
        <w:t>unlike final consonants written with a vowel killer graph (transliterated with a middle dot · as per §</w:t>
      </w:r>
      <w:r>
        <w:fldChar w:fldCharType="begin"/>
      </w:r>
      <w:r>
        <w:instrText xml:space="preserve"> REF _Ref199857275 \r \h </w:instrText>
      </w:r>
      <w:r>
        <w:fldChar w:fldCharType="separate"/>
      </w:r>
      <w:r w:rsidR="00CA5448">
        <w:t>4.5.1</w:t>
      </w:r>
      <w:r>
        <w:fldChar w:fldCharType="end"/>
      </w:r>
      <w:r>
        <w:t>), the special independent forms do not involve an additional grapheme, so it is better to use a single character for their transliteration</w:t>
      </w:r>
    </w:p>
    <w:p w14:paraId="59920FC7" w14:textId="77777777" w:rsidR="00FA7FDE" w:rsidRDefault="00FA7FDE" w:rsidP="007465A4">
      <w:pPr>
        <w:pStyle w:val="Lista"/>
      </w:pPr>
      <w:r>
        <w:t>the default (unmarked) allographs of Indic graphemes are the in-</w:t>
      </w:r>
      <w:r>
        <w:rPr>
          <w:rStyle w:val="Foreign"/>
        </w:rPr>
        <w:t>akṣara</w:t>
      </w:r>
      <w:r>
        <w:t xml:space="preserve"> forms, while the independent forms are the exception from the norm (marked), and this situation is superficially analogous to that of lowercase and uppercase letters in modern Roman writing</w:t>
      </w:r>
    </w:p>
    <w:p w14:paraId="53743E00" w14:textId="77777777" w:rsidR="00FA7FDE" w:rsidRDefault="00FA7FDE" w:rsidP="007465A4">
      <w:pPr>
        <w:pStyle w:val="Lista"/>
      </w:pPr>
      <w:r>
        <w:t>uppercase letters are easy to enter on any keyboard, so their inclusion in the transliteration scheme helps productivity</w:t>
      </w:r>
    </w:p>
    <w:p w14:paraId="2D7B77BE" w14:textId="77777777" w:rsidR="00FA7FDE" w:rsidRDefault="00FA7FDE" w:rsidP="007465A4">
      <w:pPr>
        <w:pStyle w:val="Lista"/>
      </w:pPr>
      <w:r>
        <w:lastRenderedPageBreak/>
        <w:t xml:space="preserve">text-based search algorithms can easily be switched to case-insensitive mode and thus retrieve, for instance, </w:t>
      </w:r>
      <w:r>
        <w:rPr>
          <w:rStyle w:val="Foreign"/>
        </w:rPr>
        <w:t>taM Eva</w:t>
      </w:r>
      <w:r>
        <w:t xml:space="preserve"> when searching for </w:t>
      </w:r>
      <w:r>
        <w:rPr>
          <w:rStyle w:val="Foreign"/>
        </w:rPr>
        <w:t>tam eva</w:t>
      </w:r>
      <w:r>
        <w:t xml:space="preserve">, whereas in order to retrieve </w:t>
      </w:r>
      <w:r>
        <w:rPr>
          <w:rStyle w:val="Foreign"/>
        </w:rPr>
        <w:t>tam° °eva</w:t>
      </w:r>
      <w:r>
        <w:t xml:space="preserve"> for the same search string, special programming would be required</w:t>
      </w:r>
    </w:p>
    <w:p w14:paraId="74AD8385" w14:textId="77777777" w:rsidR="00FA7FDE" w:rsidRDefault="00FA7FDE" w:rsidP="007465A4">
      <w:pPr>
        <w:pStyle w:val="Lista"/>
      </w:pPr>
      <w:r>
        <w:t>using uppercase letters for the special forms allows us to keep the sign ° free for conventional use as a marker of truncation (e.g. when cutting words to be cited in a critical apparatus)</w:t>
      </w:r>
    </w:p>
    <w:p w14:paraId="41B5E6E7" w14:textId="77777777" w:rsidR="00431357" w:rsidRDefault="00431357" w:rsidP="007465A4">
      <w:pPr>
        <w:pStyle w:val="Cmsor2"/>
      </w:pPr>
      <w:bookmarkStart w:id="135" w:name="_Toc200963272"/>
      <w:r>
        <w:t>Transliteration and graphemes</w:t>
      </w:r>
      <w:bookmarkEnd w:id="126"/>
      <w:bookmarkEnd w:id="135"/>
    </w:p>
    <w:p w14:paraId="7A67F9FE" w14:textId="2342F27E" w:rsidR="00431357" w:rsidRDefault="00431357" w:rsidP="007465A4">
      <w:r>
        <w:t>Transliteration systems in actual practice include a number of transcription-like features, at least for the sake of pronounceability and ease of acquisition.</w:t>
      </w:r>
      <w:r>
        <w:rPr>
          <w:rStyle w:val="Lbjegyzet-hivatkozs"/>
        </w:rPr>
        <w:footnoteReference w:id="77"/>
      </w:r>
      <w:r>
        <w:t xml:space="preserve"> Moreover, transliteration cannot practicably aim to represent each and every graphic detail of the source. As Wellisch </w:t>
      </w:r>
      <w:r>
        <w:fldChar w:fldCharType="begin"/>
      </w:r>
      <w:r>
        <w:instrText xml:space="preserve"> ADDIN ZOTERO_ITEM CSL_CITATION {"citationID":"Fo46xNJv","properties":{"formattedCitation":"(1978, 314)","plainCitation":"(1978, 314)","noteIndex":0},"citationItems":[{"id":1550,"uris":["http://zotero.org/users/2534519/items/WS2NPWQZ"],"itemData":{"id":1550,"type":"book","abstract":"\"A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H."}],"issued":{"date-parts":[["1978"]]}},"locator":"314","label":"page","suppress-author":true}],"schema":"https://github.com/citation-style-language/schema/raw/master/csl-citation.json"} </w:instrText>
      </w:r>
      <w:r>
        <w:fldChar w:fldCharType="separate"/>
      </w:r>
      <w:r>
        <w:rPr>
          <w:rFonts w:cs="Gentium Plus"/>
        </w:rPr>
        <w:t>(1978, 314)</w:t>
      </w:r>
      <w:r>
        <w:fldChar w:fldCharType="end"/>
      </w:r>
      <w:r>
        <w:t xml:space="preserve"> points out, “there is no single ‘scientific’ system whose principles can be applied uniformly to all scripts and for all purposes … Rather, there is a plurality of more or less justified but mutually incompatible requirements … so that a choice must be made among those requirements that are </w:t>
      </w:r>
      <w:r>
        <w:rPr>
          <w:rStyle w:val="Foreign"/>
        </w:rPr>
        <w:t>optimally</w:t>
      </w:r>
      <w:r>
        <w:t xml:space="preserve"> needed to make the system work for a particular purpose or task” (emphasis original). In particular, a transliteration system for philological and epigraphic purposes should strive toward “a one-to-one relationship between each grapheme in a target script and a corresponding […] grapheme in the source script” </w:t>
      </w:r>
      <w:r>
        <w:fldChar w:fldCharType="begin"/>
      </w:r>
      <w:r>
        <w:instrText xml:space="preserve"> ADDIN ZOTERO_ITEM CSL_CITATION {"citationID":"zJT5h9Ge","properties":{"formattedCitation":"(Wellisch 1978, 322)","plainCitation":"(Wellisch 1978, 322)","noteIndex":0},"citationItems":[{"id":1550,"uris":["http://zotero.org/users/2534519/items/WS2NPWQZ"],"itemData":{"id":1550,"type":"book","abstract":"\"A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H."}],"issued":{"date-parts":[["1978"]]}},"locator":"322","label":"page"}],"schema":"https://github.com/citation-style-language/schema/raw/master/csl-citation.json"} </w:instrText>
      </w:r>
      <w:r>
        <w:fldChar w:fldCharType="separate"/>
      </w:r>
      <w:r>
        <w:rPr>
          <w:rFonts w:cs="Gentium Plus"/>
        </w:rPr>
        <w:t>(Wellisch 1978, 322)</w:t>
      </w:r>
      <w:r>
        <w:fldChar w:fldCharType="end"/>
      </w:r>
      <w:r>
        <w:t xml:space="preserve"> in order to be fully reversible.</w:t>
      </w:r>
      <w:r>
        <w:rPr>
          <w:rStyle w:val="Lbjegyzet-hivatkozs"/>
        </w:rPr>
        <w:footnoteReference w:id="78"/>
      </w:r>
    </w:p>
    <w:p w14:paraId="01EE8076" w14:textId="77777777" w:rsidR="00431357" w:rsidRDefault="00431357" w:rsidP="007465A4">
      <w:pPr>
        <w:pStyle w:val="Normlbehzs"/>
      </w:pPr>
      <w:r>
        <w:rPr>
          <w:lang w:bidi="sa-IN"/>
        </w:rPr>
        <w:t>Establishing a one-to-one relationship between source and target graphemes means not only that no graphemes must be added or dropped in the process of transliteration, but also that the specific identity of graphemes must be preserved. A particular target grapheme must correspond to a particular source grapheme rather to any of a set of related source graphemes, and vice versa.</w:t>
      </w:r>
    </w:p>
    <w:p w14:paraId="35C2D3A8" w14:textId="77777777" w:rsidR="00431357" w:rsidRDefault="00431357" w:rsidP="007465A4">
      <w:pPr>
        <w:pStyle w:val="Cmsor2"/>
      </w:pPr>
      <w:bookmarkStart w:id="136" w:name="_Toc199757547"/>
      <w:bookmarkStart w:id="137" w:name="_Ref199775736"/>
      <w:bookmarkStart w:id="138" w:name="_Ref199778629"/>
      <w:bookmarkStart w:id="139" w:name="_Ref199863358"/>
      <w:bookmarkStart w:id="140" w:name="_Ref199923780"/>
      <w:bookmarkStart w:id="141" w:name="_Toc200963273"/>
      <w:r>
        <w:t>Transliteration</w:t>
      </w:r>
      <w:bookmarkEnd w:id="136"/>
      <w:bookmarkEnd w:id="137"/>
      <w:bookmarkEnd w:id="138"/>
      <w:bookmarkEnd w:id="139"/>
      <w:r>
        <w:t xml:space="preserve"> and allographs</w:t>
      </w:r>
      <w:bookmarkEnd w:id="140"/>
      <w:bookmarkEnd w:id="141"/>
    </w:p>
    <w:p w14:paraId="0E3EB4FF" w14:textId="05D67A0B" w:rsidR="00431357" w:rsidRDefault="00431357" w:rsidP="007465A4">
      <w:r>
        <w:t>In order for transliteration to be truly reversible, we also need to give distinguished treatment to any graphematic allographs (as defined in §</w:t>
      </w:r>
      <w:r>
        <w:fldChar w:fldCharType="begin"/>
      </w:r>
      <w:r>
        <w:instrText xml:space="preserve"> REF _Ref199778013 \r \h </w:instrText>
      </w:r>
      <w:r>
        <w:fldChar w:fldCharType="separate"/>
      </w:r>
      <w:r w:rsidR="00CA5448">
        <w:t>2.6</w:t>
      </w:r>
      <w:r>
        <w:fldChar w:fldCharType="end"/>
      </w:r>
      <w:r>
        <w:t>) that may be present in the source text. If this distinction disappears in transliteration, then we lose potentially important linguistic information represented in the source. Since the alternation of Indic independent graphs and in-</w:t>
      </w:r>
      <w:r>
        <w:rPr>
          <w:rStyle w:val="Foreign"/>
        </w:rPr>
        <w:t>akṣara</w:t>
      </w:r>
      <w:r>
        <w:t xml:space="preserve"> graphs </w:t>
      </w:r>
      <w:r w:rsidR="005F447B">
        <w:t>is superficially parallel</w:t>
      </w:r>
      <w:r>
        <w:t xml:space="preserve"> </w:t>
      </w:r>
      <w:r w:rsidR="005F447B">
        <w:t xml:space="preserve">to </w:t>
      </w:r>
      <w:r>
        <w:t>the alternation of uppercase and lowercase Roman letters, the latter can be conveniently used to represent the former in transliteration</w:t>
      </w:r>
      <w:r w:rsidR="005F447B">
        <w:t xml:space="preserve"> (§</w:t>
      </w:r>
      <w:r w:rsidR="005F447B">
        <w:fldChar w:fldCharType="begin"/>
      </w:r>
      <w:r w:rsidR="005F447B">
        <w:instrText xml:space="preserve"> REF _Ref26431293 \r \h </w:instrText>
      </w:r>
      <w:r w:rsidR="005F447B">
        <w:fldChar w:fldCharType="separate"/>
      </w:r>
      <w:r w:rsidR="00CA5448">
        <w:t>3.2.1</w:t>
      </w:r>
      <w:r w:rsidR="005F447B">
        <w:fldChar w:fldCharType="end"/>
      </w:r>
      <w:r w:rsidR="005F447B">
        <w:t>)</w:t>
      </w:r>
      <w:r>
        <w:t>. Conversely, attempting to reflect graphotactic and graphetic allography in transliteration would complicate the transliteration scheme by an order of magnitude, without much gain in return. Therefore, all allography that is not graphematic must be ignored in our transliteration. There are, however, solutions for indicating cases of graphotactic and graphetic allography in the encoding of digital editions, for use in individual cases where such alternation is deemed to be important.</w:t>
      </w:r>
    </w:p>
    <w:p w14:paraId="16B24067" w14:textId="77777777" w:rsidR="00431357" w:rsidRDefault="00431357" w:rsidP="007465A4">
      <w:pPr>
        <w:pStyle w:val="Cmsor2"/>
      </w:pPr>
      <w:bookmarkStart w:id="142" w:name="_Toc200963274"/>
      <w:r>
        <w:t>Strict transliteration</w:t>
      </w:r>
      <w:bookmarkEnd w:id="142"/>
    </w:p>
    <w:p w14:paraId="4F5D77DF" w14:textId="77777777" w:rsidR="00431357" w:rsidRDefault="00431357" w:rsidP="007465A4">
      <w:r>
        <w:t xml:space="preserve">The DHARMA transliteration system is a </w:t>
      </w:r>
      <w:r>
        <w:rPr>
          <w:b/>
          <w:bCs/>
        </w:rPr>
        <w:t>strict transliteration</w:t>
      </w:r>
      <w:r>
        <w:t xml:space="preserve"> scheme inasmuch as it aims to represent with diplomatic accuracy as much detail of the original written text as possible, and to do so as uniformly as possible across the diverse specific writing systems in our project’s ambit. Its objective, as stated above, is to represent every source grapheme in such a way that it is separable from every other source grapheme and distinguishable not only from any other kind of source grapheme, but also, when applicable, from graphemic allographs of the same grapheme. In addition, the scheme strives for consistency in always using the same transliteration for a given source grapheme, regardless of how that grapheme may be pronounced in any given language and graphemic context.</w:t>
      </w:r>
    </w:p>
    <w:p w14:paraId="4FCC98A7" w14:textId="412DCF9E" w:rsidR="00431357" w:rsidRDefault="00431357" w:rsidP="007465A4">
      <w:pPr>
        <w:pStyle w:val="Normlbehzs"/>
      </w:pPr>
      <w:r>
        <w:rPr>
          <w:lang w:eastAsia="en-US" w:bidi="ar-SA"/>
        </w:rPr>
        <w:lastRenderedPageBreak/>
        <w:t>As noted above (§</w:t>
      </w:r>
      <w:r>
        <w:rPr>
          <w:lang w:eastAsia="en-US" w:bidi="ar-SA"/>
        </w:rPr>
        <w:fldChar w:fldCharType="begin"/>
      </w:r>
      <w:r>
        <w:rPr>
          <w:lang w:eastAsia="en-US" w:bidi="ar-SA"/>
        </w:rPr>
        <w:instrText xml:space="preserve"> REF _Ref199919606 \r \h </w:instrText>
      </w:r>
      <w:r>
        <w:rPr>
          <w:lang w:eastAsia="en-US" w:bidi="ar-SA"/>
        </w:rPr>
      </w:r>
      <w:r>
        <w:rPr>
          <w:lang w:eastAsia="en-US" w:bidi="ar-SA"/>
        </w:rPr>
        <w:fldChar w:fldCharType="separate"/>
      </w:r>
      <w:r w:rsidR="00CA5448">
        <w:rPr>
          <w:lang w:eastAsia="en-US" w:bidi="ar-SA"/>
        </w:rPr>
        <w:t>3</w:t>
      </w:r>
      <w:r>
        <w:rPr>
          <w:lang w:eastAsia="en-US" w:bidi="ar-SA"/>
        </w:rPr>
        <w:fldChar w:fldCharType="end"/>
      </w:r>
      <w:r>
        <w:rPr>
          <w:lang w:eastAsia="en-US" w:bidi="ar-SA"/>
        </w:rPr>
        <w:t xml:space="preserve">), transliteration schemes in practice inevitably fall short of ideal “pure” transliteration, and the DHARMA system is no exception to this. In order not to break with universally known conventions including the ISO-15919 standard, it </w:t>
      </w:r>
      <w:r>
        <w:t>employs digraphs (§</w:t>
      </w:r>
      <w:r>
        <w:fldChar w:fldCharType="begin"/>
      </w:r>
      <w:r>
        <w:instrText xml:space="preserve"> REF _Ref199778699 \r \h </w:instrText>
      </w:r>
      <w:r>
        <w:fldChar w:fldCharType="separate"/>
      </w:r>
      <w:r w:rsidR="00CA5448">
        <w:t>2.4.2</w:t>
      </w:r>
      <w:r>
        <w:fldChar w:fldCharType="end"/>
      </w:r>
      <w:r>
        <w:t xml:space="preserve">) for aspirated consonants and diphthongs. In this respect, it fails to establish a one-to-one relationship between the graphemes of the source and target scripts: the transliterated word </w:t>
      </w:r>
      <w:r>
        <w:rPr>
          <w:rStyle w:val="Foreign"/>
        </w:rPr>
        <w:t>ratha</w:t>
      </w:r>
      <w:r>
        <w:t xml:space="preserve"> has five (target) graphemes, but there are only four (source) graphemes in the same word written in an Indic script, where, &lt;th&gt; is a single grapheme which, in Sanskrit, corresponds to the phoneme [tʱ]. It is therefore very important to keep in mind that in any discussion of Indic graphemes, </w:t>
      </w:r>
      <w:r>
        <w:rPr>
          <w:i/>
          <w:iCs/>
        </w:rPr>
        <w:t>source</w:t>
      </w:r>
      <w:r>
        <w:t xml:space="preserve"> graphemes are meant, but some of these may be represented by digraphs (i.e. two graphemes) in transliteration.</w:t>
      </w:r>
      <w:r w:rsidR="0053613B">
        <w:t xml:space="preserve"> Furthermore, it </w:t>
      </w:r>
      <w:r w:rsidR="00A37F47">
        <w:t>may be</w:t>
      </w:r>
      <w:r w:rsidR="0053613B">
        <w:t xml:space="preserve"> necessary to disambiguate (§</w:t>
      </w:r>
      <w:r w:rsidR="0053613B">
        <w:fldChar w:fldCharType="begin"/>
      </w:r>
      <w:r w:rsidR="0053613B">
        <w:instrText xml:space="preserve"> REF _Ref15558380 \r \h </w:instrText>
      </w:r>
      <w:r w:rsidR="0053613B">
        <w:fldChar w:fldCharType="separate"/>
      </w:r>
      <w:r w:rsidR="00CA5448">
        <w:t>3.7</w:t>
      </w:r>
      <w:r w:rsidR="0053613B">
        <w:fldChar w:fldCharType="end"/>
      </w:r>
      <w:r w:rsidR="00A37F47">
        <w:t>) target graphemes which can appear in digraphs but are present on rare occasions in their individual roles.</w:t>
      </w:r>
    </w:p>
    <w:p w14:paraId="7709150F" w14:textId="6CF48815" w:rsidR="00431357" w:rsidRDefault="00431357" w:rsidP="007465A4">
      <w:pPr>
        <w:pStyle w:val="Normlbehzs"/>
      </w:pPr>
      <w:r>
        <w:t>In addition to this slight inconvenience, we deliberately diverge from the maxim “the truth, the whole truth, and nothing but the truth” in permitting certain editorial additions and interpretative alterations to our transliterated text (§</w:t>
      </w:r>
      <w:r w:rsidR="00A37F47">
        <w:t>##)</w:t>
      </w:r>
      <w:r>
        <w:t xml:space="preserve">, with the understanding that these are </w:t>
      </w:r>
      <w:r>
        <w:rPr>
          <w:i/>
          <w:iCs/>
        </w:rPr>
        <w:t>always</w:t>
      </w:r>
      <w:r>
        <w:t xml:space="preserve"> editorial.</w:t>
      </w:r>
    </w:p>
    <w:p w14:paraId="3279CAD9" w14:textId="77777777" w:rsidR="00431357" w:rsidRDefault="00431357" w:rsidP="007465A4">
      <w:pPr>
        <w:pStyle w:val="Cmsor2"/>
      </w:pPr>
      <w:bookmarkStart w:id="143" w:name="_Toc200963275"/>
      <w:r>
        <w:t>Loose transliteration</w:t>
      </w:r>
      <w:bookmarkEnd w:id="143"/>
    </w:p>
    <w:p w14:paraId="0567BDFA" w14:textId="77777777" w:rsidR="00431357" w:rsidRDefault="00431357" w:rsidP="007465A4">
      <w:r>
        <w:t xml:space="preserve">In many contexts, written text in a source language comes under scrutiny as abstract text rather than as a particular physical instance. Such situations call for </w:t>
      </w:r>
      <w:r>
        <w:rPr>
          <w:b/>
          <w:bCs/>
        </w:rPr>
        <w:t>loose transliteration</w:t>
      </w:r>
      <w:r>
        <w:t xml:space="preserve">, where some constraints of the strict system are relinquished, resulting in a shift toward the transcription end of the spectrum. </w:t>
      </w:r>
    </w:p>
    <w:p w14:paraId="77EFDCCF" w14:textId="77777777" w:rsidR="00431357" w:rsidRDefault="00431357" w:rsidP="007465A4">
      <w:pPr>
        <w:pStyle w:val="Normlbehzs"/>
      </w:pPr>
      <w:r>
        <w:t>As a baseline, in any context where the graphic details of a particular written instance are irrelevant, loose transliteration dispenses with the distinction between the independent and in-</w:t>
      </w:r>
      <w:r>
        <w:rPr>
          <w:rStyle w:val="Foreign"/>
        </w:rPr>
        <w:t>akṣara</w:t>
      </w:r>
      <w:r>
        <w:t xml:space="preserve"> allographs of a grapheme.  Relaxing this constraint allows us to use uppercase in transliteration for traditional purposes, such as the capitalisation of the initials of loosely transliterated proper names. Thus, whenever a proper name in a source language is mentioned in discussion (in an international language), we recommend using capital initials. Also, when featuring names or terms of a source language in such discussion, we recommend silent normalisation of the orthography and, where applicable, a shift toward transcription.</w:t>
      </w:r>
    </w:p>
    <w:p w14:paraId="47F6EBDB" w14:textId="77777777" w:rsidR="00431357" w:rsidRDefault="00431357" w:rsidP="007465A4">
      <w:pPr>
        <w:pStyle w:val="Normlbehzs"/>
      </w:pPr>
      <w:r>
        <w:t>Over and above this, depending on your own judgement of the context, relevance and the specific subfield, loose transliteration may involve leniency in further details, such as those below.</w:t>
      </w:r>
    </w:p>
    <w:p w14:paraId="66C317BC" w14:textId="77777777" w:rsidR="00431357" w:rsidRDefault="00431357" w:rsidP="007465A4">
      <w:pPr>
        <w:pStyle w:val="Lista"/>
      </w:pPr>
      <w:r>
        <w:t>normalisation by reducing graphic diversity in a writing system that has more characters than the phonology of the language needs, i.e. merging alternative notations of a single phoneme into one sign (that must also be a member of the larger subset of signs used in our transliteration scheme), e.g.</w:t>
      </w:r>
    </w:p>
    <w:p w14:paraId="657265B4" w14:textId="77777777" w:rsidR="00431357" w:rsidRDefault="00431357" w:rsidP="007465A4">
      <w:pPr>
        <w:pStyle w:val="Lista2"/>
      </w:pPr>
      <w:r>
        <w:t xml:space="preserve">substitution of the class nasal for </w:t>
      </w:r>
      <w:r>
        <w:rPr>
          <w:rStyle w:val="Foreign"/>
        </w:rPr>
        <w:t>anusvāra</w:t>
      </w:r>
      <w:r>
        <w:t xml:space="preserve"> or vice versa</w:t>
      </w:r>
    </w:p>
    <w:p w14:paraId="70B4A57F" w14:textId="77777777" w:rsidR="00431357" w:rsidRDefault="00431357" w:rsidP="007465A4">
      <w:pPr>
        <w:pStyle w:val="Lista2"/>
      </w:pPr>
      <w:r>
        <w:t xml:space="preserve">Old Javanese </w:t>
      </w:r>
      <w:r>
        <w:rPr>
          <w:rStyle w:val="Foreign"/>
        </w:rPr>
        <w:t>vvaṁ/vvaṅ</w:t>
      </w:r>
      <w:r>
        <w:t xml:space="preserve"> merged into </w:t>
      </w:r>
      <w:r>
        <w:rPr>
          <w:rStyle w:val="Foreign"/>
        </w:rPr>
        <w:t xml:space="preserve">vvaṅ </w:t>
      </w:r>
      <w:r>
        <w:t xml:space="preserve">(phonologically /wwaŋ/), </w:t>
      </w:r>
      <w:r>
        <w:rPr>
          <w:rStyle w:val="Foreign"/>
        </w:rPr>
        <w:t>luraḥ/lurah</w:t>
      </w:r>
      <w:r>
        <w:t xml:space="preserve"> merged into </w:t>
      </w:r>
      <w:r>
        <w:rPr>
          <w:rStyle w:val="Foreign"/>
        </w:rPr>
        <w:t>lurah</w:t>
      </w:r>
      <w:r>
        <w:t xml:space="preserve"> (phonologically /lurah/)</w:t>
      </w:r>
    </w:p>
    <w:p w14:paraId="5D3DE3AF" w14:textId="77777777" w:rsidR="00431357" w:rsidRDefault="00431357" w:rsidP="007465A4">
      <w:pPr>
        <w:pStyle w:val="Lista2"/>
      </w:pPr>
      <w:r>
        <w:t xml:space="preserve">Old Javanese </w:t>
      </w:r>
      <w:r>
        <w:rPr>
          <w:rStyle w:val="Foreign"/>
        </w:rPr>
        <w:t>R̥</w:t>
      </w:r>
      <w:r>
        <w:t xml:space="preserve"> interpreted as expressing the syllable </w:t>
      </w:r>
      <w:r>
        <w:rPr>
          <w:rStyle w:val="Foreign"/>
        </w:rPr>
        <w:t>rǝ</w:t>
      </w:r>
      <w:r>
        <w:t xml:space="preserve">, as in </w:t>
      </w:r>
      <w:r>
        <w:rPr>
          <w:rStyle w:val="Foreign"/>
        </w:rPr>
        <w:t>sǝR̥ḥ</w:t>
      </w:r>
      <w:r>
        <w:t xml:space="preserve"> (in strict transliteration) corresponding to </w:t>
      </w:r>
      <w:r>
        <w:rPr>
          <w:rStyle w:val="Foreign"/>
        </w:rPr>
        <w:t>sǝrǝh</w:t>
      </w:r>
      <w:r>
        <w:t xml:space="preserve"> in loose transliteration </w:t>
      </w:r>
    </w:p>
    <w:p w14:paraId="2A5495CE" w14:textId="77777777" w:rsidR="00431357" w:rsidRDefault="00431357" w:rsidP="007465A4">
      <w:pPr>
        <w:pStyle w:val="Lista"/>
      </w:pPr>
      <w:bookmarkStart w:id="144" w:name="_qpap16rwdsff" w:colFirst="0" w:colLast="0"/>
      <w:bookmarkEnd w:id="144"/>
      <w:r>
        <w:t>disambiguation where a language uses one feature of a writing system to represent more than one phonological feature, e.g.</w:t>
      </w:r>
    </w:p>
    <w:p w14:paraId="0A03C287" w14:textId="517A9B7D" w:rsidR="00431357" w:rsidRDefault="00431357" w:rsidP="007465A4">
      <w:pPr>
        <w:pStyle w:val="Lista2"/>
      </w:pPr>
      <w:r>
        <w:t xml:space="preserve">Old Sundanese </w:t>
      </w:r>
      <w:r>
        <w:rPr>
          <w:rStyle w:val="Foreign"/>
        </w:rPr>
        <w:t>sastra</w:t>
      </w:r>
      <w:r>
        <w:t xml:space="preserve">, </w:t>
      </w:r>
      <w:r>
        <w:rPr>
          <w:rStyle w:val="Foreign"/>
        </w:rPr>
        <w:t>rahiyaṅ</w:t>
      </w:r>
      <w:r>
        <w:t xml:space="preserve"> and </w:t>
      </w:r>
      <w:r>
        <w:rPr>
          <w:rStyle w:val="Foreign"/>
        </w:rPr>
        <w:t>ku nu reya</w:t>
      </w:r>
      <w:r>
        <w:t xml:space="preserve"> (even when written as </w:t>
      </w:r>
      <w:r>
        <w:rPr>
          <w:rStyle w:val="Foreign"/>
        </w:rPr>
        <w:t>sasṭā</w:t>
      </w:r>
      <w:r>
        <w:t xml:space="preserve">, </w:t>
      </w:r>
      <w:r>
        <w:rPr>
          <w:rStyle w:val="Foreign"/>
        </w:rPr>
        <w:t>ku nu rye</w:t>
      </w:r>
      <w:r>
        <w:t xml:space="preserve"> and </w:t>
      </w:r>
      <w:r>
        <w:rPr>
          <w:rStyle w:val="Foreign"/>
        </w:rPr>
        <w:t>rahyiṁ</w:t>
      </w:r>
      <w:r>
        <w:t xml:space="preserve"> as in the examples under §</w:t>
      </w:r>
      <w:r>
        <w:fldChar w:fldCharType="begin"/>
      </w:r>
      <w:r>
        <w:instrText xml:space="preserve"> REF _Ref17795443 \r \h </w:instrText>
      </w:r>
      <w:r>
        <w:fldChar w:fldCharType="separate"/>
      </w:r>
      <w:r w:rsidR="00CA5448">
        <w:t>4.7.2</w:t>
      </w:r>
      <w:r>
        <w:fldChar w:fldCharType="end"/>
      </w:r>
      <w:r>
        <w:t>)</w:t>
      </w:r>
    </w:p>
    <w:p w14:paraId="4D4A5B7B" w14:textId="77777777" w:rsidR="00431357" w:rsidRDefault="00431357" w:rsidP="007465A4">
      <w:pPr>
        <w:pStyle w:val="Lista"/>
      </w:pPr>
      <w:r>
        <w:t>normalisation of orthography, e.g.</w:t>
      </w:r>
    </w:p>
    <w:p w14:paraId="38A45E7E" w14:textId="77777777" w:rsidR="00431357" w:rsidRDefault="00431357" w:rsidP="007465A4">
      <w:pPr>
        <w:pStyle w:val="Lista2"/>
      </w:pPr>
      <w:r>
        <w:t xml:space="preserve">simplification of consonants doubled in conjunction with </w:t>
      </w:r>
      <w:r>
        <w:rPr>
          <w:rStyle w:val="Foreign"/>
        </w:rPr>
        <w:t>r</w:t>
      </w:r>
      <w:r>
        <w:t xml:space="preserve"> in Sanskrit</w:t>
      </w:r>
    </w:p>
    <w:p w14:paraId="14C9D554" w14:textId="77777777" w:rsidR="00431357" w:rsidRDefault="00431357" w:rsidP="007465A4">
      <w:pPr>
        <w:pStyle w:val="Lista2"/>
      </w:pPr>
      <w:r>
        <w:t xml:space="preserve">simplification of consonants doubled at morpheme boundaries in Old Javanese (e.g., </w:t>
      </w:r>
      <w:r>
        <w:rPr>
          <w:rStyle w:val="Foreign"/>
        </w:rPr>
        <w:t>lavann ika</w:t>
      </w:r>
      <w:r>
        <w:t xml:space="preserve"> simplified to </w:t>
      </w:r>
      <w:r>
        <w:rPr>
          <w:rStyle w:val="Foreign"/>
        </w:rPr>
        <w:t>lavan ika</w:t>
      </w:r>
      <w:r>
        <w:t xml:space="preserve">, </w:t>
      </w:r>
      <w:r>
        <w:rPr>
          <w:rStyle w:val="Foreign"/>
        </w:rPr>
        <w:t>muvaḥhakan</w:t>
      </w:r>
      <w:r>
        <w:t xml:space="preserve"> to </w:t>
      </w:r>
      <w:r>
        <w:rPr>
          <w:rStyle w:val="Foreign"/>
        </w:rPr>
        <w:t>muvahakan</w:t>
      </w:r>
      <w:r>
        <w:t xml:space="preserve">, </w:t>
      </w:r>
      <w:r>
        <w:rPr>
          <w:rStyle w:val="Foreign"/>
        </w:rPr>
        <w:t>at thana</w:t>
      </w:r>
      <w:r>
        <w:t xml:space="preserve"> simplified to </w:t>
      </w:r>
      <w:r>
        <w:rPr>
          <w:rStyle w:val="Foreign"/>
        </w:rPr>
        <w:t>at hana</w:t>
      </w:r>
      <w:r>
        <w:t>)</w:t>
      </w:r>
    </w:p>
    <w:p w14:paraId="1E09AAEB" w14:textId="77777777" w:rsidR="00431357" w:rsidRDefault="00431357" w:rsidP="007465A4">
      <w:pPr>
        <w:pStyle w:val="Lista2"/>
      </w:pPr>
      <w:r>
        <w:t xml:space="preserve">distinction of </w:t>
      </w:r>
      <w:r>
        <w:rPr>
          <w:rStyle w:val="Foreign"/>
        </w:rPr>
        <w:t>e/ē</w:t>
      </w:r>
      <w:r>
        <w:t xml:space="preserve"> and </w:t>
      </w:r>
      <w:r>
        <w:rPr>
          <w:rStyle w:val="Foreign"/>
        </w:rPr>
        <w:t>o/ō</w:t>
      </w:r>
      <w:r>
        <w:t xml:space="preserve"> even if not present in the original writing</w:t>
      </w:r>
    </w:p>
    <w:p w14:paraId="6F3BBF1A" w14:textId="77777777" w:rsidR="0053613B" w:rsidRDefault="0053613B" w:rsidP="0053613B">
      <w:pPr>
        <w:pStyle w:val="Cmsor2"/>
      </w:pPr>
      <w:bookmarkStart w:id="145" w:name="_dl6swhvlsuez" w:colFirst="0" w:colLast="0"/>
      <w:bookmarkStart w:id="146" w:name="_h0qcxcudl6x2" w:colFirst="0" w:colLast="0"/>
      <w:bookmarkStart w:id="147" w:name="_Ref15558380"/>
      <w:bookmarkStart w:id="148" w:name="_Toc17811421"/>
      <w:bookmarkStart w:id="149" w:name="_Toc17811476"/>
      <w:bookmarkStart w:id="150" w:name="_Toc200963276"/>
      <w:bookmarkStart w:id="151" w:name="_Toc17811422"/>
      <w:bookmarkStart w:id="152" w:name="_Toc17811477"/>
      <w:bookmarkStart w:id="153" w:name="_Ref199854844"/>
      <w:bookmarkStart w:id="154" w:name="_Toc199757553"/>
      <w:bookmarkEnd w:id="124"/>
      <w:bookmarkEnd w:id="125"/>
      <w:bookmarkEnd w:id="145"/>
      <w:bookmarkEnd w:id="146"/>
      <w:r>
        <w:t>Disambiguation</w:t>
      </w:r>
      <w:bookmarkEnd w:id="147"/>
      <w:bookmarkEnd w:id="148"/>
      <w:bookmarkEnd w:id="149"/>
      <w:bookmarkEnd w:id="150"/>
    </w:p>
    <w:p w14:paraId="621F4606" w14:textId="40A80A29" w:rsidR="0053613B" w:rsidRDefault="0053613B" w:rsidP="0053613B">
      <w:r>
        <w:t xml:space="preserve">ISO-15919 </w:t>
      </w:r>
      <w:r>
        <w:fldChar w:fldCharType="begin"/>
      </w:r>
      <w:r>
        <w:instrText xml:space="preserve"> ADDIN ZOTERO_ITEM CSL_CITATION {"citationID":"IjOYIHRD","properties":{"formattedCitation":"(International Organization for Standardization 2001, 17, \\uc0\\u167{}8.1.15)","plainCitation":"(International Organization for Standardization 2001, 17, §8.1.15)","noteIndex":0},"citationItems":[{"id":19377,"uris":["http://zotero.org/groups/1633743/items/P2JEJ9R5"],"itemData":{"id":19377,"type":"book","event-place":"Geneva","language":"English","note":"OCLC: 181008314","publisher":"International Organization for Standardization","publisher-place":"Geneva","title":"International Standard ISO 15919: Information and documentation, transliteration of Devanagari and related Indic scripts into Latin characters = Information et documentation, translittération du Devanagari et des écritures indiennes liées en caractères latins","title-short":"ISO15919","author":[{"literal":"International Organization for Standardization"}],"issued":{"date-parts":[["2001"]]}},"locator":"17","label":"page","suffix":", §8.1.15"}],"schema":"https://github.com/citation-style-language/schema/raw/master/csl-citation.json"} </w:instrText>
      </w:r>
      <w:r>
        <w:fldChar w:fldCharType="separate"/>
      </w:r>
      <w:r w:rsidRPr="005C76DB">
        <w:rPr>
          <w:rFonts w:cs="Gentium"/>
          <w:kern w:val="0"/>
          <w:szCs w:val="24"/>
        </w:rPr>
        <w:t>(International Organization for Standardization 2001, 17, §8.1.15)</w:t>
      </w:r>
      <w:r>
        <w:fldChar w:fldCharType="end"/>
      </w:r>
      <w:r>
        <w:t xml:space="preserve"> employs the colon : as a disambiguation sign in situations where the target graphemes constituting digraphs in the transliteration scheme appear in their own role rather than as a digraph, as well as in sundry situations where the graphetic </w:t>
      </w:r>
      <w:r>
        <w:lastRenderedPageBreak/>
        <w:t xml:space="preserve">composition of an original </w:t>
      </w:r>
      <w:r>
        <w:rPr>
          <w:rStyle w:val="Foreign"/>
        </w:rPr>
        <w:t>akṣara</w:t>
      </w:r>
      <w:r>
        <w:t xml:space="preserve"> is unusual. The latter is in our perception a very different kind of situation, for which we prefer a different notation (§#EQUALSIGN). As for the former, the need to distinguish vowels in hiatus from diphthongs — as in Devanagari </w:t>
      </w:r>
      <w:r w:rsidRPr="00D61448">
        <w:rPr>
          <w:rStyle w:val="ForeignDevanagariScript"/>
          <w:rFonts w:hint="cs"/>
          <w:cs/>
        </w:rPr>
        <w:t>प्रउग</w:t>
      </w:r>
      <w:r>
        <w:t xml:space="preserve">, </w:t>
      </w:r>
      <w:r w:rsidRPr="00D61448">
        <w:rPr>
          <w:rStyle w:val="ForeignDevanagariScript"/>
          <w:rFonts w:hint="cs"/>
          <w:cs/>
        </w:rPr>
        <w:t>चउत्थो</w:t>
      </w:r>
      <w:r>
        <w:rPr>
          <w:cs/>
        </w:rPr>
        <w:t xml:space="preserve"> </w:t>
      </w:r>
      <w:r>
        <w:t xml:space="preserve">and </w:t>
      </w:r>
      <w:r w:rsidRPr="00D61448">
        <w:rPr>
          <w:rStyle w:val="ForeignDevanagariScript"/>
          <w:rFonts w:hint="cs"/>
          <w:cs/>
        </w:rPr>
        <w:t>दइआ</w:t>
      </w:r>
      <w:r>
        <w:t xml:space="preserve"> — is eliminated by our use of uppercase for independent vowels in strict transliteration: instead of ISO-15919 </w:t>
      </w:r>
      <w:r>
        <w:rPr>
          <w:rStyle w:val="Foreign"/>
        </w:rPr>
        <w:t>pra:uga</w:t>
      </w:r>
      <w:r>
        <w:t xml:space="preserve">, </w:t>
      </w:r>
      <w:r>
        <w:rPr>
          <w:rStyle w:val="Foreign"/>
        </w:rPr>
        <w:t>ca:uttho</w:t>
      </w:r>
      <w:r>
        <w:t xml:space="preserve"> and </w:t>
      </w:r>
      <w:r>
        <w:rPr>
          <w:rStyle w:val="Foreign"/>
        </w:rPr>
        <w:t>da:iā</w:t>
      </w:r>
      <w:r>
        <w:t xml:space="preserve">, we transliterate </w:t>
      </w:r>
      <w:r>
        <w:rPr>
          <w:rStyle w:val="Foreign"/>
        </w:rPr>
        <w:t>praUga</w:t>
      </w:r>
      <w:r>
        <w:t xml:space="preserve">, </w:t>
      </w:r>
      <w:r>
        <w:rPr>
          <w:rStyle w:val="Foreign"/>
        </w:rPr>
        <w:t>caUttho</w:t>
      </w:r>
      <w:r>
        <w:t xml:space="preserve"> and </w:t>
      </w:r>
      <w:r>
        <w:rPr>
          <w:rStyle w:val="Foreign"/>
        </w:rPr>
        <w:t>daIĀ</w:t>
      </w:r>
      <w:r>
        <w:t xml:space="preserve">. The disambiguation colon is therefore only needed in the very rare cases where an &lt;h&gt; follows a stop consonant grapheme, in order to indicate that it is this combination, and not the aspirated consonant grapheme, that is present in the original (e.g. </w:t>
      </w:r>
      <w:r>
        <w:rPr>
          <w:rStyle w:val="Foreign"/>
        </w:rPr>
        <w:t>p:h</w:t>
      </w:r>
      <w:r>
        <w:t xml:space="preserve"> as opposed to </w:t>
      </w:r>
      <w:r>
        <w:rPr>
          <w:rStyle w:val="Foreign"/>
        </w:rPr>
        <w:t>ph</w:t>
      </w:r>
      <w:r>
        <w:t>).</w:t>
      </w:r>
      <w:r>
        <w:rPr>
          <w:rStyle w:val="Lbjegyzet-hivatkozs"/>
        </w:rPr>
        <w:footnoteReference w:id="79"/>
      </w:r>
      <w:r>
        <w:t xml:space="preserve"> In loose transliteration, the colon may also be employed for the disambiguation of the diphthongs &lt;ai&gt; and &lt;au&gt;, but we recommend instead that you follow the established convention of using a diaeresis (pair of dots) above the second vowel, thus e.g. </w:t>
      </w:r>
      <w:r>
        <w:rPr>
          <w:rStyle w:val="Foreign"/>
        </w:rPr>
        <w:t>caüttho</w:t>
      </w:r>
      <w:r>
        <w:t xml:space="preserve"> and </w:t>
      </w:r>
      <w:r>
        <w:rPr>
          <w:rStyle w:val="Foreign"/>
        </w:rPr>
        <w:t>daïā</w:t>
      </w:r>
      <w:r>
        <w:t>. Moreover, no disambiguation sign is required in cases where an editorial space (§</w:t>
      </w:r>
      <w:r>
        <w:fldChar w:fldCharType="begin"/>
      </w:r>
      <w:r>
        <w:instrText xml:space="preserve"> REF _Ref15564928 \r \h </w:instrText>
      </w:r>
      <w:r>
        <w:fldChar w:fldCharType="separate"/>
      </w:r>
      <w:r w:rsidR="00CA5448">
        <w:t>3.9</w:t>
      </w:r>
      <w:r>
        <w:fldChar w:fldCharType="end"/>
      </w:r>
      <w:r>
        <w:t>) or hyphen (§</w:t>
      </w:r>
      <w:r>
        <w:fldChar w:fldCharType="begin"/>
      </w:r>
      <w:r>
        <w:instrText xml:space="preserve"> REF _Ref199926571 \r \h </w:instrText>
      </w:r>
      <w:r>
        <w:fldChar w:fldCharType="separate"/>
      </w:r>
      <w:r w:rsidR="00CA5448">
        <w:t>3.12.2</w:t>
      </w:r>
      <w:r>
        <w:fldChar w:fldCharType="end"/>
      </w:r>
      <w:r>
        <w:t>) intervenes between the target graphemes that might otherwise be read as a digraph.</w:t>
      </w:r>
    </w:p>
    <w:p w14:paraId="7C4F0E08" w14:textId="7FDA474F" w:rsidR="00A73125" w:rsidRDefault="00A73125" w:rsidP="00A73125">
      <w:pPr>
        <w:pStyle w:val="Lista"/>
      </w:pPr>
      <w:r>
        <w:rPr>
          <w:lang w:eastAsia="en-US" w:bidi="ar-SA"/>
        </w:rPr>
        <w:t>@BUT THIS IS really integral to the transliteration scheme itself, while the akṣara composition thing is descriptive, graphetic</w:t>
      </w:r>
    </w:p>
    <w:p w14:paraId="64CE3E80" w14:textId="0E26062D" w:rsidR="0053613B" w:rsidRDefault="0053613B" w:rsidP="0053613B">
      <w:pPr>
        <w:pStyle w:val="Normlbehzs"/>
        <w:rPr>
          <w:rFonts w:eastAsia="Arial"/>
        </w:rPr>
      </w:pPr>
      <w:r>
        <w:t xml:space="preserve">Since the disambiguation colon is thus extremely rare in our texts, we have chosen to employ the colon in a different role too, namely for </w:t>
      </w:r>
      <w:r>
        <w:rPr>
          <w:rFonts w:eastAsia="Arial"/>
        </w:rPr>
        <w:t xml:space="preserve">the use of the </w:t>
      </w:r>
      <w:r>
        <w:rPr>
          <w:rFonts w:eastAsia="Arial"/>
          <w:i/>
          <w:iCs/>
        </w:rPr>
        <w:t>ā</w:t>
      </w:r>
      <w:r>
        <w:rPr>
          <w:rFonts w:eastAsia="Arial"/>
        </w:rPr>
        <w:t xml:space="preserve"> marker in Indonesian scripts as an indicator of vowel length or consonant doubling (</w:t>
      </w:r>
      <w:r>
        <w:t>§</w:t>
      </w:r>
      <w:r>
        <w:fldChar w:fldCharType="begin"/>
      </w:r>
      <w:r>
        <w:instrText xml:space="preserve"> REF _Ref15558434 \r \h </w:instrText>
      </w:r>
      <w:r>
        <w:fldChar w:fldCharType="separate"/>
      </w:r>
      <w:r w:rsidR="00CA5448">
        <w:t>4.7.1</w:t>
      </w:r>
      <w:r>
        <w:fldChar w:fldCharType="end"/>
      </w:r>
      <w:r>
        <w:t>).</w:t>
      </w:r>
    </w:p>
    <w:p w14:paraId="08CB9D7C" w14:textId="77777777" w:rsidR="007465A4" w:rsidRDefault="007465A4" w:rsidP="007465A4">
      <w:pPr>
        <w:pStyle w:val="Cmsor2"/>
        <w:numPr>
          <w:ilvl w:val="1"/>
          <w:numId w:val="3"/>
        </w:numPr>
      </w:pPr>
      <w:bookmarkStart w:id="155" w:name="_Toc200963277"/>
      <w:r>
        <w:t>Transliteration and TEI encoding</w:t>
      </w:r>
      <w:bookmarkEnd w:id="155"/>
    </w:p>
    <w:p w14:paraId="066544DD" w14:textId="77777777" w:rsidR="007465A4" w:rsidRDefault="007465A4" w:rsidP="007465A4">
      <w:r>
        <w:t xml:space="preserve">When digitally representing the text of inscriptions and manuscripts for preservation and for computer-aided research, we strive to keep recorded content (i.e. what text is written on a certain support) separate, or at least separable, from our annotations </w:t>
      </w:r>
      <w:r>
        <w:rPr>
          <w:i/>
          <w:iCs/>
        </w:rPr>
        <w:t>describing and interpreting</w:t>
      </w:r>
      <w:r>
        <w:t xml:space="preserve"> various aspects of that content (for instance how it is written and laid out, how clearly it is readable, or what sort of information it carries). Content is transliterated according to the methods covered in this Guide, while annotation is added in the form of TEI-compliant markup as detailed in the Encoding Guides. The terms ‘markup’ and ‘encoding’ are fully synonymous in the context of digital editions, but ‘markup’ can also mean a non-electronic annotation system, such as the various brackets employed in printed epigraphic editions. TEI markup also plays a role in determining how our text will be ultimately presented to users on screen and in print, but this is yet another separate concern and will not be addressed here.</w:t>
      </w:r>
    </w:p>
    <w:p w14:paraId="5EB1D7F6" w14:textId="0451D75E" w:rsidR="00CD4529" w:rsidRDefault="007465A4" w:rsidP="007465A4">
      <w:pPr>
        <w:pStyle w:val="Normlbehzs"/>
      </w:pPr>
      <w:r>
        <w:t xml:space="preserve">Ideally, </w:t>
      </w:r>
      <w:r w:rsidR="00CD4529">
        <w:t>this separation of concerns should be complete:</w:t>
      </w:r>
      <w:r>
        <w:t xml:space="preserve"> no issues pertaining to the description of the physical manifestation of a text should be recorded in the transliterated text itself; and likewise, no issues pertaining to the text content should be omitted from the transliterated text and recorded only in markup. In practice, there are a number of borderline cases that could arguably belong to either of these domains, with a certain degree of inevitable fuzziness and permeability. Given that we are primarily concerned with the faithful documentation of primary texts, </w:t>
      </w:r>
      <w:r w:rsidR="00CD4529">
        <w:t xml:space="preserve">the most fundamental </w:t>
      </w:r>
      <w:r>
        <w:t xml:space="preserve">of these </w:t>
      </w:r>
      <w:r w:rsidR="00CD4529">
        <w:t>details</w:t>
      </w:r>
      <w:r>
        <w:t xml:space="preserve"> </w:t>
      </w:r>
      <w:r w:rsidR="00CD4529">
        <w:t xml:space="preserve">— </w:t>
      </w:r>
      <w:r>
        <w:t>the distinction of graphematic allographs</w:t>
      </w:r>
      <w:r w:rsidR="00CD4529">
        <w:t xml:space="preserve"> —</w:t>
      </w:r>
      <w:r>
        <w:t xml:space="preserve"> </w:t>
      </w:r>
      <w:r w:rsidR="00CD4529">
        <w:t>is</w:t>
      </w:r>
      <w:r>
        <w:t xml:space="preserve"> addressed at the level of </w:t>
      </w:r>
      <w:r w:rsidR="00CD4529">
        <w:t>target graphemes; @@@</w:t>
      </w:r>
    </w:p>
    <w:p w14:paraId="760F8934" w14:textId="54D4E9E9" w:rsidR="007465A4" w:rsidRDefault="007465A4" w:rsidP="007465A4">
      <w:pPr>
        <w:pStyle w:val="Normlbehzs"/>
      </w:pPr>
      <w:r>
        <w:t>while others (such as the possibility of interpreting an ambiguous glyph as either of two or more characters) are dealt with in markup. We moreover expect our transliteration scheme to be used in situations where TEI markup is not applicable, and therefore suggest some text-based markup alternatives (shorthand, §</w:t>
      </w:r>
      <w:r>
        <w:fldChar w:fldCharType="begin"/>
      </w:r>
      <w:r>
        <w:instrText xml:space="preserve"> REF _Ref199854291 \r \h </w:instrText>
      </w:r>
      <w:r>
        <w:fldChar w:fldCharType="separate"/>
      </w:r>
      <w:r w:rsidR="00CA5448">
        <w:rPr>
          <w:b/>
          <w:bCs/>
          <w:lang w:val="hu-HU"/>
        </w:rPr>
        <w:t>Hiba! A hivatkozási forrás nem található.</w:t>
      </w:r>
      <w:r>
        <w:fldChar w:fldCharType="end"/>
      </w:r>
      <w:r>
        <w:t>) for certain phenomena.</w:t>
      </w:r>
    </w:p>
    <w:p w14:paraId="190DBEED" w14:textId="77777777" w:rsidR="0053613B" w:rsidRDefault="0053613B" w:rsidP="0053613B">
      <w:pPr>
        <w:pStyle w:val="Cmsor2"/>
        <w:numPr>
          <w:ilvl w:val="1"/>
          <w:numId w:val="3"/>
        </w:numPr>
      </w:pPr>
      <w:bookmarkStart w:id="156" w:name="_Toc200963278"/>
      <w:bookmarkStart w:id="157" w:name="_Ref199928147"/>
      <w:bookmarkStart w:id="158" w:name="_Ref15564928"/>
      <w:bookmarkStart w:id="159" w:name="_Toc17811423"/>
      <w:bookmarkStart w:id="160" w:name="_Toc17811478"/>
      <w:bookmarkStart w:id="161" w:name="_Toc199757555"/>
      <w:r>
        <w:t>Shorthand</w:t>
      </w:r>
      <w:bookmarkEnd w:id="156"/>
    </w:p>
    <w:p w14:paraId="3F6254CD" w14:textId="4A31E7F9" w:rsidR="0053613B" w:rsidRDefault="0053613B" w:rsidP="0053613B">
      <w:r>
        <w:t xml:space="preserve">In the context of this Guide, ‘shorthand’ refers to using an accessible substitute for a special character you cannot easily produce on your keyboard, and to using simple text-based markup in place of more complicated TEI encoding. Shorthand speeds up work because it takes less time to produce and because markup shorthand can be scanned more easily than computer markup by the human reader. Indeed, we have chosen globally to represent certain kinds of common and low-level editorial addition and disambiguation </w:t>
      </w:r>
      <w:r>
        <w:lastRenderedPageBreak/>
        <w:t xml:space="preserve">on the level of transliteration. These, </w:t>
      </w:r>
      <w:r w:rsidR="00CC4081">
        <w:t xml:space="preserve">to which we refer as ‘essential shorthand’, will be </w:t>
      </w:r>
      <w:r>
        <w:t>discussed in §</w:t>
      </w:r>
      <w:r w:rsidR="00CC4081">
        <w:fldChar w:fldCharType="begin"/>
      </w:r>
      <w:r w:rsidR="00CC4081">
        <w:instrText xml:space="preserve"> REF _Ref200959599 \r \h </w:instrText>
      </w:r>
      <w:r w:rsidR="00CC4081">
        <w:fldChar w:fldCharType="separate"/>
      </w:r>
      <w:r w:rsidR="00CA5448">
        <w:t>3.10</w:t>
      </w:r>
      <w:r w:rsidR="00CC4081">
        <w:fldChar w:fldCharType="end"/>
      </w:r>
      <w:r w:rsidR="00CC4081">
        <w:t xml:space="preserve"> below</w:t>
      </w:r>
      <w:r>
        <w:t xml:space="preserve">. </w:t>
      </w:r>
    </w:p>
    <w:p w14:paraId="3A5C19FC" w14:textId="6FDD6FDB" w:rsidR="0053613B" w:rsidRDefault="0053613B" w:rsidP="0053613B">
      <w:pPr>
        <w:pStyle w:val="Normlbehzs"/>
      </w:pPr>
      <w:r>
        <w:t xml:space="preserve">Conversely, the shorthand practices introduced in this section are for private and informal use. They may be useful for your work process and for collaboration with other project members, but they should not be present in completed digital editions and </w:t>
      </w:r>
      <w:r w:rsidR="00CC4081">
        <w:t>@@@</w:t>
      </w:r>
      <w:r>
        <w:t xml:space="preserve">(generally) in printed publications. It is therefore </w:t>
      </w:r>
      <w:r>
        <w:rPr>
          <w:b/>
          <w:bCs/>
        </w:rPr>
        <w:t>your own responsibility</w:t>
      </w:r>
      <w:r>
        <w:t xml:space="preserve"> to keep careful track of what shorthand solutions you have used, and to replace them with the proper diacritical character or encoding when your work is completed, or to seek technical help for doing so.</w:t>
      </w:r>
    </w:p>
    <w:p w14:paraId="7A5DA665" w14:textId="51FDFA6A" w:rsidR="0053613B" w:rsidRDefault="004355F3" w:rsidP="0053613B">
      <w:pPr>
        <w:pStyle w:val="Cmsor3"/>
        <w:numPr>
          <w:ilvl w:val="2"/>
          <w:numId w:val="3"/>
        </w:numPr>
      </w:pPr>
      <w:bookmarkStart w:id="162" w:name="_Toc200963279"/>
      <w:r>
        <w:t>T</w:t>
      </w:r>
      <w:r w:rsidR="0053613B">
        <w:t>ransliteration</w:t>
      </w:r>
      <w:r w:rsidR="00233227" w:rsidRPr="00233227">
        <w:t xml:space="preserve"> </w:t>
      </w:r>
      <w:r w:rsidR="00233227">
        <w:t>shorthand</w:t>
      </w:r>
      <w:bookmarkEnd w:id="162"/>
    </w:p>
    <w:p w14:paraId="75C56653" w14:textId="1509854D" w:rsidR="0053613B" w:rsidRDefault="0053613B" w:rsidP="0053613B">
      <w:r>
        <w:t>If any special character required for transliterating your texts is not easily accessible in your editing environment, feel free to substitute a character (or character sequence) that you can simply enter on your keyboard. The substitute character or sequence should never occur in your documents in any other function. If it does, then you will have to pay attention to its context when replacing it with the correct character. The following is a list of transliteration shorthand solutions that have been useful in some task forces of the project.</w:t>
      </w:r>
    </w:p>
    <w:p w14:paraId="30F38540" w14:textId="47595AD7" w:rsidR="0053613B" w:rsidRDefault="0053613B" w:rsidP="0053613B">
      <w:pPr>
        <w:pStyle w:val="Lista"/>
      </w:pPr>
      <w:r>
        <w:t xml:space="preserve">for the right single quote ’ (representing the </w:t>
      </w:r>
      <w:r>
        <w:rPr>
          <w:rStyle w:val="Foreign"/>
        </w:rPr>
        <w:t>avagraha</w:t>
      </w:r>
      <w:r>
        <w:t>, §</w:t>
      </w:r>
      <w:r>
        <w:fldChar w:fldCharType="begin"/>
      </w:r>
      <w:r>
        <w:instrText xml:space="preserve"> REF _Ref15566181 \r \h </w:instrText>
      </w:r>
      <w:r>
        <w:fldChar w:fldCharType="separate"/>
      </w:r>
      <w:r w:rsidR="00CA5448">
        <w:t>3.12.3</w:t>
      </w:r>
      <w:r>
        <w:fldChar w:fldCharType="end"/>
      </w:r>
      <w:r>
        <w:t xml:space="preserve"> or elision, </w:t>
      </w:r>
      <w:r>
        <w:fldChar w:fldCharType="begin"/>
      </w:r>
      <w:r>
        <w:instrText xml:space="preserve"> REF _Ref15565291 \r \h </w:instrText>
      </w:r>
      <w:r>
        <w:fldChar w:fldCharType="separate"/>
      </w:r>
      <w:r w:rsidR="00CA5448">
        <w:t>3.12.4</w:t>
      </w:r>
      <w:r>
        <w:fldChar w:fldCharType="end"/>
      </w:r>
      <w:r>
        <w:t xml:space="preserve">) — substitute the plain apostrophe ' </w:t>
      </w:r>
    </w:p>
    <w:p w14:paraId="69BC7951" w14:textId="77777777" w:rsidR="00CC4081" w:rsidRDefault="00CC4081" w:rsidP="00CC4081">
      <w:pPr>
        <w:pStyle w:val="Lista2"/>
      </w:pPr>
      <w:r>
        <w:t>@possibly essential instead</w:t>
      </w:r>
    </w:p>
    <w:p w14:paraId="094BAEE9" w14:textId="77777777" w:rsidR="0053613B" w:rsidRDefault="0053613B" w:rsidP="0053613B">
      <w:pPr>
        <w:pStyle w:val="Lista2"/>
      </w:pPr>
      <w:r>
        <w:t>this shorthand is counter-recommended in documents that contain text in a modern language</w:t>
      </w:r>
    </w:p>
    <w:p w14:paraId="3781DF23" w14:textId="4CFDB49B" w:rsidR="0053613B" w:rsidRDefault="0053613B" w:rsidP="0053613B">
      <w:pPr>
        <w:pStyle w:val="Lista"/>
      </w:pPr>
      <w:r>
        <w:t>for characters involving an undercircle (</w:t>
      </w:r>
      <w:r>
        <w:rPr>
          <w:rStyle w:val="Foreign"/>
        </w:rPr>
        <w:t>r̥</w:t>
      </w:r>
      <w:r>
        <w:rPr>
          <w:noProof/>
        </w:rPr>
        <w:t xml:space="preserve">, </w:t>
      </w:r>
      <w:r>
        <w:rPr>
          <w:rStyle w:val="Foreign"/>
        </w:rPr>
        <w:t>r̥̄</w:t>
      </w:r>
      <w:r>
        <w:t xml:space="preserve"> and </w:t>
      </w:r>
      <w:r>
        <w:rPr>
          <w:rStyle w:val="Foreign"/>
        </w:rPr>
        <w:t>l̥</w:t>
      </w:r>
      <w:r>
        <w:t>, §</w:t>
      </w:r>
      <w:r>
        <w:fldChar w:fldCharType="begin"/>
      </w:r>
      <w:r>
        <w:instrText xml:space="preserve"> REF _Ref199856693 \r \h </w:instrText>
      </w:r>
      <w:r>
        <w:fldChar w:fldCharType="separate"/>
      </w:r>
      <w:r w:rsidR="00CA5448">
        <w:t>4.1.1</w:t>
      </w:r>
      <w:r>
        <w:fldChar w:fldCharType="end"/>
      </w:r>
      <w:r>
        <w:t>) — substitute underdotted characters (</w:t>
      </w:r>
      <w:r>
        <w:rPr>
          <w:rStyle w:val="Foreign"/>
        </w:rPr>
        <w:t>ṛ</w:t>
      </w:r>
      <w:r>
        <w:t xml:space="preserve">, </w:t>
      </w:r>
      <w:r>
        <w:rPr>
          <w:rStyle w:val="Foreign"/>
        </w:rPr>
        <w:t>ṝ</w:t>
      </w:r>
      <w:r>
        <w:t xml:space="preserve"> and </w:t>
      </w:r>
      <w:r>
        <w:rPr>
          <w:rStyle w:val="Foreign"/>
        </w:rPr>
        <w:t>ḷ</w:t>
      </w:r>
      <w:r>
        <w:t>)</w:t>
      </w:r>
    </w:p>
    <w:p w14:paraId="0C5A07ED" w14:textId="77777777" w:rsidR="0053613B" w:rsidRDefault="0053613B" w:rsidP="0053613B">
      <w:pPr>
        <w:pStyle w:val="Lista2"/>
      </w:pPr>
      <w:r>
        <w:t>this shorthand must not be used in documents that also employ the underdotted characters in their proper function (</w:t>
      </w:r>
      <w:r>
        <w:rPr>
          <w:rStyle w:val="Foreign"/>
        </w:rPr>
        <w:t>ṛ</w:t>
      </w:r>
      <w:r>
        <w:t xml:space="preserve"> for the retroflex flap and/or </w:t>
      </w:r>
      <w:r>
        <w:rPr>
          <w:rStyle w:val="Foreign"/>
        </w:rPr>
        <w:t>ḷ</w:t>
      </w:r>
      <w:r>
        <w:t xml:space="preserve"> for the retroflex glide)</w:t>
      </w:r>
    </w:p>
    <w:p w14:paraId="74EECA23" w14:textId="5D36B2C1" w:rsidR="0053613B" w:rsidRDefault="0053613B" w:rsidP="0053613B">
      <w:pPr>
        <w:pStyle w:val="Lista"/>
      </w:pPr>
      <w:r>
        <w:t>for the schwa ə (</w:t>
      </w:r>
      <w:r>
        <w:rPr>
          <w:rStyle w:val="Foreign"/>
        </w:rPr>
        <w:t>pepet</w:t>
      </w:r>
      <w:r>
        <w:t>, §</w:t>
      </w:r>
      <w:r>
        <w:fldChar w:fldCharType="begin"/>
      </w:r>
      <w:r>
        <w:instrText xml:space="preserve"> REF _Ref199857175 \r \h </w:instrText>
      </w:r>
      <w:r>
        <w:fldChar w:fldCharType="separate"/>
      </w:r>
      <w:r w:rsidR="00CA5448">
        <w:t>4.2.2</w:t>
      </w:r>
      <w:r>
        <w:fldChar w:fldCharType="end"/>
      </w:r>
      <w:r>
        <w:t>) — substitute ĕ</w:t>
      </w:r>
    </w:p>
    <w:p w14:paraId="07CDA604" w14:textId="0DD4DFD9" w:rsidR="0053613B" w:rsidRDefault="0053613B" w:rsidP="0053613B">
      <w:pPr>
        <w:pStyle w:val="Lista"/>
      </w:pPr>
      <w:r>
        <w:t>for the middle dot · (</w:t>
      </w:r>
      <w:r>
        <w:rPr>
          <w:rStyle w:val="Foreign"/>
        </w:rPr>
        <w:t>virāma</w:t>
      </w:r>
      <w:r>
        <w:t>, §</w:t>
      </w:r>
      <w:r>
        <w:fldChar w:fldCharType="begin"/>
      </w:r>
      <w:r>
        <w:instrText xml:space="preserve"> REF _Ref199857275 \r \h </w:instrText>
      </w:r>
      <w:r>
        <w:fldChar w:fldCharType="separate"/>
      </w:r>
      <w:r w:rsidR="00CA5448">
        <w:t>4.5.1</w:t>
      </w:r>
      <w:r>
        <w:fldChar w:fldCharType="end"/>
      </w:r>
      <w:r>
        <w:t>) — substitute the asterisk *</w:t>
      </w:r>
    </w:p>
    <w:p w14:paraId="7766A052" w14:textId="77777777" w:rsidR="0053613B" w:rsidRDefault="0053613B" w:rsidP="0053613B">
      <w:pPr>
        <w:pStyle w:val="Lista2"/>
      </w:pPr>
      <w:r>
        <w:t>this shorthand should only be used in documents that do not employ an asterisk for any other purpose, including the legitimate transliteration of certain variant signs</w:t>
      </w:r>
    </w:p>
    <w:p w14:paraId="3A6F4233" w14:textId="437D061F" w:rsidR="004355F3" w:rsidRDefault="004355F3" w:rsidP="004355F3">
      <w:pPr>
        <w:pStyle w:val="Lista"/>
      </w:pPr>
      <w:r>
        <w:rPr>
          <w:b/>
          <w:bCs/>
        </w:rPr>
        <w:t>ALSO</w:t>
      </w:r>
      <w:r>
        <w:t>, move the bit with “Some publishers will require you to use a particular font” over to this section, and refer from there; that is actually a form of public transliteration shorthand</w:t>
      </w:r>
    </w:p>
    <w:p w14:paraId="594971E9" w14:textId="7F40296D" w:rsidR="00233227" w:rsidRDefault="00233227" w:rsidP="00233227">
      <w:pPr>
        <w:pStyle w:val="Cmsor3"/>
      </w:pPr>
      <w:bookmarkStart w:id="163" w:name="_Toc200963280"/>
      <w:r>
        <w:t>Private markup shorthand</w:t>
      </w:r>
      <w:bookmarkEnd w:id="163"/>
    </w:p>
    <w:p w14:paraId="6D0D8F87" w14:textId="77777777" w:rsidR="00012166" w:rsidRDefault="00012166" w:rsidP="00012166">
      <w:r>
        <w:t>editorial stuff that had better be encoded but may need simple representation in loose transliteration and has probably been used by project members with the expectation that it will be auto-converted to markup</w:t>
      </w:r>
    </w:p>
    <w:p w14:paraId="269FC35F" w14:textId="22B089E1" w:rsidR="004355F3" w:rsidRDefault="00012166" w:rsidP="004355F3">
      <w:pPr>
        <w:pStyle w:val="Lista"/>
      </w:pPr>
      <w:r>
        <w:t>avagraha: still need decision whether public or private, and whether</w:t>
      </w:r>
    </w:p>
    <w:p w14:paraId="2E9DA1AF" w14:textId="22D42E9F" w:rsidR="00012166" w:rsidRDefault="00012166" w:rsidP="00012166">
      <w:pPr>
        <w:pStyle w:val="Lista2"/>
      </w:pPr>
      <w:r>
        <w:t xml:space="preserve">’ is shorthand for </w:t>
      </w:r>
      <w:r w:rsidRPr="00012166">
        <w:t>&lt;supplied reason="subaudible"&gt;’&lt;/supplied&gt;</w:t>
      </w:r>
      <w:r>
        <w:t xml:space="preserve"> and original avagrahas get no markup; or</w:t>
      </w:r>
    </w:p>
    <w:p w14:paraId="3DDC7231" w14:textId="3DDC2028" w:rsidR="00012166" w:rsidRDefault="00012166" w:rsidP="00012166">
      <w:pPr>
        <w:pStyle w:val="Lista2"/>
      </w:pPr>
      <w:r>
        <w:t>’ always means an editorial avagraha, and original avagrahas get &lt;orig&gt;</w:t>
      </w:r>
    </w:p>
    <w:p w14:paraId="7385E96D" w14:textId="17820D07" w:rsidR="00233227" w:rsidRDefault="00233227" w:rsidP="00233227">
      <w:pPr>
        <w:pStyle w:val="Lista"/>
      </w:pPr>
      <w:r>
        <w:t>§</w:t>
      </w:r>
      <w:r>
        <w:fldChar w:fldCharType="begin"/>
      </w:r>
      <w:r>
        <w:instrText xml:space="preserve"> REF _Ref199858237 \r \h </w:instrText>
      </w:r>
      <w:r>
        <w:fldChar w:fldCharType="separate"/>
      </w:r>
      <w:r w:rsidR="00CA5448">
        <w:t>5.2.2</w:t>
      </w:r>
      <w:r>
        <w:fldChar w:fldCharType="end"/>
      </w:r>
      <w:r>
        <w:t xml:space="preserve"> §abc for space fillers of a particular shape</w:t>
      </w:r>
    </w:p>
    <w:p w14:paraId="7358FBC5" w14:textId="27862C5E" w:rsidR="00233227" w:rsidRDefault="00233227" w:rsidP="00233227">
      <w:pPr>
        <w:pStyle w:val="Lista"/>
      </w:pPr>
      <w:r>
        <w:t>§</w:t>
      </w:r>
      <w:r>
        <w:fldChar w:fldCharType="begin"/>
      </w:r>
      <w:r>
        <w:instrText xml:space="preserve"> REF _Ref199858345 \r \h </w:instrText>
      </w:r>
      <w:r>
        <w:fldChar w:fldCharType="separate"/>
      </w:r>
      <w:r w:rsidR="00CA5448">
        <w:t>5.2.3</w:t>
      </w:r>
      <w:r>
        <w:fldChar w:fldCharType="end"/>
      </w:r>
      <w:r>
        <w:t xml:space="preserve"> $abc for symbols</w:t>
      </w:r>
    </w:p>
    <w:p w14:paraId="372164D2" w14:textId="70068A69" w:rsidR="0053613B" w:rsidRDefault="00233227" w:rsidP="0053613B">
      <w:pPr>
        <w:pStyle w:val="Cmsor3"/>
        <w:numPr>
          <w:ilvl w:val="2"/>
          <w:numId w:val="3"/>
        </w:numPr>
      </w:pPr>
      <w:bookmarkStart w:id="164" w:name="_Toc200963281"/>
      <w:r>
        <w:t>Public</w:t>
      </w:r>
      <w:r w:rsidR="00F42AF8">
        <w:t>/optional</w:t>
      </w:r>
      <w:r>
        <w:t xml:space="preserve"> markup shorthand</w:t>
      </w:r>
      <w:bookmarkEnd w:id="164"/>
    </w:p>
    <w:p w14:paraId="631AA38D" w14:textId="204D7583" w:rsidR="00233227" w:rsidRDefault="00233227" w:rsidP="0053613B">
      <w:r>
        <w:rPr>
          <w:lang w:eastAsia="en-US" w:bidi="ar-SA"/>
        </w:rPr>
        <w:t>keep only a list here, and the detailed descriptions in the referenced sections</w:t>
      </w:r>
    </w:p>
    <w:p w14:paraId="7F0BDCE2" w14:textId="77777777" w:rsidR="004355F3" w:rsidRDefault="004355F3" w:rsidP="004355F3">
      <w:pPr>
        <w:pStyle w:val="Lista"/>
      </w:pPr>
      <w:r>
        <w:t>the Tamil sandhi thing</w:t>
      </w:r>
    </w:p>
    <w:p w14:paraId="0525C789" w14:textId="77777777" w:rsidR="004355F3" w:rsidRDefault="004355F3" w:rsidP="004355F3">
      <w:pPr>
        <w:pStyle w:val="Lista2"/>
      </w:pPr>
      <w:r>
        <w:t>Tamilex: &lt;c type="elided"&gt;u&lt;/c&gt;</w:t>
      </w:r>
    </w:p>
    <w:p w14:paraId="156488F2" w14:textId="77777777" w:rsidR="004355F3" w:rsidRDefault="004355F3" w:rsidP="004355F3">
      <w:pPr>
        <w:pStyle w:val="Lista3"/>
      </w:pPr>
      <w:r>
        <w:t>doesn’t work for us because we work with the witnessed text, in which there is nothing here</w:t>
      </w:r>
    </w:p>
    <w:p w14:paraId="5DC6D94F" w14:textId="77777777" w:rsidR="00012166" w:rsidRDefault="00012166" w:rsidP="00012166">
      <w:pPr>
        <w:pStyle w:val="Lista"/>
      </w:pPr>
      <w:r>
        <w:t xml:space="preserve">Tamil short and long vowels (Manu on GitHub: </w:t>
      </w:r>
      <w:r w:rsidRPr="004355F3">
        <w:t>option c: ē and ō in these languages are always understood to be editorial when not marked up, and any original instances must be wrapped in &lt;orig&gt;</w:t>
      </w:r>
      <w:r>
        <w:t>)</w:t>
      </w:r>
    </w:p>
    <w:p w14:paraId="308B86D0" w14:textId="77777777" w:rsidR="00012166" w:rsidRDefault="00012166" w:rsidP="00012166">
      <w:pPr>
        <w:pStyle w:val="Lista"/>
      </w:pPr>
      <w:r>
        <w:t>??Indonesian short vowels where long expected</w:t>
      </w:r>
    </w:p>
    <w:p w14:paraId="1BDE8097" w14:textId="5A33C9A8" w:rsidR="0053613B" w:rsidRDefault="0053613B" w:rsidP="0053613B">
      <w:pPr>
        <w:pStyle w:val="Lista"/>
      </w:pPr>
      <w:r>
        <w:t>§</w:t>
      </w:r>
      <w:r>
        <w:fldChar w:fldCharType="begin"/>
      </w:r>
      <w:r>
        <w:instrText xml:space="preserve"> REF _Ref199858079 \r \h </w:instrText>
      </w:r>
      <w:r>
        <w:fldChar w:fldCharType="separate"/>
      </w:r>
      <w:r w:rsidR="00CA5448">
        <w:t>5.1</w:t>
      </w:r>
      <w:r>
        <w:fldChar w:fldCharType="end"/>
      </w:r>
      <w:r>
        <w:t xml:space="preserve"> + for numeric signs</w:t>
      </w:r>
    </w:p>
    <w:p w14:paraId="41F7F35A" w14:textId="77777777" w:rsidR="0053613B" w:rsidRDefault="0053613B" w:rsidP="0053613B">
      <w:pPr>
        <w:pStyle w:val="Lista2"/>
      </w:pPr>
      <w:r>
        <w:t>multi-digit</w:t>
      </w:r>
    </w:p>
    <w:p w14:paraId="603F9D02" w14:textId="77777777" w:rsidR="0053613B" w:rsidRDefault="0053613B" w:rsidP="0053613B">
      <w:pPr>
        <w:pStyle w:val="Lista2"/>
      </w:pPr>
      <w:r>
        <w:t>Cambodian bars</w:t>
      </w:r>
    </w:p>
    <w:p w14:paraId="0377435A" w14:textId="77777777" w:rsidR="0053613B" w:rsidRDefault="0053613B" w:rsidP="0053613B">
      <w:pPr>
        <w:pStyle w:val="Lista2"/>
      </w:pPr>
      <w:r>
        <w:lastRenderedPageBreak/>
        <w:t>fraction signs</w:t>
      </w:r>
    </w:p>
    <w:p w14:paraId="115F7D35" w14:textId="227475BD" w:rsidR="0053613B" w:rsidRDefault="0053613B" w:rsidP="0053613B">
      <w:pPr>
        <w:pStyle w:val="Lista"/>
      </w:pPr>
      <w:r>
        <w:t>§</w:t>
      </w:r>
      <w:r>
        <w:fldChar w:fldCharType="begin"/>
      </w:r>
      <w:r>
        <w:instrText xml:space="preserve"> REF _Ref199858162 \r \h </w:instrText>
      </w:r>
      <w:r>
        <w:fldChar w:fldCharType="separate"/>
      </w:r>
      <w:r w:rsidR="00CA5448">
        <w:t>5.2.1</w:t>
      </w:r>
      <w:r>
        <w:fldChar w:fldCharType="end"/>
      </w:r>
      <w:r>
        <w:t xml:space="preserve"> easy characters for punctuation signs</w:t>
      </w:r>
      <w:r w:rsidR="00A73125">
        <w:t xml:space="preserve"> @these could be viewed as transliteration graphemes like the § sign, except that they have a markup alternative (but probably so should the §)</w:t>
      </w:r>
    </w:p>
    <w:p w14:paraId="175325DC" w14:textId="77777777" w:rsidR="0053613B" w:rsidRDefault="0053613B" w:rsidP="0053613B">
      <w:pPr>
        <w:pStyle w:val="Lista2"/>
      </w:pPr>
      <w:r>
        <w:t>|</w:t>
      </w:r>
    </w:p>
    <w:p w14:paraId="6BE026F6" w14:textId="77777777" w:rsidR="0053613B" w:rsidRDefault="0053613B" w:rsidP="0053613B">
      <w:pPr>
        <w:pStyle w:val="Lista2"/>
      </w:pPr>
      <w:r>
        <w:t>||</w:t>
      </w:r>
    </w:p>
    <w:p w14:paraId="1143947F" w14:textId="77777777" w:rsidR="0053613B" w:rsidRDefault="0053613B" w:rsidP="0053613B">
      <w:pPr>
        <w:pStyle w:val="Lista2"/>
      </w:pPr>
      <w:r>
        <w:t>/</w:t>
      </w:r>
    </w:p>
    <w:p w14:paraId="68A4799E" w14:textId="77777777" w:rsidR="0053613B" w:rsidRDefault="0053613B" w:rsidP="0053613B">
      <w:pPr>
        <w:pStyle w:val="Lista2"/>
      </w:pPr>
      <w:r>
        <w:t>//</w:t>
      </w:r>
    </w:p>
    <w:p w14:paraId="08DA860F" w14:textId="77777777" w:rsidR="0053613B" w:rsidRDefault="0053613B" w:rsidP="0053613B">
      <w:pPr>
        <w:pStyle w:val="Lista2"/>
      </w:pPr>
      <w:r>
        <w:t>,</w:t>
      </w:r>
    </w:p>
    <w:p w14:paraId="425590E4" w14:textId="77777777" w:rsidR="0053613B" w:rsidRDefault="0053613B" w:rsidP="0053613B">
      <w:pPr>
        <w:pStyle w:val="Lista2"/>
      </w:pPr>
      <w:r>
        <w:t>~</w:t>
      </w:r>
    </w:p>
    <w:p w14:paraId="67A45171" w14:textId="77777777" w:rsidR="0053613B" w:rsidRDefault="0053613B" w:rsidP="0053613B">
      <w:pPr>
        <w:pStyle w:val="Lista2"/>
      </w:pPr>
      <w:r>
        <w:t>@</w:t>
      </w:r>
    </w:p>
    <w:p w14:paraId="7DA80238" w14:textId="19051867" w:rsidR="0053613B" w:rsidRDefault="0053613B" w:rsidP="0053613B">
      <w:pPr>
        <w:pStyle w:val="Lista2"/>
      </w:pPr>
      <w:r>
        <w:t>dingbats for symbols</w:t>
      </w:r>
    </w:p>
    <w:p w14:paraId="316A0E70" w14:textId="62F31848" w:rsidR="0053613B" w:rsidRDefault="0053613B" w:rsidP="0053613B">
      <w:pPr>
        <w:pStyle w:val="Lista"/>
      </w:pPr>
      <w:r>
        <w:t>§</w:t>
      </w:r>
      <w:r>
        <w:fldChar w:fldCharType="begin"/>
      </w:r>
      <w:r>
        <w:instrText xml:space="preserve"> REF _Ref199858306 \r \h </w:instrText>
      </w:r>
      <w:r>
        <w:fldChar w:fldCharType="separate"/>
      </w:r>
      <w:r w:rsidR="00CA5448">
        <w:t>5.2.4</w:t>
      </w:r>
      <w:r>
        <w:fldChar w:fldCharType="end"/>
      </w:r>
      <w:r>
        <w:t xml:space="preserve"> _ for space (but this may be a dedicated character like standalone § and the ceilings)</w:t>
      </w:r>
    </w:p>
    <w:p w14:paraId="5F7CF107" w14:textId="7BD707F3" w:rsidR="00230919" w:rsidRDefault="00230919" w:rsidP="0053613B">
      <w:pPr>
        <w:pStyle w:val="Lista"/>
      </w:pPr>
      <w:r>
        <w:t>. for punctuation</w:t>
      </w:r>
    </w:p>
    <w:p w14:paraId="3E5723DA" w14:textId="72AB8DA4" w:rsidR="00230919" w:rsidRDefault="00230919" w:rsidP="00230919">
      <w:pPr>
        <w:pStyle w:val="Lista2"/>
      </w:pPr>
      <w:r>
        <w:t>(add , for low-level punctuation and something for high-level punctuation?)</w:t>
      </w:r>
    </w:p>
    <w:p w14:paraId="08946D00" w14:textId="42DA4E72" w:rsidR="00230919" w:rsidRDefault="00230919" w:rsidP="0053613B">
      <w:pPr>
        <w:pStyle w:val="Lista"/>
      </w:pPr>
      <w:r>
        <w:t>§ for space fillers</w:t>
      </w:r>
    </w:p>
    <w:p w14:paraId="3D7B27F5" w14:textId="77777777" w:rsidR="00CF06CF" w:rsidRDefault="00CF06CF" w:rsidP="00CF06CF">
      <w:pPr>
        <w:pStyle w:val="Cmsor2"/>
      </w:pPr>
      <w:bookmarkStart w:id="165" w:name="_Ref200959599"/>
      <w:bookmarkStart w:id="166" w:name="_Toc200963282"/>
      <w:r>
        <w:t>Low-level editorial markup in transliteration</w:t>
      </w:r>
      <w:bookmarkEnd w:id="157"/>
      <w:bookmarkEnd w:id="165"/>
      <w:bookmarkEnd w:id="166"/>
    </w:p>
    <w:p w14:paraId="6763F9CE" w14:textId="045F5F28" w:rsidR="00CC4081" w:rsidRDefault="00CC4081" w:rsidP="00CC4081">
      <w:r>
        <w:t>, are in fact also a kind of shorthand replacing more complex computer markup, and may in the future be automatically replaced with such</w:t>
      </w:r>
    </w:p>
    <w:p w14:paraId="3D8076EE" w14:textId="77777777" w:rsidR="00CC4081" w:rsidRDefault="00CC4081" w:rsidP="00CC4081"/>
    <w:p w14:paraId="38B8C9DB" w14:textId="09359363" w:rsidR="00CF06CF" w:rsidRDefault="00CF06CF" w:rsidP="00CF06CF">
      <w:pPr>
        <w:pStyle w:val="Lista"/>
      </w:pPr>
      <w:r>
        <w:t>@@@as a general rule, do not add anything to your transliteration that is not already present in the original text</w:t>
      </w:r>
    </w:p>
    <w:p w14:paraId="2424A6F5" w14:textId="77777777" w:rsidR="00CF06CF" w:rsidRDefault="00CF06CF" w:rsidP="00CF06CF">
      <w:pPr>
        <w:pStyle w:val="Lista"/>
      </w:pPr>
      <w:r>
        <w:t>in order to handle editorial additions and alterations, you must rely on markup; see EGD §6</w:t>
      </w:r>
    </w:p>
    <w:p w14:paraId="2D25DB06" w14:textId="77777777" w:rsidR="00CF06CF" w:rsidRDefault="00CF06CF" w:rsidP="00CF06CF">
      <w:pPr>
        <w:pStyle w:val="Lista"/>
      </w:pPr>
      <w:r>
        <w:t>however, this general rule comes with the following exceptions, which serve as a low-level editorial markup to facilitate the analysis and segmentation of a text for human readers, and which may at a later stage be converted to machine-readable XML markup</w:t>
      </w:r>
    </w:p>
    <w:p w14:paraId="20503CBD" w14:textId="4E77A467" w:rsidR="00CF06CF" w:rsidRDefault="00CF06CF" w:rsidP="00CF06CF">
      <w:pPr>
        <w:pStyle w:val="Lista"/>
      </w:pPr>
      <w:r>
        <w:t xml:space="preserve">@add some intro here or </w:t>
      </w:r>
      <w:r w:rsidR="004355F3">
        <w:t xml:space="preserve">in subsection </w:t>
      </w:r>
      <w:r>
        <w:t>about</w:t>
      </w:r>
    </w:p>
    <w:p w14:paraId="4136E40B" w14:textId="77777777" w:rsidR="00CF06CF" w:rsidRDefault="00CF06CF" w:rsidP="00CF06CF">
      <w:pPr>
        <w:pStyle w:val="Lista2"/>
      </w:pPr>
      <w:r>
        <w:t>how transliteration always involves some subjective interpretation</w:t>
      </w:r>
    </w:p>
    <w:p w14:paraId="71D75B7A" w14:textId="77777777" w:rsidR="00CF06CF" w:rsidRDefault="00CF06CF" w:rsidP="00CF06CF">
      <w:pPr>
        <w:pStyle w:val="Lista2"/>
      </w:pPr>
      <w:r>
        <w:t>and the treatment of homography, with benefit of the doubt for the scribe or editorial normalisation</w:t>
      </w:r>
    </w:p>
    <w:p w14:paraId="6DDD3D38" w14:textId="77777777" w:rsidR="00CF06CF" w:rsidRDefault="00CF06CF" w:rsidP="00CF06CF">
      <w:pPr>
        <w:pStyle w:val="Lista3"/>
      </w:pPr>
      <w:r>
        <w:t>e.g. short or long i; subscript ṇ looks like n, whatever</w:t>
      </w:r>
    </w:p>
    <w:p w14:paraId="045F8314" w14:textId="19FC7064" w:rsidR="000C32C7" w:rsidRDefault="000C32C7" w:rsidP="00012166">
      <w:pPr>
        <w:pStyle w:val="Lista"/>
      </w:pPr>
      <w:r>
        <w:t>integral parts of the transliteration system:</w:t>
      </w:r>
    </w:p>
    <w:p w14:paraId="6A84C08D" w14:textId="3D84B05F" w:rsidR="000C32C7" w:rsidRDefault="000C32C7" w:rsidP="00012166">
      <w:pPr>
        <w:pStyle w:val="Lista2"/>
      </w:pPr>
      <w:r>
        <w:t>the disambiguation colon, which is not really editorial markup</w:t>
      </w:r>
      <w:r w:rsidR="00012166">
        <w:t>, so best keep it separate as now</w:t>
      </w:r>
    </w:p>
    <w:p w14:paraId="0DFF4D7A" w14:textId="230D104E" w:rsidR="000C32C7" w:rsidRDefault="000C32C7" w:rsidP="00012166">
      <w:pPr>
        <w:pStyle w:val="Lista2"/>
      </w:pPr>
      <w:r>
        <w:t>the ceilings, which are markup but don’t have a feasible encoding alternative</w:t>
      </w:r>
    </w:p>
    <w:p w14:paraId="2251A9BE" w14:textId="2F7DE7DD" w:rsidR="000C32C7" w:rsidRDefault="000C32C7" w:rsidP="00012166">
      <w:pPr>
        <w:pStyle w:val="Lista"/>
      </w:pPr>
      <w:r>
        <w:t>basic things which we don’t want to do by encoding but could</w:t>
      </w:r>
    </w:p>
    <w:p w14:paraId="2BA625EB" w14:textId="4B10C8DA" w:rsidR="000C32C7" w:rsidRDefault="00233227" w:rsidP="00012166">
      <w:pPr>
        <w:pStyle w:val="Lista2"/>
      </w:pPr>
      <w:r>
        <w:t xml:space="preserve">word </w:t>
      </w:r>
      <w:r w:rsidR="000C32C7">
        <w:t>spac</w:t>
      </w:r>
      <w:r>
        <w:t>ing</w:t>
      </w:r>
    </w:p>
    <w:p w14:paraId="7D935645" w14:textId="06BDC6F1" w:rsidR="000C32C7" w:rsidRDefault="000C32C7" w:rsidP="00012166">
      <w:pPr>
        <w:pStyle w:val="Lista2"/>
      </w:pPr>
      <w:r>
        <w:t>hyphen</w:t>
      </w:r>
    </w:p>
    <w:p w14:paraId="6BADD102" w14:textId="77777777" w:rsidR="00A73125" w:rsidRDefault="00A73125" w:rsidP="00A73125">
      <w:pPr>
        <w:pStyle w:val="Cmsor2"/>
        <w:numPr>
          <w:ilvl w:val="1"/>
          <w:numId w:val="3"/>
        </w:numPr>
      </w:pPr>
      <w:bookmarkStart w:id="167" w:name="_Toc200963283"/>
      <w:bookmarkEnd w:id="158"/>
      <w:bookmarkEnd w:id="159"/>
      <w:bookmarkEnd w:id="160"/>
      <w:bookmarkEnd w:id="161"/>
      <w:r>
        <w:t>@DESCRIPTIVE: ENCODING PREFERRED</w:t>
      </w:r>
      <w:bookmarkEnd w:id="167"/>
    </w:p>
    <w:p w14:paraId="063823AE" w14:textId="77777777" w:rsidR="00A73125" w:rsidRDefault="00A73125" w:rsidP="00A73125">
      <w:pPr>
        <w:pStyle w:val="Cmsor3"/>
      </w:pPr>
      <w:bookmarkStart w:id="168" w:name="_Toc200963284"/>
      <w:r>
        <w:t xml:space="preserve">Representation of </w:t>
      </w:r>
      <w:r>
        <w:rPr>
          <w:rStyle w:val="Foreign"/>
        </w:rPr>
        <w:t>akṣara</w:t>
      </w:r>
      <w:r>
        <w:t xml:space="preserve"> composition @i.e. graphetic particulars</w:t>
      </w:r>
      <w:bookmarkEnd w:id="168"/>
    </w:p>
    <w:p w14:paraId="32BD77B2" w14:textId="77777777" w:rsidR="00A73125" w:rsidRDefault="00A73125" w:rsidP="00A73125">
      <w:pPr>
        <w:pStyle w:val="Lista"/>
        <w:rPr>
          <w:lang w:eastAsia="en-US" w:bidi="ar-SA"/>
        </w:rPr>
      </w:pPr>
      <w:r>
        <w:rPr>
          <w:lang w:eastAsia="en-US" w:bidi="ar-SA"/>
        </w:rPr>
        <w:t>@at least mention here, a general thing on the = sign</w:t>
      </w:r>
    </w:p>
    <w:p w14:paraId="7CC1A86C" w14:textId="15F8664D" w:rsidR="00A73125" w:rsidRDefault="00A73125" w:rsidP="00A73125">
      <w:pPr>
        <w:pStyle w:val="Cmsor3"/>
      </w:pPr>
      <w:bookmarkStart w:id="169" w:name="_Toc200963285"/>
      <w:r>
        <w:t xml:space="preserve">Split </w:t>
      </w:r>
      <w:r w:rsidRPr="00A73125">
        <w:rPr>
          <w:rStyle w:val="Foreign"/>
        </w:rPr>
        <w:t>akṣaras</w:t>
      </w:r>
      <w:bookmarkEnd w:id="169"/>
    </w:p>
    <w:p w14:paraId="29A5A4F5" w14:textId="2E491FD1" w:rsidR="00A73125" w:rsidRDefault="00A73125" w:rsidP="00A73125">
      <w:pPr>
        <w:pStyle w:val="Lista"/>
        <w:rPr>
          <w:lang w:eastAsia="en-US" w:bidi="ar-SA"/>
        </w:rPr>
      </w:pPr>
      <w:r>
        <w:rPr>
          <w:lang w:eastAsia="en-US" w:bidi="ar-SA"/>
        </w:rPr>
        <w:t>the ceilings belong here</w:t>
      </w:r>
    </w:p>
    <w:p w14:paraId="3065DB0E" w14:textId="138037D8" w:rsidR="00825900" w:rsidRDefault="00825900" w:rsidP="007465A4">
      <w:pPr>
        <w:pStyle w:val="Cmsor2"/>
        <w:numPr>
          <w:ilvl w:val="1"/>
          <w:numId w:val="3"/>
        </w:numPr>
      </w:pPr>
      <w:bookmarkStart w:id="170" w:name="_Toc200963286"/>
      <w:r>
        <w:lastRenderedPageBreak/>
        <w:t>@INTE</w:t>
      </w:r>
      <w:r w:rsidR="00492C05">
        <w:t>RPRETIVE ADDITIONS</w:t>
      </w:r>
      <w:bookmarkEnd w:id="170"/>
    </w:p>
    <w:p w14:paraId="6C28F3E3" w14:textId="77777777" w:rsidR="0053613B" w:rsidRDefault="0053613B" w:rsidP="0053613B">
      <w:pPr>
        <w:pStyle w:val="Cmsor3"/>
      </w:pPr>
      <w:bookmarkStart w:id="171" w:name="_Toc200963287"/>
      <w:r>
        <w:t>Editorial spaces for word segmentation</w:t>
      </w:r>
      <w:bookmarkEnd w:id="171"/>
    </w:p>
    <w:p w14:paraId="7A2141A0" w14:textId="77777777" w:rsidR="0053613B" w:rsidRDefault="0053613B" w:rsidP="0053613B">
      <w:pPr>
        <w:pStyle w:val="Lista"/>
      </w:pPr>
      <w:r>
        <w:rPr>
          <w:b/>
          <w:bCs/>
        </w:rPr>
        <w:t>words</w:t>
      </w:r>
      <w:r>
        <w:t xml:space="preserve"> should be </w:t>
      </w:r>
      <w:r>
        <w:rPr>
          <w:b/>
          <w:bCs/>
        </w:rPr>
        <w:t>separated</w:t>
      </w:r>
      <w:r>
        <w:t xml:space="preserve"> from one another with a space wherever Romanised transliteration allows, notwithstanding that the original inscription or a published edition, whether in Indic or Latin script, does not do so</w:t>
      </w:r>
    </w:p>
    <w:p w14:paraId="68DF8232" w14:textId="77777777" w:rsidR="0053613B" w:rsidRDefault="0053613B" w:rsidP="0053613B">
      <w:pPr>
        <w:pStyle w:val="Lista"/>
      </w:pPr>
      <w:r>
        <w:t xml:space="preserve">emphatically, </w:t>
      </w:r>
      <w:r>
        <w:rPr>
          <w:b/>
          <w:bCs/>
        </w:rPr>
        <w:t>do add spaces</w:t>
      </w:r>
    </w:p>
    <w:p w14:paraId="6192A7BB" w14:textId="77777777" w:rsidR="0053613B" w:rsidRDefault="0053613B" w:rsidP="0053613B">
      <w:pPr>
        <w:pStyle w:val="Lista2"/>
      </w:pPr>
      <w:r>
        <w:t xml:space="preserve">where the end of one word and the beginning of the next word constitute a single </w:t>
      </w:r>
      <w:r>
        <w:rPr>
          <w:rStyle w:val="Foreign"/>
        </w:rPr>
        <w:t>akṣara</w:t>
      </w:r>
      <w:r>
        <w:t xml:space="preserve"> in the original</w:t>
      </w:r>
    </w:p>
    <w:p w14:paraId="52399C88" w14:textId="77777777" w:rsidR="0053613B" w:rsidRDefault="0053613B" w:rsidP="0053613B">
      <w:pPr>
        <w:pStyle w:val="Lista3"/>
      </w:pPr>
      <w:r>
        <w:t xml:space="preserve">even if such an </w:t>
      </w:r>
      <w:r>
        <w:rPr>
          <w:rStyle w:val="Foreign"/>
        </w:rPr>
        <w:t>akṣara</w:t>
      </w:r>
      <w:r>
        <w:t xml:space="preserve"> involves a sandhi modification, e.g.</w:t>
      </w:r>
    </w:p>
    <w:p w14:paraId="0736E0F5" w14:textId="77777777" w:rsidR="0053613B" w:rsidRDefault="0053613B" w:rsidP="0053613B">
      <w:pPr>
        <w:pStyle w:val="Lista4"/>
      </w:pPr>
      <w:r>
        <w:t>Sanskrit</w:t>
      </w:r>
      <w:r>
        <w:rPr>
          <w:rStyle w:val="Foreign"/>
        </w:rPr>
        <w:t xml:space="preserve"> tad dhi</w:t>
      </w:r>
      <w:r>
        <w:t xml:space="preserve"> (for </w:t>
      </w:r>
      <w:r>
        <w:rPr>
          <w:rStyle w:val="Foreign"/>
        </w:rPr>
        <w:t>tat + hi</w:t>
      </w:r>
      <w:r>
        <w:t xml:space="preserve"> – space goes between </w:t>
      </w:r>
      <w:r>
        <w:rPr>
          <w:rStyle w:val="Foreign"/>
        </w:rPr>
        <w:t>d</w:t>
      </w:r>
      <w:r>
        <w:t xml:space="preserve"> and </w:t>
      </w:r>
      <w:r>
        <w:rPr>
          <w:rStyle w:val="Foreign"/>
        </w:rPr>
        <w:t>dh</w:t>
      </w:r>
      <w:r>
        <w:t>)</w:t>
      </w:r>
    </w:p>
    <w:p w14:paraId="5F60B86C" w14:textId="77777777" w:rsidR="0053613B" w:rsidRDefault="0053613B" w:rsidP="0053613B">
      <w:pPr>
        <w:pStyle w:val="Lista4"/>
      </w:pPr>
      <w:r>
        <w:t xml:space="preserve">Sanskrit </w:t>
      </w:r>
      <w:r>
        <w:rPr>
          <w:rStyle w:val="Foreign"/>
        </w:rPr>
        <w:t>gacchaty eva</w:t>
      </w:r>
      <w:r>
        <w:t xml:space="preserve"> (space goes after the </w:t>
      </w:r>
      <w:r>
        <w:rPr>
          <w:rStyle w:val="Foreign"/>
        </w:rPr>
        <w:t>y</w:t>
      </w:r>
      <w:r>
        <w:t>)</w:t>
      </w:r>
    </w:p>
    <w:p w14:paraId="1C8FE187" w14:textId="77777777" w:rsidR="0053613B" w:rsidRDefault="0053613B" w:rsidP="0053613B">
      <w:pPr>
        <w:pStyle w:val="Lista4"/>
        <w:rPr>
          <w:i/>
          <w:noProof/>
        </w:rPr>
      </w:pPr>
      <w:r>
        <w:t xml:space="preserve">Sanskrit </w:t>
      </w:r>
      <w:r>
        <w:rPr>
          <w:rStyle w:val="Foreign"/>
        </w:rPr>
        <w:t>putrām̐l lakṣmīḥ</w:t>
      </w:r>
      <w:r>
        <w:t xml:space="preserve"> (space goes between the two </w:t>
      </w:r>
      <w:r>
        <w:rPr>
          <w:rStyle w:val="Foreign"/>
        </w:rPr>
        <w:t>l</w:t>
      </w:r>
      <w:r>
        <w:t>-s)</w:t>
      </w:r>
    </w:p>
    <w:p w14:paraId="56CBA6CC" w14:textId="77777777" w:rsidR="0053613B" w:rsidRDefault="0053613B" w:rsidP="0053613B">
      <w:pPr>
        <w:pStyle w:val="Lista4"/>
      </w:pPr>
      <w:r>
        <w:t xml:space="preserve">Old Javanese </w:t>
      </w:r>
      <w:r>
        <w:rPr>
          <w:rStyle w:val="Foreign"/>
        </w:rPr>
        <w:t>tann inaku</w:t>
      </w:r>
      <w:r>
        <w:t xml:space="preserve"> (space goes between the </w:t>
      </w:r>
      <w:r>
        <w:rPr>
          <w:rStyle w:val="Foreign"/>
        </w:rPr>
        <w:t>-nn</w:t>
      </w:r>
      <w:r>
        <w:t xml:space="preserve"> and the </w:t>
      </w:r>
      <w:r>
        <w:rPr>
          <w:rStyle w:val="Foreign"/>
        </w:rPr>
        <w:t>i</w:t>
      </w:r>
      <w:r>
        <w:t>-)</w:t>
      </w:r>
    </w:p>
    <w:p w14:paraId="5DCAC722" w14:textId="36C41492" w:rsidR="0053613B" w:rsidRDefault="0053613B" w:rsidP="0053613B">
      <w:pPr>
        <w:pStyle w:val="Lista4"/>
      </w:pPr>
      <w:r>
        <w:t xml:space="preserve">Tamil </w:t>
      </w:r>
      <w:r>
        <w:rPr>
          <w:rStyle w:val="Foreign"/>
        </w:rPr>
        <w:t>arit’ eṉṟu</w:t>
      </w:r>
      <w:r>
        <w:t xml:space="preserve"> (for </w:t>
      </w:r>
      <w:r>
        <w:rPr>
          <w:rStyle w:val="Foreign"/>
        </w:rPr>
        <w:t>aritu + eṉṟu</w:t>
      </w:r>
      <w:r>
        <w:t>; see also §</w:t>
      </w:r>
      <w:r>
        <w:fldChar w:fldCharType="begin"/>
      </w:r>
      <w:r>
        <w:instrText xml:space="preserve"> REF _Ref15565291 \r \h </w:instrText>
      </w:r>
      <w:r>
        <w:fldChar w:fldCharType="separate"/>
      </w:r>
      <w:r w:rsidR="00CA5448">
        <w:t>3.12.4</w:t>
      </w:r>
      <w:r>
        <w:fldChar w:fldCharType="end"/>
      </w:r>
      <w:r>
        <w:t xml:space="preserve"> for elision of overshort </w:t>
      </w:r>
      <w:r>
        <w:rPr>
          <w:rStyle w:val="Foreign"/>
        </w:rPr>
        <w:t>u</w:t>
      </w:r>
      <w:r>
        <w:t xml:space="preserve"> in Tamil)</w:t>
      </w:r>
    </w:p>
    <w:p w14:paraId="47465A30" w14:textId="77777777" w:rsidR="0053613B" w:rsidRDefault="0053613B" w:rsidP="0053613B">
      <w:pPr>
        <w:pStyle w:val="Lista3"/>
      </w:pPr>
      <w:r>
        <w:t>including non-standard sandhi and orthographic practice, e.g.</w:t>
      </w:r>
    </w:p>
    <w:p w14:paraId="70FEC06C" w14:textId="77777777" w:rsidR="0053613B" w:rsidRDefault="0053613B" w:rsidP="0053613B">
      <w:pPr>
        <w:pStyle w:val="Lista4"/>
      </w:pPr>
      <w:r>
        <w:t xml:space="preserve">nasals used where standard orthography would employ an </w:t>
      </w:r>
      <w:r>
        <w:rPr>
          <w:rStyle w:val="Foreign"/>
        </w:rPr>
        <w:t>anusvāra</w:t>
      </w:r>
      <w:r>
        <w:t xml:space="preserve">, e.g. Sanskrit </w:t>
      </w:r>
      <w:r>
        <w:rPr>
          <w:rStyle w:val="Foreign"/>
        </w:rPr>
        <w:t>uktañ ca</w:t>
      </w:r>
      <w:r>
        <w:t xml:space="preserve"> or </w:t>
      </w:r>
      <w:r>
        <w:rPr>
          <w:rStyle w:val="Foreign"/>
        </w:rPr>
        <w:t>śaraṇaṅ gataḥ</w:t>
      </w:r>
    </w:p>
    <w:p w14:paraId="7828D908" w14:textId="77777777" w:rsidR="0053613B" w:rsidRDefault="0053613B" w:rsidP="0053613B">
      <w:pPr>
        <w:pStyle w:val="Lista4"/>
      </w:pPr>
      <w:r>
        <w:t xml:space="preserve">Sanskrit </w:t>
      </w:r>
      <w:r>
        <w:rPr>
          <w:rStyle w:val="Foreign"/>
        </w:rPr>
        <w:t>dīnārair ddaśabhiḥ</w:t>
      </w:r>
    </w:p>
    <w:p w14:paraId="521AF407" w14:textId="77777777" w:rsidR="0053613B" w:rsidRDefault="0053613B" w:rsidP="0053613B">
      <w:pPr>
        <w:pStyle w:val="Lista4"/>
      </w:pPr>
      <w:r>
        <w:t xml:space="preserve">Old Javanese </w:t>
      </w:r>
      <w:r>
        <w:rPr>
          <w:rStyle w:val="Foreign"/>
        </w:rPr>
        <w:t>darpaṇa ryy avakta</w:t>
      </w:r>
    </w:p>
    <w:p w14:paraId="6F108E93" w14:textId="77777777" w:rsidR="0053613B" w:rsidRDefault="0053613B" w:rsidP="0053613B">
      <w:pPr>
        <w:pStyle w:val="Lista2"/>
      </w:pPr>
      <w:r>
        <w:t xml:space="preserve">before an </w:t>
      </w:r>
      <w:r>
        <w:rPr>
          <w:rStyle w:val="Foreign"/>
        </w:rPr>
        <w:t>avagraha</w:t>
      </w:r>
      <w:r>
        <w:t>, unless it occurs within a compound</w:t>
      </w:r>
    </w:p>
    <w:p w14:paraId="693A9C07" w14:textId="77777777" w:rsidR="0053613B" w:rsidRDefault="0053613B" w:rsidP="0053613B">
      <w:pPr>
        <w:pStyle w:val="Lista3"/>
      </w:pPr>
      <w:r>
        <w:t xml:space="preserve">thus use, e.g. </w:t>
      </w:r>
      <w:r>
        <w:rPr>
          <w:rStyle w:val="Foreign"/>
        </w:rPr>
        <w:t>so ’bhūt</w:t>
      </w:r>
      <w:r>
        <w:t xml:space="preserve"> and not </w:t>
      </w:r>
      <w:r>
        <w:rPr>
          <w:rStyle w:val="Foreign"/>
        </w:rPr>
        <w:t>so’bhūt</w:t>
      </w:r>
      <w:r>
        <w:t xml:space="preserve"> for separate words, but use e.g. </w:t>
      </w:r>
      <w:r>
        <w:rPr>
          <w:rStyle w:val="Foreign"/>
        </w:rPr>
        <w:t>saro’nte</w:t>
      </w:r>
      <w:r>
        <w:t xml:space="preserve"> or </w:t>
      </w:r>
      <w:r>
        <w:rPr>
          <w:rStyle w:val="Foreign"/>
        </w:rPr>
        <w:t>saro-’nte</w:t>
      </w:r>
      <w:r>
        <w:t xml:space="preserve"> in compound, depending on whether or not you use hyphens for compound segmentation</w:t>
      </w:r>
    </w:p>
    <w:p w14:paraId="0880B7DA" w14:textId="77777777" w:rsidR="0053613B" w:rsidRDefault="0053613B" w:rsidP="0053613B">
      <w:pPr>
        <w:pStyle w:val="Lista2"/>
      </w:pPr>
      <w:r>
        <w:t xml:space="preserve">in close-knit structures such as </w:t>
      </w:r>
      <w:r>
        <w:rPr>
          <w:rStyle w:val="Foreign"/>
        </w:rPr>
        <w:t>atha vā</w:t>
      </w:r>
      <w:r>
        <w:t xml:space="preserve">, </w:t>
      </w:r>
      <w:r>
        <w:rPr>
          <w:rStyle w:val="Foreign"/>
        </w:rPr>
        <w:t>kiṁ ca</w:t>
      </w:r>
      <w:r>
        <w:t xml:space="preserve"> and </w:t>
      </w:r>
      <w:r>
        <w:rPr>
          <w:rStyle w:val="Foreign"/>
        </w:rPr>
        <w:t>kiṁ tu</w:t>
      </w:r>
      <w:r>
        <w:t xml:space="preserve"> (even if spelt </w:t>
      </w:r>
      <w:r>
        <w:rPr>
          <w:rStyle w:val="Foreign"/>
        </w:rPr>
        <w:t>kiñ ca</w:t>
      </w:r>
      <w:r>
        <w:t xml:space="preserve"> and </w:t>
      </w:r>
      <w:r>
        <w:rPr>
          <w:rStyle w:val="Foreign"/>
        </w:rPr>
        <w:t>kin tu</w:t>
      </w:r>
      <w:r>
        <w:t xml:space="preserve">), </w:t>
      </w:r>
      <w:r>
        <w:rPr>
          <w:rStyle w:val="Foreign"/>
        </w:rPr>
        <w:t>tad</w:t>
      </w:r>
      <w:r>
        <w:t xml:space="preserve"> </w:t>
      </w:r>
      <w:r>
        <w:rPr>
          <w:rStyle w:val="Foreign"/>
        </w:rPr>
        <w:t>yathā</w:t>
      </w:r>
      <w:r>
        <w:t>; including grammaticalised structures such as</w:t>
      </w:r>
    </w:p>
    <w:p w14:paraId="4D19CA9C" w14:textId="77777777" w:rsidR="0053613B" w:rsidRDefault="0053613B" w:rsidP="0053613B">
      <w:pPr>
        <w:pStyle w:val="Lista3"/>
      </w:pPr>
      <w:r>
        <w:t xml:space="preserve">Sanskrit periphrastic perfects, e.g. </w:t>
      </w:r>
      <w:r>
        <w:rPr>
          <w:rStyle w:val="Foreign"/>
        </w:rPr>
        <w:t>varayāṁ cakāra</w:t>
      </w:r>
      <w:r>
        <w:t xml:space="preserve"> (especially since other words may intrude inside such a construction, e.g. </w:t>
      </w:r>
      <w:r>
        <w:rPr>
          <w:rStyle w:val="Foreign"/>
        </w:rPr>
        <w:t>saṁraṁjayāṁ ca prakr̥tīr babhūva</w:t>
      </w:r>
      <w:r>
        <w:t>)</w:t>
      </w:r>
    </w:p>
    <w:p w14:paraId="717EA726" w14:textId="77777777" w:rsidR="0053613B" w:rsidRDefault="0053613B" w:rsidP="0053613B">
      <w:pPr>
        <w:pStyle w:val="Lista3"/>
      </w:pPr>
      <w:r>
        <w:t xml:space="preserve">Sanskrit past tense formed with imperfect and </w:t>
      </w:r>
      <w:r>
        <w:rPr>
          <w:rStyle w:val="Foreign"/>
        </w:rPr>
        <w:t>sma</w:t>
      </w:r>
      <w:r>
        <w:t xml:space="preserve">, e.g. </w:t>
      </w:r>
      <w:r>
        <w:rPr>
          <w:rStyle w:val="Foreign"/>
        </w:rPr>
        <w:t>samādiśati sma</w:t>
      </w:r>
    </w:p>
    <w:p w14:paraId="22DF4CE6" w14:textId="77777777" w:rsidR="0053613B" w:rsidRDefault="0053613B" w:rsidP="0053613B">
      <w:pPr>
        <w:pStyle w:val="Lista3"/>
      </w:pPr>
      <w:r>
        <w:t xml:space="preserve">Sanskrit formations with </w:t>
      </w:r>
      <w:r>
        <w:rPr>
          <w:rStyle w:val="Foreign"/>
        </w:rPr>
        <w:t>-sāt</w:t>
      </w:r>
      <w:r>
        <w:t xml:space="preserve"> prefixed to a verb such as </w:t>
      </w:r>
      <w:r>
        <w:rPr>
          <w:rStyle w:val="Foreign"/>
        </w:rPr>
        <w:t>brāhmaṇasād gatāḥ</w:t>
      </w:r>
    </w:p>
    <w:p w14:paraId="6B95E333" w14:textId="77777777" w:rsidR="0053613B" w:rsidRDefault="0053613B" w:rsidP="0053613B">
      <w:pPr>
        <w:pStyle w:val="Lista3"/>
      </w:pPr>
      <w:r>
        <w:t xml:space="preserve">Sanskrit prepositions such as </w:t>
      </w:r>
      <w:r>
        <w:rPr>
          <w:rStyle w:val="Foreign"/>
        </w:rPr>
        <w:t>ā samudrāt</w:t>
      </w:r>
      <w:r>
        <w:t xml:space="preserve">, </w:t>
      </w:r>
      <w:r>
        <w:rPr>
          <w:rStyle w:val="Foreign"/>
        </w:rPr>
        <w:t>anu gaṅgām</w:t>
      </w:r>
    </w:p>
    <w:p w14:paraId="703A1EF3" w14:textId="77777777" w:rsidR="0053613B" w:rsidRDefault="0053613B" w:rsidP="0053613B">
      <w:pPr>
        <w:pStyle w:val="Lista2"/>
        <w:rPr>
          <w:rStyle w:val="Foreign"/>
        </w:rPr>
      </w:pPr>
      <w:r>
        <w:t>in repetitions of Sanskrit inflected pronouns and nouns (</w:t>
      </w:r>
      <w:r>
        <w:rPr>
          <w:rStyle w:val="Foreign"/>
        </w:rPr>
        <w:t>āmreḍita</w:t>
      </w:r>
      <w:r>
        <w:t xml:space="preserve">) expressing a generalised or distributive meaning, e.g. </w:t>
      </w:r>
      <w:r>
        <w:rPr>
          <w:rStyle w:val="Foreign"/>
        </w:rPr>
        <w:t>yasya yasya</w:t>
      </w:r>
      <w:r>
        <w:t xml:space="preserve">, </w:t>
      </w:r>
      <w:r>
        <w:rPr>
          <w:rStyle w:val="Foreign"/>
        </w:rPr>
        <w:t>dine dine</w:t>
      </w:r>
    </w:p>
    <w:p w14:paraId="00C24133" w14:textId="77777777" w:rsidR="0053613B" w:rsidRDefault="0053613B" w:rsidP="0053613B">
      <w:pPr>
        <w:pStyle w:val="Lista"/>
      </w:pPr>
      <w:r>
        <w:rPr>
          <w:b/>
          <w:bCs/>
        </w:rPr>
        <w:t>do not</w:t>
      </w:r>
      <w:r>
        <w:t>, however, use spaces (nor hyphens) to separate</w:t>
      </w:r>
    </w:p>
    <w:p w14:paraId="374BEAD0" w14:textId="77777777" w:rsidR="0053613B" w:rsidRDefault="0053613B" w:rsidP="0053613B">
      <w:pPr>
        <w:pStyle w:val="Lista2"/>
      </w:pPr>
      <w:r>
        <w:t>successive words where the final vowel of the first and the initial vowel of the second are fused in vowel sandhi, e.g.</w:t>
      </w:r>
    </w:p>
    <w:p w14:paraId="767C0A9F" w14:textId="77777777" w:rsidR="0053613B" w:rsidRDefault="0053613B" w:rsidP="0053613B">
      <w:pPr>
        <w:pStyle w:val="Lista3"/>
      </w:pPr>
      <w:r>
        <w:rPr>
          <w:rStyle w:val="Foreign"/>
        </w:rPr>
        <w:t>tasyāyam</w:t>
      </w:r>
      <w:r>
        <w:t xml:space="preserve"> stays as is, though </w:t>
      </w:r>
      <w:r>
        <w:rPr>
          <w:rStyle w:val="Foreign"/>
        </w:rPr>
        <w:t>so yam</w:t>
      </w:r>
      <w:r>
        <w:t xml:space="preserve"> is separated</w:t>
      </w:r>
    </w:p>
    <w:p w14:paraId="0FB071FF" w14:textId="77777777" w:rsidR="0053613B" w:rsidRDefault="0053613B" w:rsidP="0053613B">
      <w:pPr>
        <w:pStyle w:val="Lista3"/>
      </w:pPr>
      <w:r>
        <w:rPr>
          <w:rStyle w:val="Foreign"/>
        </w:rPr>
        <w:t>gacchatīva</w:t>
      </w:r>
      <w:r>
        <w:t xml:space="preserve"> stays as is, though </w:t>
      </w:r>
      <w:r>
        <w:rPr>
          <w:rStyle w:val="Foreign"/>
        </w:rPr>
        <w:t>gacchaty eva</w:t>
      </w:r>
      <w:r>
        <w:t xml:space="preserve"> is separated</w:t>
      </w:r>
    </w:p>
    <w:p w14:paraId="7F11FD67" w14:textId="77777777" w:rsidR="0053613B" w:rsidRDefault="0053613B" w:rsidP="0053613B">
      <w:pPr>
        <w:pStyle w:val="Lista2"/>
      </w:pPr>
      <w:r>
        <w:t xml:space="preserve">Tamil enclitic particles (e.g. </w:t>
      </w:r>
      <w:r>
        <w:rPr>
          <w:rStyle w:val="Foreign"/>
        </w:rPr>
        <w:t>ē</w:t>
      </w:r>
      <w:r>
        <w:t xml:space="preserve">, </w:t>
      </w:r>
      <w:r>
        <w:rPr>
          <w:rStyle w:val="Foreign"/>
        </w:rPr>
        <w:t>ō</w:t>
      </w:r>
      <w:r>
        <w:t xml:space="preserve">) and forms of the verb </w:t>
      </w:r>
      <w:r>
        <w:rPr>
          <w:rStyle w:val="Foreign"/>
        </w:rPr>
        <w:t xml:space="preserve">āku-tal </w:t>
      </w:r>
      <w:r>
        <w:t xml:space="preserve">(e.g. </w:t>
      </w:r>
      <w:r>
        <w:rPr>
          <w:rStyle w:val="Foreign"/>
        </w:rPr>
        <w:t>āṉa</w:t>
      </w:r>
      <w:r>
        <w:t xml:space="preserve">, </w:t>
      </w:r>
      <w:r>
        <w:rPr>
          <w:rStyle w:val="Foreign"/>
        </w:rPr>
        <w:t>āy</w:t>
      </w:r>
      <w:r>
        <w:t>,</w:t>
      </w:r>
      <w:r>
        <w:rPr>
          <w:rStyle w:val="Foreign"/>
        </w:rPr>
        <w:t xml:space="preserve"> āka</w:t>
      </w:r>
      <w:r>
        <w:t>)</w:t>
      </w:r>
      <w:r>
        <w:rPr>
          <w:rStyle w:val="Foreign"/>
        </w:rPr>
        <w:t xml:space="preserve"> </w:t>
      </w:r>
      <w:r>
        <w:t>when used adverbially</w:t>
      </w:r>
    </w:p>
    <w:p w14:paraId="70335A57" w14:textId="77777777" w:rsidR="0053613B" w:rsidRDefault="0053613B" w:rsidP="0053613B">
      <w:pPr>
        <w:pStyle w:val="Lista2"/>
      </w:pPr>
      <w:r>
        <w:t>Old Javanese enclitic pronominal suffixes (</w:t>
      </w:r>
      <w:r>
        <w:rPr>
          <w:rStyle w:val="Foreign"/>
        </w:rPr>
        <w:t>-(ṅ)ku</w:t>
      </w:r>
      <w:r>
        <w:t xml:space="preserve"> etc.), possessive constructions built with the linker </w:t>
      </w:r>
      <w:r>
        <w:rPr>
          <w:rStyle w:val="Foreign"/>
        </w:rPr>
        <w:t>-ni</w:t>
      </w:r>
      <w:r>
        <w:t xml:space="preserve"> (</w:t>
      </w:r>
      <w:r>
        <w:rPr>
          <w:rStyle w:val="Foreign"/>
        </w:rPr>
        <w:t>-nikaṅ</w:t>
      </w:r>
      <w:r>
        <w:t>, etc.); definite article -</w:t>
      </w:r>
      <w:r>
        <w:rPr>
          <w:i/>
        </w:rPr>
        <w:t>ṅ</w:t>
      </w:r>
      <w:r>
        <w:t>; conjunction -</w:t>
      </w:r>
      <w:r>
        <w:rPr>
          <w:i/>
        </w:rPr>
        <w:t>n</w:t>
      </w:r>
      <w:r>
        <w:t xml:space="preserve"> </w:t>
      </w:r>
    </w:p>
    <w:p w14:paraId="7D1DBA9B" w14:textId="77777777" w:rsidR="0053613B" w:rsidRDefault="0053613B" w:rsidP="0053613B">
      <w:pPr>
        <w:pStyle w:val="Lista2"/>
      </w:pPr>
      <w:r>
        <w:t>for Sanskrit close-knit structures borrowed into other languages, follow the spelling with or without space (generally the latter) of the relevant dictionaries, if there are any</w:t>
      </w:r>
    </w:p>
    <w:p w14:paraId="788CC803" w14:textId="77777777" w:rsidR="0053613B" w:rsidRDefault="0053613B" w:rsidP="0053613B">
      <w:pPr>
        <w:pStyle w:val="Lista3"/>
        <w:rPr>
          <w:rStyle w:val="Foreign"/>
          <w:i w:val="0"/>
        </w:rPr>
      </w:pPr>
      <w:r>
        <w:t xml:space="preserve">e.g. Old Javanese </w:t>
      </w:r>
      <w:r>
        <w:rPr>
          <w:rStyle w:val="Foreign"/>
        </w:rPr>
        <w:t>kimuta</w:t>
      </w:r>
      <w:r>
        <w:t xml:space="preserve">, Old Cam </w:t>
      </w:r>
      <w:r>
        <w:rPr>
          <w:rStyle w:val="Foreign"/>
        </w:rPr>
        <w:t>kintu</w:t>
      </w:r>
    </w:p>
    <w:p w14:paraId="4BE21719" w14:textId="77777777" w:rsidR="0053613B" w:rsidRDefault="0053613B" w:rsidP="0053613B">
      <w:pPr>
        <w:pStyle w:val="Lista"/>
      </w:pPr>
      <w:r>
        <w:t xml:space="preserve">in sub-standard Sanskrit, strings of words without case endings but apparently intended as nominatives should preferably be spaced instead of being treated as compounds (e.g. </w:t>
      </w:r>
      <w:r>
        <w:rPr>
          <w:i/>
          <w:iCs/>
        </w:rPr>
        <w:t>dvandva</w:t>
      </w:r>
      <w:r>
        <w:t>), unless the latter in fact facilitates interpretation, e.g.</w:t>
      </w:r>
    </w:p>
    <w:p w14:paraId="3B9CE53C" w14:textId="77777777" w:rsidR="0053613B" w:rsidRDefault="0053613B" w:rsidP="0053613B">
      <w:pPr>
        <w:pStyle w:val="Lista2"/>
      </w:pPr>
      <w:r>
        <w:rPr>
          <w:rStyle w:val="Foreign"/>
        </w:rPr>
        <w:t>lamvoṣṭha dedamita mahādeva guṇṭhaka ity evam-ādibhyo</w:t>
      </w:r>
    </w:p>
    <w:p w14:paraId="0D130FC2" w14:textId="77777777" w:rsidR="0053613B" w:rsidRDefault="0053613B" w:rsidP="0053613B">
      <w:pPr>
        <w:pStyle w:val="Lista2"/>
        <w:rPr>
          <w:rStyle w:val="Foreign"/>
        </w:rPr>
      </w:pPr>
      <w:r>
        <w:rPr>
          <w:rStyle w:val="Foreign"/>
        </w:rPr>
        <w:t>samrāṬ vākātakānāṁ mahārāja śrī-pravarasenasya</w:t>
      </w:r>
    </w:p>
    <w:p w14:paraId="3247C1C8" w14:textId="77777777" w:rsidR="0053613B" w:rsidRDefault="0053613B" w:rsidP="0053613B">
      <w:pPr>
        <w:pStyle w:val="Cmsor3"/>
      </w:pPr>
      <w:bookmarkStart w:id="172" w:name="_Toc17811424"/>
      <w:bookmarkStart w:id="173" w:name="_Toc17811479"/>
      <w:bookmarkStart w:id="174" w:name="_Ref38379352"/>
      <w:bookmarkStart w:id="175" w:name="_Toc199757556"/>
      <w:bookmarkStart w:id="176" w:name="_Ref199926571"/>
      <w:bookmarkStart w:id="177" w:name="_Toc200963288"/>
      <w:r>
        <w:t>Editorial hyphenation</w:t>
      </w:r>
      <w:bookmarkEnd w:id="172"/>
      <w:bookmarkEnd w:id="173"/>
      <w:bookmarkEnd w:id="174"/>
      <w:bookmarkEnd w:id="175"/>
      <w:bookmarkEnd w:id="176"/>
      <w:bookmarkEnd w:id="177"/>
    </w:p>
    <w:p w14:paraId="05E1E1B6" w14:textId="77777777" w:rsidR="0053613B" w:rsidRDefault="0053613B" w:rsidP="0053613B">
      <w:pPr>
        <w:pStyle w:val="Lista"/>
      </w:pPr>
      <w:r>
        <w:t>editorial hyphens may be optionally added for the following purposes</w:t>
      </w:r>
    </w:p>
    <w:p w14:paraId="459CC49B" w14:textId="77777777" w:rsidR="0053613B" w:rsidRDefault="0053613B" w:rsidP="0053613B">
      <w:pPr>
        <w:pStyle w:val="Lista2"/>
      </w:pPr>
      <w:r>
        <w:rPr>
          <w:b/>
          <w:bCs/>
        </w:rPr>
        <w:lastRenderedPageBreak/>
        <w:t>segmentation of compounds</w:t>
      </w:r>
      <w:r>
        <w:t xml:space="preserve"> in Sanskrit and other compound-heavy languages</w:t>
      </w:r>
    </w:p>
    <w:p w14:paraId="2A2F3EB5" w14:textId="77777777" w:rsidR="0053613B" w:rsidRDefault="0053613B" w:rsidP="0053613B">
      <w:pPr>
        <w:pStyle w:val="Lista3"/>
      </w:pPr>
      <w:r>
        <w:t>such segmentation need not be exhaustive</w:t>
      </w:r>
    </w:p>
    <w:p w14:paraId="71857BC5" w14:textId="77777777" w:rsidR="0053613B" w:rsidRDefault="0053613B" w:rsidP="0053613B">
      <w:pPr>
        <w:pStyle w:val="Lista4"/>
      </w:pPr>
      <w:r>
        <w:t>feel free to hyphenate only long or difficult compounds and leave others intact</w:t>
      </w:r>
    </w:p>
    <w:p w14:paraId="28EA227D" w14:textId="77777777" w:rsidR="0053613B" w:rsidRDefault="0053613B" w:rsidP="0053613B">
      <w:pPr>
        <w:pStyle w:val="Lista3"/>
      </w:pPr>
      <w:r>
        <w:t xml:space="preserve">as a rule, do not use hyphens within proper names (e.g. </w:t>
      </w:r>
      <w:r>
        <w:rPr>
          <w:rStyle w:val="Foreign"/>
        </w:rPr>
        <w:t>śrī-viṣṇuvarddhana-mahārājasya</w:t>
      </w:r>
      <w:r>
        <w:t xml:space="preserve">, not </w:t>
      </w:r>
      <w:r>
        <w:rPr>
          <w:rStyle w:val="Foreign"/>
        </w:rPr>
        <w:t>śrī-viṣṇu-varddhana-mahārājasya</w:t>
      </w:r>
      <w:r>
        <w:t>)</w:t>
      </w:r>
    </w:p>
    <w:p w14:paraId="3939DADF" w14:textId="77777777" w:rsidR="0053613B" w:rsidRDefault="0053613B" w:rsidP="0053613B">
      <w:pPr>
        <w:pStyle w:val="Lista4"/>
      </w:pPr>
      <w:r>
        <w:t xml:space="preserve">but do feel free to use hyphens when part of a compound name may be perceived as an epithet rather than an essential part of the name (e.g. </w:t>
      </w:r>
      <w:r>
        <w:rPr>
          <w:rStyle w:val="Foreign"/>
        </w:rPr>
        <w:t>śrī-jayasiṁha-vallabha-mahārājasya</w:t>
      </w:r>
      <w:r>
        <w:t xml:space="preserve">, where the name Jayasiṁha also occurs without the epithet </w:t>
      </w:r>
      <w:r>
        <w:rPr>
          <w:rStyle w:val="Foreign"/>
        </w:rPr>
        <w:t>vallabha</w:t>
      </w:r>
      <w:r>
        <w:t>)</w:t>
      </w:r>
    </w:p>
    <w:p w14:paraId="7B8E5F18" w14:textId="77777777" w:rsidR="0053613B" w:rsidRDefault="0053613B" w:rsidP="0053613B">
      <w:pPr>
        <w:pStyle w:val="Lista3"/>
      </w:pPr>
      <w:r>
        <w:t>in Sanskrit, keep in mind that secondary derivatives of compound nouns are not themselves compounds and should therefore not be hyphenated, e.g.</w:t>
      </w:r>
    </w:p>
    <w:p w14:paraId="1FE323DE" w14:textId="77777777" w:rsidR="0053613B" w:rsidRDefault="0053613B" w:rsidP="0053613B">
      <w:pPr>
        <w:pStyle w:val="Lista4"/>
      </w:pPr>
      <w:r>
        <w:t xml:space="preserve">although derived from the compound </w:t>
      </w:r>
      <w:r>
        <w:rPr>
          <w:rStyle w:val="Foreign"/>
        </w:rPr>
        <w:t>catur-varṇa</w:t>
      </w:r>
      <w:r>
        <w:t xml:space="preserve">, </w:t>
      </w:r>
      <w:r>
        <w:rPr>
          <w:rStyle w:val="Foreign"/>
        </w:rPr>
        <w:t>cāturvarṇya</w:t>
      </w:r>
      <w:r>
        <w:t xml:space="preserve"> is not a compound and should not be divided up into the members </w:t>
      </w:r>
      <w:r>
        <w:rPr>
          <w:rStyle w:val="Foreign"/>
        </w:rPr>
        <w:t>*cātur</w:t>
      </w:r>
      <w:r>
        <w:t xml:space="preserve"> and </w:t>
      </w:r>
      <w:r>
        <w:rPr>
          <w:rStyle w:val="Foreign"/>
        </w:rPr>
        <w:t>*varṇya</w:t>
      </w:r>
    </w:p>
    <w:p w14:paraId="67E3B0C5" w14:textId="77777777" w:rsidR="0053613B" w:rsidRDefault="0053613B" w:rsidP="0053613B">
      <w:pPr>
        <w:pStyle w:val="Lista3"/>
      </w:pPr>
      <w:r>
        <w:t xml:space="preserve">Sanskrit compounds where a verb is combined with a nominal stem with the ending </w:t>
      </w:r>
      <w:r>
        <w:rPr>
          <w:rStyle w:val="Foreign"/>
        </w:rPr>
        <w:t>-ī</w:t>
      </w:r>
      <w:r>
        <w:t xml:space="preserve"> (or </w:t>
      </w:r>
      <w:r>
        <w:rPr>
          <w:rStyle w:val="Foreign"/>
        </w:rPr>
        <w:t>-ū</w:t>
      </w:r>
      <w:r>
        <w:t>) should for this purpose be regarded as compounds and may be hyphenated when this is deemed helpful for the reader; specifically, we recommend that you</w:t>
      </w:r>
    </w:p>
    <w:p w14:paraId="25016D74" w14:textId="77777777" w:rsidR="0053613B" w:rsidRDefault="0053613B" w:rsidP="0053613B">
      <w:pPr>
        <w:pStyle w:val="Lista4"/>
      </w:pPr>
      <w:r>
        <w:t xml:space="preserve">preferably hyphenate such compounds when they are not themselves members of compounds and/or when their nominal member is itself a compound (in which case preferably avoid hyphenation within that member), e.g. </w:t>
      </w:r>
      <w:r>
        <w:rPr>
          <w:rStyle w:val="Foreign"/>
        </w:rPr>
        <w:t>brahmadeyī-kr̥tya</w:t>
      </w:r>
    </w:p>
    <w:p w14:paraId="42D0C698" w14:textId="77777777" w:rsidR="0053613B" w:rsidRDefault="0053613B" w:rsidP="0053613B">
      <w:pPr>
        <w:pStyle w:val="Lista4"/>
      </w:pPr>
      <w:r>
        <w:t xml:space="preserve">preferably avoid hyphenating such compounds when they are themselves members of longer compounds and/or when their nominal member is a simple word, e.g. </w:t>
      </w:r>
      <w:r>
        <w:rPr>
          <w:rStyle w:val="Foreign"/>
        </w:rPr>
        <w:t>aśvamedhāvabhr̥tha-snāna-pavitrīkr̥ta-śirasāṁ</w:t>
      </w:r>
    </w:p>
    <w:p w14:paraId="5E5F8BAF" w14:textId="77777777" w:rsidR="0053613B" w:rsidRDefault="0053613B" w:rsidP="0053613B">
      <w:pPr>
        <w:pStyle w:val="Lista3"/>
      </w:pPr>
      <w:r>
        <w:t>in the case of Old Javanese, consider that reduplicated expressions are always compounds, whereas close-knit structures consisting of two different elements only become compounds if any morphological derivation takes place</w:t>
      </w:r>
    </w:p>
    <w:p w14:paraId="127EA9F2" w14:textId="77777777" w:rsidR="0053613B" w:rsidRDefault="0053613B" w:rsidP="0053613B">
      <w:pPr>
        <w:pStyle w:val="Lista2"/>
      </w:pPr>
      <w:r>
        <w:rPr>
          <w:b/>
          <w:bCs/>
        </w:rPr>
        <w:t>sandhi analysis</w:t>
      </w:r>
      <w:r>
        <w:t xml:space="preserve"> when hyphens are conventionally used for this purpose in your field, specifically:</w:t>
      </w:r>
    </w:p>
    <w:p w14:paraId="204A5593" w14:textId="77777777" w:rsidR="0053613B" w:rsidRDefault="0053613B" w:rsidP="0053613B">
      <w:pPr>
        <w:pStyle w:val="Lista3"/>
      </w:pPr>
      <w:r>
        <w:t>epenthesis in Tamil may be indicated by joining the added letter to the preceding word with a hyphen (see the examples below)</w:t>
      </w:r>
    </w:p>
    <w:p w14:paraId="5EC1A5C4" w14:textId="77777777" w:rsidR="0053613B" w:rsidRDefault="0053613B" w:rsidP="0053613B">
      <w:pPr>
        <w:pStyle w:val="Lista3"/>
      </w:pPr>
      <w:r>
        <w:t xml:space="preserve">non-standard Sanskrit sandhi involving an epenthetic </w:t>
      </w:r>
      <w:r>
        <w:rPr>
          <w:rStyle w:val="Foreign"/>
        </w:rPr>
        <w:t>m</w:t>
      </w:r>
      <w:r>
        <w:t xml:space="preserve">, </w:t>
      </w:r>
      <w:r>
        <w:rPr>
          <w:rStyle w:val="Foreign"/>
        </w:rPr>
        <w:t>s</w:t>
      </w:r>
      <w:r>
        <w:t xml:space="preserve"> or </w:t>
      </w:r>
      <w:r>
        <w:rPr>
          <w:rStyle w:val="Foreign"/>
        </w:rPr>
        <w:t>r</w:t>
      </w:r>
      <w:r>
        <w:t xml:space="preserve"> may be indicated in the same way, e.g. </w:t>
      </w:r>
      <w:r>
        <w:rPr>
          <w:rStyle w:val="Foreign"/>
        </w:rPr>
        <w:t>mleccha-rājye-m apūjitaḥ</w:t>
      </w:r>
      <w:r>
        <w:t xml:space="preserve">; </w:t>
      </w:r>
      <w:r>
        <w:rPr>
          <w:rStyle w:val="Foreign"/>
        </w:rPr>
        <w:t>paṁca-s-triṁśottaratame</w:t>
      </w:r>
    </w:p>
    <w:p w14:paraId="46014757" w14:textId="77777777" w:rsidR="0053613B" w:rsidRDefault="0053613B" w:rsidP="0053613B">
      <w:pPr>
        <w:pStyle w:val="Lista"/>
      </w:pPr>
      <w:r>
        <w:t xml:space="preserve">as with editorial spacing, feel free to add hyphens between transliterated characters that belong to a single </w:t>
      </w:r>
      <w:r>
        <w:rPr>
          <w:rStyle w:val="Foreign"/>
        </w:rPr>
        <w:t>akṣara</w:t>
      </w:r>
      <w:r>
        <w:t xml:space="preserve"> of the original, but do not use a hyphen at points where the final and initial vowels of two successive compound members are fused in sandhi</w:t>
      </w:r>
    </w:p>
    <w:p w14:paraId="3A1AA71A" w14:textId="77777777" w:rsidR="0053613B" w:rsidRDefault="0053613B" w:rsidP="0053613B">
      <w:pPr>
        <w:pStyle w:val="Lista"/>
      </w:pPr>
      <w:r>
        <w:t>some examples of Tamil hyphenation:</w:t>
      </w:r>
    </w:p>
    <w:p w14:paraId="2B8969C3" w14:textId="77777777" w:rsidR="0053613B" w:rsidRDefault="0053613B" w:rsidP="0053613B">
      <w:pPr>
        <w:pStyle w:val="Lista3"/>
      </w:pPr>
      <w:r>
        <w:rPr>
          <w:rStyle w:val="Foreign"/>
        </w:rPr>
        <w:t>tiru-makaḷ</w:t>
      </w:r>
      <w:r>
        <w:t xml:space="preserve"> </w:t>
      </w:r>
      <w:r>
        <w:rPr>
          <w:noProof/>
        </w:rPr>
        <w:t>(</w:t>
      </w:r>
      <w:r>
        <w:rPr>
          <w:rStyle w:val="ForeignTamilScript"/>
          <w:rFonts w:hint="cs"/>
          <w:cs/>
        </w:rPr>
        <w:t>திருமகள்</w:t>
      </w:r>
      <w:r>
        <w:rPr>
          <w:noProof/>
        </w:rPr>
        <w:t xml:space="preserve"> </w:t>
      </w:r>
      <w:r>
        <w:rPr>
          <w:rStyle w:val="Foreign"/>
        </w:rPr>
        <w:t>tiru+makaḷ</w:t>
      </w:r>
      <w:r>
        <w:t>)</w:t>
      </w:r>
    </w:p>
    <w:p w14:paraId="51AB2519" w14:textId="77777777" w:rsidR="0053613B" w:rsidRDefault="0053613B" w:rsidP="0053613B">
      <w:pPr>
        <w:pStyle w:val="Lista3"/>
      </w:pPr>
      <w:r>
        <w:rPr>
          <w:rStyle w:val="Foreign"/>
        </w:rPr>
        <w:t>koṇṭ-āṭu</w:t>
      </w:r>
      <w:r>
        <w:t xml:space="preserve"> </w:t>
      </w:r>
      <w:r>
        <w:rPr>
          <w:noProof/>
        </w:rPr>
        <w:t>(</w:t>
      </w:r>
      <w:r>
        <w:rPr>
          <w:rStyle w:val="ForeignTamilScript"/>
          <w:rFonts w:hint="cs"/>
          <w:cs/>
        </w:rPr>
        <w:t>கொண்டாடு</w:t>
      </w:r>
      <w:r>
        <w:rPr>
          <w:noProof/>
        </w:rPr>
        <w:t xml:space="preserve"> </w:t>
      </w:r>
      <w:r>
        <w:rPr>
          <w:rStyle w:val="Foreign"/>
        </w:rPr>
        <w:t>koṇṭu+āṭu</w:t>
      </w:r>
      <w:r>
        <w:t>)</w:t>
      </w:r>
    </w:p>
    <w:p w14:paraId="2DBAFFF5" w14:textId="77777777" w:rsidR="0053613B" w:rsidRDefault="0053613B" w:rsidP="0053613B">
      <w:pPr>
        <w:pStyle w:val="Lista3"/>
      </w:pPr>
      <w:r>
        <w:rPr>
          <w:rStyle w:val="Foreign"/>
        </w:rPr>
        <w:t>I-p-peruṅ-kōyil</w:t>
      </w:r>
      <w:r>
        <w:t xml:space="preserve"> </w:t>
      </w:r>
      <w:r>
        <w:rPr>
          <w:noProof/>
        </w:rPr>
        <w:t>(</w:t>
      </w:r>
      <w:r>
        <w:rPr>
          <w:rStyle w:val="ForeignTamilScript"/>
          <w:rFonts w:hint="cs"/>
          <w:cs/>
        </w:rPr>
        <w:t>இப்பெருங்கோயில்</w:t>
      </w:r>
      <w:r>
        <w:rPr>
          <w:noProof/>
        </w:rPr>
        <w:t xml:space="preserve"> </w:t>
      </w:r>
      <w:r>
        <w:rPr>
          <w:rStyle w:val="Foreign"/>
        </w:rPr>
        <w:t>i+perum+kōyil</w:t>
      </w:r>
      <w:r>
        <w:t>)</w:t>
      </w:r>
    </w:p>
    <w:p w14:paraId="79FA259A" w14:textId="77777777" w:rsidR="0053613B" w:rsidRDefault="0053613B" w:rsidP="0053613B">
      <w:pPr>
        <w:pStyle w:val="Lista3"/>
      </w:pPr>
      <w:r>
        <w:rPr>
          <w:rStyle w:val="Foreign"/>
        </w:rPr>
        <w:t>tiru-mēṉi-y āṭa</w:t>
      </w:r>
      <w:r>
        <w:t xml:space="preserve"> (</w:t>
      </w:r>
      <w:r>
        <w:rPr>
          <w:rStyle w:val="ForeignTamilScript"/>
          <w:rFonts w:hint="cs"/>
          <w:cs/>
          <w:lang w:bidi="ta-IN"/>
        </w:rPr>
        <w:t>திருமேனியாட</w:t>
      </w:r>
      <w:r>
        <w:rPr>
          <w:cs/>
          <w:lang w:bidi="ta-IN"/>
        </w:rPr>
        <w:t xml:space="preserve"> </w:t>
      </w:r>
      <w:r>
        <w:rPr>
          <w:rStyle w:val="Foreign"/>
        </w:rPr>
        <w:t>tiru+mēṉi āṭa</w:t>
      </w:r>
      <w:r>
        <w:t>)</w:t>
      </w:r>
    </w:p>
    <w:p w14:paraId="0C818FB7" w14:textId="77777777" w:rsidR="0053613B" w:rsidRDefault="0053613B" w:rsidP="0053613B">
      <w:pPr>
        <w:pStyle w:val="Lista"/>
      </w:pPr>
      <w:r>
        <w:t>some examples of Old Javanese hyphenation:</w:t>
      </w:r>
    </w:p>
    <w:p w14:paraId="6173223D" w14:textId="77777777" w:rsidR="0053613B" w:rsidRDefault="0053613B" w:rsidP="0053613B">
      <w:pPr>
        <w:pStyle w:val="Lista2"/>
        <w:rPr>
          <w:rStyle w:val="Foreign"/>
        </w:rPr>
      </w:pPr>
      <w:r>
        <w:rPr>
          <w:rStyle w:val="Foreign"/>
        </w:rPr>
        <w:t>vulu-vulu</w:t>
      </w:r>
    </w:p>
    <w:p w14:paraId="18F5784C" w14:textId="77777777" w:rsidR="0053613B" w:rsidRDefault="0053613B" w:rsidP="0053613B">
      <w:pPr>
        <w:pStyle w:val="Lista2"/>
      </w:pPr>
      <w:r>
        <w:rPr>
          <w:rStyle w:val="Foreign"/>
        </w:rPr>
        <w:t>tahi tikus</w:t>
      </w:r>
      <w:r>
        <w:t xml:space="preserve"> &gt; </w:t>
      </w:r>
      <w:r>
        <w:rPr>
          <w:rStyle w:val="Foreign"/>
        </w:rPr>
        <w:t>manahi-tikusa</w:t>
      </w:r>
    </w:p>
    <w:p w14:paraId="1C14B1EF" w14:textId="77777777" w:rsidR="0053613B" w:rsidRDefault="0053613B" w:rsidP="0053613B">
      <w:pPr>
        <w:pStyle w:val="Lista2"/>
      </w:pPr>
      <w:r>
        <w:t xml:space="preserve">no fully satisfactory hyphenation point can be identified when an </w:t>
      </w:r>
      <w:r>
        <w:rPr>
          <w:rStyle w:val="Foreign"/>
        </w:rPr>
        <w:t>h</w:t>
      </w:r>
      <w:r>
        <w:t xml:space="preserve">-initial word is the second member of a compound whose first member ends in an unvoiced stop, and an aspirated consonant </w:t>
      </w:r>
      <w:r>
        <w:rPr>
          <w:rStyle w:val="Foreign"/>
        </w:rPr>
        <w:t>akṣara</w:t>
      </w:r>
      <w:r>
        <w:t xml:space="preserve"> is employed to represent the final phoneme of the initial member of the compound plus the phoneme /h/ of the second member, and consonant gemination at morpheme boundaries occurs as well: e.g., </w:t>
      </w:r>
      <w:r>
        <w:rPr>
          <w:rStyle w:val="Foreign"/>
        </w:rPr>
        <w:t>bvat haji</w:t>
      </w:r>
      <w:r>
        <w:t xml:space="preserve"> &gt; </w:t>
      </w:r>
      <w:r>
        <w:rPr>
          <w:rStyle w:val="Foreign"/>
        </w:rPr>
        <w:t>buAtthajyanya</w:t>
      </w:r>
      <w:r>
        <w:t xml:space="preserve">, to be hyphenated, for lack of a better solution, as </w:t>
      </w:r>
      <w:r>
        <w:rPr>
          <w:rStyle w:val="Foreign"/>
        </w:rPr>
        <w:t>buAt-thajyanya</w:t>
      </w:r>
      <w:r>
        <w:t xml:space="preserve"> </w:t>
      </w:r>
    </w:p>
    <w:p w14:paraId="60FAEBBF" w14:textId="77777777" w:rsidR="0053613B" w:rsidRDefault="0053613B" w:rsidP="0053613B">
      <w:pPr>
        <w:pStyle w:val="Lista"/>
      </w:pPr>
      <w:r>
        <w:rPr>
          <w:b/>
          <w:bCs/>
        </w:rPr>
        <w:t>do not use hyphens</w:t>
      </w:r>
      <w:r>
        <w:t xml:space="preserve"> for any other purpose, e.g. to show that a word has been broken into two parts by the end of an inscribed line </w:t>
      </w:r>
    </w:p>
    <w:p w14:paraId="1532FAFF" w14:textId="77777777" w:rsidR="0053613B" w:rsidRDefault="0053613B" w:rsidP="0053613B">
      <w:pPr>
        <w:pStyle w:val="Lista2"/>
      </w:pPr>
      <w:r>
        <w:t>this should be noted in markup (see EGD §3.2.4)</w:t>
      </w:r>
    </w:p>
    <w:p w14:paraId="5FD3BEBC" w14:textId="77777777" w:rsidR="0053613B" w:rsidRDefault="0053613B" w:rsidP="0053613B">
      <w:pPr>
        <w:pStyle w:val="Lista2"/>
      </w:pPr>
      <w:r>
        <w:t>if you are not adding any markup, please use the character ¬ (</w:t>
      </w:r>
      <w:r>
        <w:rPr>
          <w:rStyle w:val="Code"/>
        </w:rPr>
        <w:t>U+00AC</w:t>
      </w:r>
      <w:r>
        <w:t xml:space="preserve"> Not Sign; do not use a hyphen), which will be auto-converted into the proper markup</w:t>
      </w:r>
    </w:p>
    <w:p w14:paraId="594911AE" w14:textId="77777777" w:rsidR="0053613B" w:rsidRDefault="0053613B" w:rsidP="0053613B">
      <w:pPr>
        <w:pStyle w:val="Lista"/>
      </w:pPr>
      <w:r>
        <w:t>if you use hyphens for editorial compound analysis, and</w:t>
      </w:r>
    </w:p>
    <w:p w14:paraId="633822D1" w14:textId="77777777" w:rsidR="0053613B" w:rsidRDefault="0053613B" w:rsidP="0053613B">
      <w:pPr>
        <w:pStyle w:val="Lista2"/>
      </w:pPr>
      <w:r>
        <w:rPr>
          <w:b/>
          <w:bCs/>
        </w:rPr>
        <w:t>a physical line break</w:t>
      </w:r>
      <w:r>
        <w:t xml:space="preserve"> coincides with such a hyphen, then</w:t>
      </w:r>
    </w:p>
    <w:p w14:paraId="7B9C8743" w14:textId="77777777" w:rsidR="0053613B" w:rsidRDefault="0053613B" w:rsidP="0053613B">
      <w:pPr>
        <w:pStyle w:val="Lista3"/>
      </w:pPr>
      <w:r>
        <w:lastRenderedPageBreak/>
        <w:t>first encode the physical line break as one inside a word (as per EGD §3.2.4 or with the shorthand ¬)</w:t>
      </w:r>
    </w:p>
    <w:p w14:paraId="3EFDFF4A" w14:textId="77777777" w:rsidR="0053613B" w:rsidRDefault="0053613B" w:rsidP="0053613B">
      <w:pPr>
        <w:pStyle w:val="Lista3"/>
      </w:pPr>
      <w:r>
        <w:t>then put the editorial hyphen at the beginning of the new line</w:t>
      </w:r>
    </w:p>
    <w:p w14:paraId="31378DBB" w14:textId="77777777" w:rsidR="0053613B" w:rsidRDefault="0053613B" w:rsidP="0053613B">
      <w:pPr>
        <w:pStyle w:val="Lista2"/>
      </w:pPr>
      <w:r>
        <w:rPr>
          <w:b/>
          <w:bCs/>
        </w:rPr>
        <w:t>a verse line break</w:t>
      </w:r>
      <w:r>
        <w:t xml:space="preserve"> coincides with such a hyphen, then</w:t>
      </w:r>
    </w:p>
    <w:p w14:paraId="3B44FC3A" w14:textId="77777777" w:rsidR="0053613B" w:rsidRDefault="0053613B" w:rsidP="0053613B">
      <w:pPr>
        <w:pStyle w:val="Lista3"/>
      </w:pPr>
      <w:r>
        <w:t>first encode the verse line break as one inside a word (as per EGD §2.3.6)</w:t>
      </w:r>
    </w:p>
    <w:p w14:paraId="608D06DF" w14:textId="77777777" w:rsidR="0053613B" w:rsidRDefault="0053613B" w:rsidP="0053613B">
      <w:pPr>
        <w:pStyle w:val="Lista3"/>
      </w:pPr>
      <w:r>
        <w:t>then put the editorial hyphen at the beginning of the new line</w:t>
      </w:r>
    </w:p>
    <w:p w14:paraId="173658B1" w14:textId="77777777" w:rsidR="00492C05" w:rsidRDefault="00492C05" w:rsidP="00492C05">
      <w:pPr>
        <w:pStyle w:val="Cmsor3"/>
      </w:pPr>
      <w:bookmarkStart w:id="178" w:name="_Ref15566181"/>
      <w:bookmarkStart w:id="179" w:name="_Toc17811425"/>
      <w:bookmarkStart w:id="180" w:name="_Toc17811480"/>
      <w:bookmarkStart w:id="181" w:name="_Toc199757557"/>
      <w:bookmarkStart w:id="182" w:name="_Toc200963289"/>
      <w:r>
        <w:t xml:space="preserve">Editorial </w:t>
      </w:r>
      <w:r>
        <w:rPr>
          <w:rStyle w:val="Foreign"/>
        </w:rPr>
        <w:t>avagraha</w:t>
      </w:r>
      <w:bookmarkEnd w:id="178"/>
      <w:bookmarkEnd w:id="179"/>
      <w:bookmarkEnd w:id="180"/>
      <w:bookmarkEnd w:id="181"/>
      <w:bookmarkEnd w:id="182"/>
    </w:p>
    <w:p w14:paraId="1AF54F60" w14:textId="77777777" w:rsidR="00492C05" w:rsidRDefault="00492C05" w:rsidP="00492C05">
      <w:pPr>
        <w:pStyle w:val="Lista"/>
      </w:pPr>
      <w:r>
        <w:t>@this should probably go to the non-alphabetic section, not the editorial</w:t>
      </w:r>
    </w:p>
    <w:p w14:paraId="4FF2DDE1" w14:textId="77777777" w:rsidR="00492C05" w:rsidRDefault="00492C05" w:rsidP="00492C05">
      <w:pPr>
        <w:pStyle w:val="Lista2"/>
      </w:pPr>
      <w:r>
        <w:t>@no: separate editorial avagraha from original avagraha</w:t>
      </w:r>
    </w:p>
    <w:p w14:paraId="3336EFEF" w14:textId="77777777" w:rsidR="00492C05" w:rsidRDefault="00492C05" w:rsidP="00492C05">
      <w:pPr>
        <w:pStyle w:val="Lista"/>
      </w:pPr>
      <w:r>
        <w:t xml:space="preserve">use the transliteration ’ (right single quote) to represent any original </w:t>
      </w:r>
      <w:r>
        <w:rPr>
          <w:rStyle w:val="Foreign"/>
        </w:rPr>
        <w:t>avagraha</w:t>
      </w:r>
      <w:r>
        <w:t xml:space="preserve"> in your text</w:t>
      </w:r>
    </w:p>
    <w:p w14:paraId="5D9F6C94" w14:textId="77777777" w:rsidR="00492C05" w:rsidRDefault="00492C05" w:rsidP="00492C05">
      <w:pPr>
        <w:pStyle w:val="Lista2"/>
      </w:pPr>
      <w:r>
        <w:t>alternatively, you may use the shorthand ' (plain apostrophe) if this is easier for you to type</w:t>
      </w:r>
    </w:p>
    <w:p w14:paraId="481551EA" w14:textId="77777777" w:rsidR="00492C05" w:rsidRDefault="00492C05" w:rsidP="00492C05">
      <w:pPr>
        <w:pStyle w:val="Lista"/>
      </w:pPr>
      <w:r>
        <w:t xml:space="preserve">the inscriptions we work with very rarely use an actual </w:t>
      </w:r>
      <w:r>
        <w:rPr>
          <w:rStyle w:val="Foreign"/>
        </w:rPr>
        <w:t>avagraha</w:t>
      </w:r>
      <w:r>
        <w:t xml:space="preserve"> sign, but </w:t>
      </w:r>
      <w:r>
        <w:rPr>
          <w:rStyle w:val="Foreign"/>
        </w:rPr>
        <w:t>avagraha</w:t>
      </w:r>
      <w:r>
        <w:t>s may be optionally supplied by the editor</w:t>
      </w:r>
    </w:p>
    <w:p w14:paraId="74F46A47" w14:textId="77777777" w:rsidR="00492C05" w:rsidRDefault="00492C05" w:rsidP="00492C05">
      <w:pPr>
        <w:pStyle w:val="Lista2"/>
      </w:pPr>
      <w:r>
        <w:t xml:space="preserve">this is recommended especially in cases where the text would be meaningful (and even contradictory in meaning) both with and without an </w:t>
      </w:r>
      <w:r>
        <w:rPr>
          <w:rStyle w:val="Foreign"/>
        </w:rPr>
        <w:t>avagraha</w:t>
      </w:r>
    </w:p>
    <w:p w14:paraId="5F9E11B0" w14:textId="77777777" w:rsidR="00492C05" w:rsidRDefault="00492C05" w:rsidP="00492C05">
      <w:pPr>
        <w:pStyle w:val="Lista3"/>
      </w:pPr>
      <w:r>
        <w:t xml:space="preserve">e.g. the inscribed sequence </w:t>
      </w:r>
      <w:r>
        <w:rPr>
          <w:rStyle w:val="Foreign"/>
        </w:rPr>
        <w:t>sohataḥ</w:t>
      </w:r>
      <w:r>
        <w:t xml:space="preserve"> may stand for </w:t>
      </w:r>
      <w:r>
        <w:rPr>
          <w:rStyle w:val="Foreign"/>
        </w:rPr>
        <w:t>so hataḥ</w:t>
      </w:r>
      <w:r>
        <w:t xml:space="preserve"> or </w:t>
      </w:r>
      <w:r>
        <w:rPr>
          <w:rStyle w:val="Foreign"/>
        </w:rPr>
        <w:t>so ’hataḥ</w:t>
      </w:r>
      <w:r>
        <w:t xml:space="preserve">, so if you interpret the text as the latter, then supply an </w:t>
      </w:r>
      <w:r>
        <w:rPr>
          <w:rStyle w:val="Foreign"/>
        </w:rPr>
        <w:t>avagraha</w:t>
      </w:r>
      <w:r>
        <w:t xml:space="preserve"> to make this clear</w:t>
      </w:r>
    </w:p>
    <w:p w14:paraId="4E197C5B" w14:textId="77777777" w:rsidR="00492C05" w:rsidRDefault="00492C05" w:rsidP="00492C05">
      <w:pPr>
        <w:pStyle w:val="Lista3"/>
      </w:pPr>
      <w:r>
        <w:t xml:space="preserve">if you feel that ambiguity of this kind is a deliberate poetic device (bitextuality, </w:t>
      </w:r>
      <w:r>
        <w:rPr>
          <w:rStyle w:val="Foreign"/>
        </w:rPr>
        <w:t>śleṣa</w:t>
      </w:r>
      <w:r>
        <w:t xml:space="preserve">), then the decision whether or not to supply an </w:t>
      </w:r>
      <w:r>
        <w:rPr>
          <w:rStyle w:val="Foreign"/>
        </w:rPr>
        <w:t>avagraha</w:t>
      </w:r>
      <w:r>
        <w:t xml:space="preserve"> should be based on what you consider to be the prima facie meaning of the text</w:t>
      </w:r>
    </w:p>
    <w:p w14:paraId="42C48CB8" w14:textId="77777777" w:rsidR="00492C05" w:rsidRDefault="00492C05" w:rsidP="00492C05">
      <w:pPr>
        <w:pStyle w:val="Lista2"/>
      </w:pPr>
      <w:r>
        <w:t xml:space="preserve">the recommendation of supplying </w:t>
      </w:r>
      <w:r>
        <w:rPr>
          <w:rStyle w:val="Foreign"/>
        </w:rPr>
        <w:t>avagraha</w:t>
      </w:r>
      <w:r>
        <w:t xml:space="preserve">s applies likewise to words in compound (and regardless of whether you use hyphens for compound segmentation or not), e.g. </w:t>
      </w:r>
      <w:r>
        <w:rPr>
          <w:rStyle w:val="Foreign"/>
        </w:rPr>
        <w:t>yaśo’mr̥tam</w:t>
      </w:r>
      <w:r>
        <w:t xml:space="preserve"> or </w:t>
      </w:r>
      <w:r>
        <w:rPr>
          <w:rStyle w:val="Foreign"/>
        </w:rPr>
        <w:t>yaśo-’mr̥tam</w:t>
      </w:r>
      <w:r>
        <w:t xml:space="preserve">; </w:t>
      </w:r>
      <w:r>
        <w:rPr>
          <w:rStyle w:val="Foreign"/>
        </w:rPr>
        <w:t>saro’nte</w:t>
      </w:r>
      <w:r>
        <w:t xml:space="preserve"> or </w:t>
      </w:r>
      <w:r>
        <w:rPr>
          <w:rStyle w:val="Foreign"/>
        </w:rPr>
        <w:t>saro-’nte</w:t>
      </w:r>
    </w:p>
    <w:p w14:paraId="09574AA2" w14:textId="77777777" w:rsidR="00492C05" w:rsidRDefault="00492C05" w:rsidP="00492C05">
      <w:pPr>
        <w:pStyle w:val="Lista"/>
      </w:pPr>
      <w:r>
        <w:t xml:space="preserve">since most of the </w:t>
      </w:r>
      <w:r>
        <w:rPr>
          <w:rStyle w:val="Foreign"/>
        </w:rPr>
        <w:t>avagraha</w:t>
      </w:r>
      <w:r>
        <w:t xml:space="preserve">s in our texts will be supplied, any and all </w:t>
      </w:r>
      <w:r>
        <w:rPr>
          <w:rStyle w:val="Foreign"/>
        </w:rPr>
        <w:t>avagraha</w:t>
      </w:r>
      <w:r>
        <w:t>s in an electronic edition will be assumed to be supplied by the editor, and the required markup signifying this (for which see EGD §6.3.7) will be added automatically</w:t>
      </w:r>
    </w:p>
    <w:p w14:paraId="74D6EFE1" w14:textId="77777777" w:rsidR="00492C05" w:rsidRDefault="00492C05" w:rsidP="00492C05">
      <w:pPr>
        <w:pStyle w:val="Lista2"/>
      </w:pPr>
      <w:r>
        <w:t xml:space="preserve">in the exceptional cases where there is an original </w:t>
      </w:r>
      <w:r>
        <w:rPr>
          <w:rStyle w:val="Foreign"/>
        </w:rPr>
        <w:t>avagraha</w:t>
      </w:r>
      <w:r>
        <w:t xml:space="preserve"> in your texts, use the shorthand ’! or '! (right single quote or plain apostrophe followed by an exclamation mark)</w:t>
      </w:r>
    </w:p>
    <w:p w14:paraId="74BD926E" w14:textId="77777777" w:rsidR="00492C05" w:rsidRDefault="00492C05" w:rsidP="00492C05">
      <w:pPr>
        <w:pStyle w:val="Lista3"/>
      </w:pPr>
      <w:r>
        <w:t xml:space="preserve">the automatic conversion routine will not add supplied markup to these, but will remove the exclamation marks after adding XML tags to all supplied </w:t>
      </w:r>
      <w:r>
        <w:rPr>
          <w:rStyle w:val="Foreign"/>
        </w:rPr>
        <w:t>avagraha</w:t>
      </w:r>
      <w:r>
        <w:t>s</w:t>
      </w:r>
    </w:p>
    <w:p w14:paraId="27A7845E" w14:textId="4BBE3F51" w:rsidR="00492C05" w:rsidRDefault="00492C05" w:rsidP="00492C05">
      <w:pPr>
        <w:pStyle w:val="Lista"/>
      </w:pPr>
      <w:r>
        <w:t xml:space="preserve">in order for automatic conversion to be possible, an apostrophe representing a supplied </w:t>
      </w:r>
      <w:r>
        <w:rPr>
          <w:rStyle w:val="Foreign"/>
        </w:rPr>
        <w:t>avagraha</w:t>
      </w:r>
      <w:r>
        <w:t xml:space="preserve"> must never be followed by a space, in order to distinguish it from the apostrophe used to represent elision in Tamil (q.v. §</w:t>
      </w:r>
      <w:r>
        <w:fldChar w:fldCharType="begin"/>
      </w:r>
      <w:r>
        <w:instrText xml:space="preserve"> REF _Ref15565291 \r \h </w:instrText>
      </w:r>
      <w:r>
        <w:fldChar w:fldCharType="separate"/>
      </w:r>
      <w:r w:rsidR="00CA5448">
        <w:t>3.12.4</w:t>
      </w:r>
      <w:r>
        <w:fldChar w:fldCharType="end"/>
      </w:r>
      <w:r>
        <w:t>), which is always followed by a space</w:t>
      </w:r>
    </w:p>
    <w:p w14:paraId="608DCE1B" w14:textId="77777777" w:rsidR="00492C05" w:rsidRDefault="00492C05" w:rsidP="00492C05">
      <w:pPr>
        <w:pStyle w:val="Lista2"/>
      </w:pPr>
      <w:r>
        <w:t xml:space="preserve">such a distinction is important because whereas the supplying of the Sanskrit </w:t>
      </w:r>
      <w:r>
        <w:rPr>
          <w:rStyle w:val="Foreign"/>
        </w:rPr>
        <w:t>avagraha</w:t>
      </w:r>
      <w:r>
        <w:t xml:space="preserve"> is an act of normalisation, namely projecting modern orthographic practice (e.g. </w:t>
      </w:r>
      <w:r>
        <w:rPr>
          <w:rFonts w:hint="cs"/>
          <w:cs/>
        </w:rPr>
        <w:t>सो ऽहतः</w:t>
      </w:r>
      <w:r>
        <w:t>) onto an original text in which this practice was not (or not widely) used, the use of an apostrophe in the transliteration of Tamil is an act of linguistic analysis, considered an integral part of our transliteration scheme</w:t>
      </w:r>
    </w:p>
    <w:p w14:paraId="3B28D859" w14:textId="17C3750F" w:rsidR="00492C05" w:rsidRDefault="00492C05" w:rsidP="00492C05">
      <w:pPr>
        <w:pStyle w:val="Lista2"/>
      </w:pPr>
      <w:r>
        <w:t xml:space="preserve">a Sanskrit </w:t>
      </w:r>
      <w:r>
        <w:rPr>
          <w:rStyle w:val="Foreign"/>
        </w:rPr>
        <w:t>avagraha</w:t>
      </w:r>
      <w:r>
        <w:t xml:space="preserve"> must normally be preceded by a space (§</w:t>
      </w:r>
      <w:r>
        <w:fldChar w:fldCharType="begin"/>
      </w:r>
      <w:r>
        <w:instrText xml:space="preserve"> REF _Ref15564928 \r \h </w:instrText>
      </w:r>
      <w:r>
        <w:fldChar w:fldCharType="separate"/>
      </w:r>
      <w:r w:rsidR="00CA5448">
        <w:t>3.9</w:t>
      </w:r>
      <w:r>
        <w:fldChar w:fldCharType="end"/>
      </w:r>
      <w:r>
        <w:t>), but it will be preceded by an alphabetic sign or a hyphen when it appears within a compound; only the following space is relevant to automatic conversion</w:t>
      </w:r>
    </w:p>
    <w:p w14:paraId="390BC989" w14:textId="77777777" w:rsidR="00492C05" w:rsidRDefault="00492C05" w:rsidP="00492C05">
      <w:pPr>
        <w:pStyle w:val="Cmsor3"/>
      </w:pPr>
      <w:bookmarkStart w:id="183" w:name="_Ref15564956"/>
      <w:bookmarkStart w:id="184" w:name="_Ref15565291"/>
      <w:bookmarkStart w:id="185" w:name="_Toc17811426"/>
      <w:bookmarkStart w:id="186" w:name="_Toc17811481"/>
      <w:bookmarkStart w:id="187" w:name="_Toc199757558"/>
      <w:bookmarkStart w:id="188" w:name="_Toc200963290"/>
      <w:r>
        <w:t xml:space="preserve">Representation of elided overshort final </w:t>
      </w:r>
      <w:r>
        <w:rPr>
          <w:rStyle w:val="Foreign"/>
        </w:rPr>
        <w:t>u</w:t>
      </w:r>
      <w:r>
        <w:t xml:space="preserve"> in Tamil</w:t>
      </w:r>
      <w:bookmarkEnd w:id="183"/>
      <w:bookmarkEnd w:id="184"/>
      <w:bookmarkEnd w:id="185"/>
      <w:bookmarkEnd w:id="186"/>
      <w:bookmarkEnd w:id="187"/>
      <w:bookmarkEnd w:id="188"/>
    </w:p>
    <w:p w14:paraId="143F5C7F" w14:textId="77777777" w:rsidR="00492C05" w:rsidRDefault="00492C05" w:rsidP="00492C05">
      <w:r>
        <w:t>@need to provide for similar apostrophes in elided final vowels in Kannaḍa. See Ollett’s Kannada guide under Elision (lōpasandhi)</w:t>
      </w:r>
    </w:p>
    <w:p w14:paraId="5DCC31CD" w14:textId="77777777" w:rsidR="00492C05" w:rsidRDefault="00492C05" w:rsidP="00492C05">
      <w:pPr>
        <w:pStyle w:val="Lista"/>
      </w:pPr>
      <w:r>
        <w:t xml:space="preserve">in the transliteration of Tamil text, use an apostrophe followed by a space to represent the elided overshort </w:t>
      </w:r>
      <w:r>
        <w:rPr>
          <w:rStyle w:val="Foreign"/>
        </w:rPr>
        <w:t>u</w:t>
      </w:r>
      <w:r>
        <w:t xml:space="preserve"> at the end of an independent word, e.g.</w:t>
      </w:r>
    </w:p>
    <w:p w14:paraId="7D9F721E" w14:textId="77777777" w:rsidR="00492C05" w:rsidRDefault="00492C05" w:rsidP="00492C05">
      <w:pPr>
        <w:pStyle w:val="Lista2"/>
      </w:pPr>
      <w:r>
        <w:rPr>
          <w:rStyle w:val="Foreign"/>
        </w:rPr>
        <w:t>arit’ eṉṟu</w:t>
      </w:r>
      <w:r>
        <w:t xml:space="preserve"> (</w:t>
      </w:r>
      <w:r>
        <w:rPr>
          <w:rStyle w:val="ForeignTamilScript"/>
          <w:rFonts w:hint="cs"/>
          <w:cs/>
          <w:lang w:bidi="ta-IN"/>
        </w:rPr>
        <w:t>அரிதென்று</w:t>
      </w:r>
      <w:r>
        <w:rPr>
          <w:cs/>
          <w:lang w:bidi="ta-IN"/>
        </w:rPr>
        <w:t xml:space="preserve"> </w:t>
      </w:r>
      <w:r>
        <w:t>for</w:t>
      </w:r>
      <w:r>
        <w:rPr>
          <w:rStyle w:val="Foreign"/>
        </w:rPr>
        <w:t xml:space="preserve"> aritu + eṉṟu</w:t>
      </w:r>
      <w:r>
        <w:t xml:space="preserve">) </w:t>
      </w:r>
    </w:p>
    <w:p w14:paraId="68E9D145" w14:textId="77777777" w:rsidR="00492C05" w:rsidRDefault="00492C05" w:rsidP="00492C05">
      <w:pPr>
        <w:pStyle w:val="Lista"/>
      </w:pPr>
      <w:r>
        <w:t xml:space="preserve">but do not use an apostrophe for the elided overshort </w:t>
      </w:r>
      <w:r>
        <w:rPr>
          <w:rStyle w:val="Foreign"/>
        </w:rPr>
        <w:t xml:space="preserve">u </w:t>
      </w:r>
      <w:r>
        <w:t>inside a lexicalised compound, e.g.</w:t>
      </w:r>
    </w:p>
    <w:p w14:paraId="6D0E4551" w14:textId="77777777" w:rsidR="00492C05" w:rsidRDefault="00492C05" w:rsidP="00492C05">
      <w:pPr>
        <w:pStyle w:val="Lista2"/>
      </w:pPr>
      <w:r>
        <w:rPr>
          <w:rStyle w:val="Foreign"/>
        </w:rPr>
        <w:t xml:space="preserve">koṇṭ-āṭu </w:t>
      </w:r>
      <w:r>
        <w:t xml:space="preserve">(for </w:t>
      </w:r>
      <w:r>
        <w:rPr>
          <w:rStyle w:val="Foreign"/>
        </w:rPr>
        <w:t>koṇṭāṭu</w:t>
      </w:r>
      <w:r>
        <w:t>)</w:t>
      </w:r>
    </w:p>
    <w:p w14:paraId="57861AED" w14:textId="67F201D0" w:rsidR="00492C05" w:rsidRDefault="00492C05" w:rsidP="00492C05">
      <w:pPr>
        <w:pStyle w:val="Lista"/>
      </w:pPr>
      <w:r>
        <w:t xml:space="preserve">note that an apostrophe used for this purpose must always be followed by a space (and not be preceded by one), in order to distinguish it from the apostrophe used to represent Sanskrit </w:t>
      </w:r>
      <w:r>
        <w:rPr>
          <w:rStyle w:val="Foreign"/>
        </w:rPr>
        <w:t>avagraha</w:t>
      </w:r>
      <w:r>
        <w:t xml:space="preserve"> (q.v. §</w:t>
      </w:r>
      <w:r>
        <w:fldChar w:fldCharType="begin"/>
      </w:r>
      <w:r>
        <w:instrText xml:space="preserve"> REF _Ref15566181 \r \h </w:instrText>
      </w:r>
      <w:r>
        <w:fldChar w:fldCharType="separate"/>
      </w:r>
      <w:r w:rsidR="00CA5448">
        <w:t>3.12.3</w:t>
      </w:r>
      <w:r>
        <w:fldChar w:fldCharType="end"/>
      </w:r>
      <w:r>
        <w:t>)</w:t>
      </w:r>
    </w:p>
    <w:p w14:paraId="4EC3E285" w14:textId="0A9D6F53" w:rsidR="00492C05" w:rsidRDefault="00492C05" w:rsidP="00492C05">
      <w:pPr>
        <w:pStyle w:val="Lista2"/>
      </w:pPr>
      <w:r>
        <w:lastRenderedPageBreak/>
        <w:t>such a distinction is important because these apostrophes are used in the transliteration of Tamil as a feature of linguistic analysis (in a way similar to our use of editorial hyphens, §</w:t>
      </w:r>
      <w:r>
        <w:fldChar w:fldCharType="begin"/>
      </w:r>
      <w:r>
        <w:instrText xml:space="preserve"> REF _Ref38379352 \r \h </w:instrText>
      </w:r>
      <w:r>
        <w:fldChar w:fldCharType="separate"/>
      </w:r>
      <w:r w:rsidR="00CA5448">
        <w:t>3.12.2</w:t>
      </w:r>
      <w:r>
        <w:fldChar w:fldCharType="end"/>
      </w:r>
      <w:r>
        <w:t xml:space="preserve">): they are understood to be integral parts of our transliteration system which do not correspond to anything graphically present in the original, whereas </w:t>
      </w:r>
      <w:r>
        <w:rPr>
          <w:rStyle w:val="Foreign"/>
        </w:rPr>
        <w:t>avagraha</w:t>
      </w:r>
      <w:r>
        <w:t>s in Sanskrit could conceivably be present in the original, and when they are not, they are supplied by the editor for the sake of normalisation</w:t>
      </w:r>
    </w:p>
    <w:p w14:paraId="3B1DFCB9" w14:textId="756A8BC0" w:rsidR="00825900" w:rsidRDefault="00825900" w:rsidP="007465A4">
      <w:pPr>
        <w:pStyle w:val="Cmsor2"/>
        <w:numPr>
          <w:ilvl w:val="1"/>
          <w:numId w:val="3"/>
        </w:numPr>
      </w:pPr>
      <w:bookmarkStart w:id="189" w:name="_Toc200963291"/>
      <w:r>
        <w:t>@</w:t>
      </w:r>
      <w:r w:rsidR="0053613B">
        <w:t>INTERPRETIVE</w:t>
      </w:r>
      <w:r w:rsidR="00492C05">
        <w:t xml:space="preserve"> ALTERATIONS</w:t>
      </w:r>
      <w:bookmarkEnd w:id="189"/>
    </w:p>
    <w:p w14:paraId="4964E2D0" w14:textId="77777777" w:rsidR="00825900" w:rsidRDefault="00825900" w:rsidP="00825900">
      <w:pPr>
        <w:pStyle w:val="Cmsor3"/>
      </w:pPr>
      <w:bookmarkStart w:id="190" w:name="_Toc200963292"/>
      <w:r>
        <w:t>Silent identification of homographs</w:t>
      </w:r>
      <w:bookmarkEnd w:id="190"/>
    </w:p>
    <w:p w14:paraId="3E5E30EF" w14:textId="77777777" w:rsidR="00825900" w:rsidRDefault="00825900" w:rsidP="00825900">
      <w:pPr>
        <w:rPr>
          <w:lang w:eastAsia="en-US" w:bidi="ar-SA"/>
        </w:rPr>
      </w:pPr>
      <w:r>
        <w:rPr>
          <w:lang w:eastAsia="en-US" w:bidi="ar-SA"/>
        </w:rPr>
        <w:t>dsdfdf</w:t>
      </w:r>
    </w:p>
    <w:p w14:paraId="3E8825D4" w14:textId="77777777" w:rsidR="00825900" w:rsidRPr="00B34223" w:rsidRDefault="00825900" w:rsidP="00825900">
      <w:pPr>
        <w:rPr>
          <w:lang w:eastAsia="en-US" w:bidi="ar-SA"/>
        </w:rPr>
      </w:pPr>
      <w:r>
        <w:rPr>
          <w:lang w:eastAsia="en-US" w:bidi="ar-SA"/>
        </w:rPr>
        <w:t>choice of using markup for ambiguity when warranted</w:t>
      </w:r>
    </w:p>
    <w:p w14:paraId="4615652D" w14:textId="77777777" w:rsidR="00825900" w:rsidRDefault="00825900" w:rsidP="00825900">
      <w:pPr>
        <w:pStyle w:val="Cmsor3"/>
      </w:pPr>
      <w:bookmarkStart w:id="191" w:name="_Ref199856909"/>
      <w:bookmarkStart w:id="192" w:name="_Toc200963293"/>
      <w:r>
        <w:t xml:space="preserve">Distinction of long and short </w:t>
      </w:r>
      <w:r>
        <w:rPr>
          <w:rFonts w:eastAsia="Gentium"/>
        </w:rPr>
        <w:t>e and o</w:t>
      </w:r>
      <w:bookmarkEnd w:id="191"/>
      <w:bookmarkEnd w:id="192"/>
    </w:p>
    <w:p w14:paraId="3DD73E66" w14:textId="77777777" w:rsidR="00825900" w:rsidRDefault="00825900" w:rsidP="00825900">
      <w:pPr>
        <w:pStyle w:val="Lista"/>
        <w:rPr>
          <w:rFonts w:eastAsia="Arial"/>
        </w:rPr>
      </w:pPr>
      <w:r>
        <w:t xml:space="preserve">however, for Dravidian </w:t>
      </w:r>
      <w:r>
        <w:rPr>
          <w:b/>
          <w:bCs/>
        </w:rPr>
        <w:t xml:space="preserve">languages that distinguish long and short </w:t>
      </w:r>
      <w:r>
        <w:rPr>
          <w:rStyle w:val="Foreign"/>
          <w:b/>
          <w:bCs/>
        </w:rPr>
        <w:t>e</w:t>
      </w:r>
      <w:r>
        <w:rPr>
          <w:b/>
          <w:bCs/>
        </w:rPr>
        <w:t xml:space="preserve"> and </w:t>
      </w:r>
      <w:r>
        <w:rPr>
          <w:rStyle w:val="Foreign"/>
          <w:b/>
          <w:bCs/>
        </w:rPr>
        <w:t>o</w:t>
      </w:r>
      <w:r>
        <w:t>, you have the option to record that distinction even if it is not present in the script you are working with</w:t>
      </w:r>
    </w:p>
    <w:p w14:paraId="05819ABC" w14:textId="77777777" w:rsidR="00825900" w:rsidRDefault="00825900" w:rsidP="00825900">
      <w:pPr>
        <w:pStyle w:val="Lista2"/>
      </w:pPr>
      <w:r>
        <w:t xml:space="preserve">in this case, transcribe long vowels as </w:t>
      </w:r>
      <w:r>
        <w:rPr>
          <w:rStyle w:val="Foreign"/>
        </w:rPr>
        <w:t>ē/ō</w:t>
      </w:r>
      <w:r>
        <w:t xml:space="preserve"> even in strict transliteration</w:t>
      </w:r>
    </w:p>
    <w:p w14:paraId="5819E34E" w14:textId="77777777" w:rsidR="00825900" w:rsidRDefault="00825900" w:rsidP="00825900">
      <w:pPr>
        <w:pStyle w:val="Lista2"/>
        <w:rPr>
          <w:rFonts w:eastAsia="Arial"/>
        </w:rPr>
      </w:pPr>
      <w:r>
        <w:t xml:space="preserve">these characters will be treated as shorthand, subsequently to be automatically expanded with XML markup signifying that </w:t>
      </w:r>
      <w:r>
        <w:rPr>
          <w:rStyle w:val="Foreign"/>
        </w:rPr>
        <w:t>e</w:t>
      </w:r>
      <w:r>
        <w:t xml:space="preserve"> or </w:t>
      </w:r>
      <w:r>
        <w:rPr>
          <w:rStyle w:val="Foreign"/>
        </w:rPr>
        <w:t>o</w:t>
      </w:r>
      <w:r>
        <w:t xml:space="preserve"> was in fact inscribed, but the spelling has been normalised by the editor</w:t>
      </w:r>
    </w:p>
    <w:p w14:paraId="74320C56" w14:textId="77777777" w:rsidR="00825900" w:rsidRDefault="00825900" w:rsidP="00825900">
      <w:pPr>
        <w:pStyle w:val="Lista3"/>
      </w:pPr>
      <w:r>
        <w:t>that is to say, the palaeographically primary generic vowel marker, e.g. that in</w:t>
      </w:r>
      <w:r>
        <w:rPr>
          <w:rFonts w:hint="cs"/>
          <w:cs/>
          <w:lang w:bidi="ta-IN"/>
        </w:rPr>
        <w:t xml:space="preserve"> </w:t>
      </w:r>
      <w:r>
        <w:rPr>
          <w:rStyle w:val="ForeignTamilScript"/>
          <w:rFonts w:hint="cs"/>
          <w:cs/>
        </w:rPr>
        <w:t>கெ</w:t>
      </w:r>
      <w:r>
        <w:rPr>
          <w:lang w:bidi="ta-IN"/>
        </w:rPr>
        <w:t xml:space="preserve"> </w:t>
      </w:r>
      <w:r>
        <w:rPr>
          <w:rStyle w:val="Foreign"/>
        </w:rPr>
        <w:t>ke</w:t>
      </w:r>
      <w:r>
        <w:t xml:space="preserve">, </w:t>
      </w:r>
      <w:r>
        <w:rPr>
          <w:rStyle w:val="ForeignTamilScript"/>
          <w:rFonts w:hint="cs"/>
          <w:cs/>
        </w:rPr>
        <w:t>கொ</w:t>
      </w:r>
      <w:r>
        <w:rPr>
          <w:lang w:bidi="ta-IN"/>
        </w:rPr>
        <w:t xml:space="preserve"> </w:t>
      </w:r>
      <w:r>
        <w:rPr>
          <w:rStyle w:val="Foreign"/>
        </w:rPr>
        <w:t>ko</w:t>
      </w:r>
      <w:r>
        <w:t>, may represent either a short or a long vowel; when it represents a long vowel, this will be shown as an editorial normalisation, e.g. to</w:t>
      </w:r>
      <w:r>
        <w:rPr>
          <w:rStyle w:val="ForeignTamilScript"/>
          <w:rFonts w:hint="cs"/>
          <w:cs/>
        </w:rPr>
        <w:t xml:space="preserve"> கே</w:t>
      </w:r>
      <w:r>
        <w:rPr>
          <w:lang w:bidi="ta-IN"/>
        </w:rPr>
        <w:t xml:space="preserve"> </w:t>
      </w:r>
      <w:r>
        <w:rPr>
          <w:rStyle w:val="Foreign"/>
        </w:rPr>
        <w:t>kē</w:t>
      </w:r>
      <w:r>
        <w:t>,</w:t>
      </w:r>
      <w:r>
        <w:rPr>
          <w:rFonts w:hint="cs"/>
          <w:cs/>
          <w:lang w:bidi="ta-IN"/>
        </w:rPr>
        <w:t xml:space="preserve"> </w:t>
      </w:r>
      <w:r>
        <w:rPr>
          <w:rStyle w:val="ForeignTamilScript"/>
          <w:rFonts w:hint="cs"/>
          <w:cs/>
        </w:rPr>
        <w:t>கோ</w:t>
      </w:r>
      <w:r>
        <w:rPr>
          <w:lang w:bidi="ta-IN"/>
        </w:rPr>
        <w:t xml:space="preserve"> </w:t>
      </w:r>
      <w:r>
        <w:rPr>
          <w:rStyle w:val="Foreign"/>
        </w:rPr>
        <w:t>kō</w:t>
      </w:r>
    </w:p>
    <w:p w14:paraId="3F1039C0" w14:textId="2EF14003" w:rsidR="00825900" w:rsidRDefault="00825900" w:rsidP="00825900">
      <w:pPr>
        <w:pStyle w:val="Lista2"/>
        <w:rPr>
          <w:rFonts w:eastAsia="Arial"/>
        </w:rPr>
      </w:pPr>
      <w:r>
        <w:t xml:space="preserve">should your inscription (or manuscript) explicitly distinguish between short and long </w:t>
      </w:r>
      <w:r>
        <w:rPr>
          <w:rStyle w:val="Foreign"/>
        </w:rPr>
        <w:t>e/o</w:t>
      </w:r>
      <w:r>
        <w:t>, please contact us to devise a solution for handling this</w:t>
      </w:r>
      <w:r w:rsidR="004502D2">
        <w:t xml:space="preserve"> @use markup where the distinction is not made</w:t>
      </w:r>
    </w:p>
    <w:p w14:paraId="250F7B39" w14:textId="77777777" w:rsidR="004502D2" w:rsidRDefault="004502D2" w:rsidP="004502D2">
      <w:pPr>
        <w:pStyle w:val="Cmsor3"/>
      </w:pPr>
      <w:bookmarkStart w:id="193" w:name="_Toc199757567"/>
      <w:bookmarkStart w:id="194" w:name="_Toc200963294"/>
      <w:r>
        <w:t>Short vowel written where a corresponding long vowel is expected</w:t>
      </w:r>
      <w:bookmarkEnd w:id="193"/>
      <w:bookmarkEnd w:id="194"/>
    </w:p>
    <w:p w14:paraId="5DF706A8" w14:textId="77777777" w:rsidR="004502D2" w:rsidRDefault="004502D2" w:rsidP="004502D2">
      <w:pPr>
        <w:pStyle w:val="Lista"/>
      </w:pPr>
      <w:r>
        <w:t>where a short vowel is written in place of an otherwise identical long vowel, optionally add a breve to the transliterated short vowel in order to highlight the fact that the short vowel is not an editorial mistake</w:t>
      </w:r>
    </w:p>
    <w:p w14:paraId="68C749C6" w14:textId="77777777" w:rsidR="004502D2" w:rsidRDefault="004502D2" w:rsidP="004502D2">
      <w:pPr>
        <w:pStyle w:val="Lista2"/>
      </w:pPr>
      <w:r>
        <w:t xml:space="preserve">i.e. use </w:t>
      </w:r>
      <w:r>
        <w:rPr>
          <w:rStyle w:val="Foreign"/>
        </w:rPr>
        <w:t>ă</w:t>
      </w:r>
      <w:r>
        <w:t xml:space="preserve">, </w:t>
      </w:r>
      <w:r>
        <w:rPr>
          <w:rStyle w:val="Foreign"/>
        </w:rPr>
        <w:t>ĭ</w:t>
      </w:r>
      <w:r>
        <w:t xml:space="preserve"> or </w:t>
      </w:r>
      <w:r>
        <w:rPr>
          <w:rStyle w:val="Foreign"/>
        </w:rPr>
        <w:t>ŭ</w:t>
      </w:r>
      <w:r>
        <w:t xml:space="preserve"> when </w:t>
      </w:r>
      <w:r>
        <w:rPr>
          <w:rStyle w:val="Foreign"/>
        </w:rPr>
        <w:t>a</w:t>
      </w:r>
      <w:r>
        <w:t xml:space="preserve">, </w:t>
      </w:r>
      <w:r>
        <w:rPr>
          <w:rStyle w:val="Foreign"/>
        </w:rPr>
        <w:t>i</w:t>
      </w:r>
      <w:r>
        <w:t xml:space="preserve"> or </w:t>
      </w:r>
      <w:r>
        <w:rPr>
          <w:rStyle w:val="Foreign"/>
        </w:rPr>
        <w:t>u</w:t>
      </w:r>
      <w:r>
        <w:t xml:space="preserve"> is used for expected </w:t>
      </w:r>
      <w:r>
        <w:rPr>
          <w:rStyle w:val="Foreign"/>
        </w:rPr>
        <w:t>ā</w:t>
      </w:r>
      <w:r>
        <w:t xml:space="preserve">, </w:t>
      </w:r>
      <w:r>
        <w:rPr>
          <w:rStyle w:val="Foreign"/>
        </w:rPr>
        <w:t>ī</w:t>
      </w:r>
      <w:r>
        <w:t xml:space="preserve"> or </w:t>
      </w:r>
      <w:r>
        <w:rPr>
          <w:rStyle w:val="Foreign"/>
        </w:rPr>
        <w:t>ū</w:t>
      </w:r>
    </w:p>
    <w:p w14:paraId="40661C9A" w14:textId="77777777" w:rsidR="004502D2" w:rsidRDefault="004502D2" w:rsidP="004502D2">
      <w:pPr>
        <w:pStyle w:val="Lista"/>
      </w:pPr>
      <w:r>
        <w:t>this option is especially recommended for Sanskrit loanwords in Indonesian vernacular documents, following Damais (1955, 15), but need not be applied in such documents if notation of vowel length is absent altogether from their orthography</w:t>
      </w:r>
    </w:p>
    <w:p w14:paraId="28641A76" w14:textId="77777777" w:rsidR="004502D2" w:rsidRDefault="004502D2" w:rsidP="004502D2">
      <w:pPr>
        <w:pStyle w:val="Lista"/>
      </w:pPr>
      <w:r>
        <w:t xml:space="preserve">this shorthand notation will be converted to XML markup involving the tag </w:t>
      </w:r>
      <w:r>
        <w:rPr>
          <w:rStyle w:val="Code"/>
        </w:rPr>
        <w:t>&lt;orig&gt;</w:t>
      </w:r>
      <w:r>
        <w:t xml:space="preserve"> as per EGD §6.3.7</w:t>
      </w:r>
    </w:p>
    <w:p w14:paraId="59A972A1" w14:textId="77777777" w:rsidR="00431357" w:rsidRDefault="00431357" w:rsidP="00431357">
      <w:pPr>
        <w:pStyle w:val="Cmsor1"/>
        <w:numPr>
          <w:ilvl w:val="0"/>
          <w:numId w:val="3"/>
        </w:numPr>
      </w:pPr>
      <w:bookmarkStart w:id="195" w:name="_Toc17811427"/>
      <w:bookmarkStart w:id="196" w:name="_Toc17811482"/>
      <w:bookmarkStart w:id="197" w:name="_Toc200963295"/>
      <w:bookmarkEnd w:id="151"/>
      <w:bookmarkEnd w:id="152"/>
      <w:bookmarkEnd w:id="153"/>
      <w:bookmarkEnd w:id="154"/>
      <w:r>
        <w:lastRenderedPageBreak/>
        <w:t xml:space="preserve">Transliterating alphabetic </w:t>
      </w:r>
      <w:bookmarkEnd w:id="195"/>
      <w:bookmarkEnd w:id="196"/>
      <w:r>
        <w:t>graphemes</w:t>
      </w:r>
      <w:bookmarkEnd w:id="197"/>
    </w:p>
    <w:p w14:paraId="549F6AD8" w14:textId="77777777" w:rsidR="00431357" w:rsidRDefault="00431357" w:rsidP="00431357">
      <w:pPr>
        <w:pStyle w:val="Cmsor2"/>
        <w:numPr>
          <w:ilvl w:val="1"/>
          <w:numId w:val="3"/>
        </w:numPr>
      </w:pPr>
      <w:bookmarkStart w:id="198" w:name="_941zz4vcrjax" w:colFirst="0" w:colLast="0"/>
      <w:bookmarkStart w:id="199" w:name="_Toc200963296"/>
      <w:bookmarkEnd w:id="198"/>
      <w:r>
        <w:t>The basic inventory of consonants and vowels</w:t>
      </w:r>
      <w:bookmarkEnd w:id="199"/>
    </w:p>
    <w:p w14:paraId="02D2D0F1" w14:textId="77777777" w:rsidR="00431357" w:rsidRDefault="00431357" w:rsidP="00431357">
      <w:pPr>
        <w:pStyle w:val="Lista"/>
      </w:pPr>
      <w:r>
        <w:t>@add a table or something with the basic signs and their transliterations</w:t>
      </w:r>
    </w:p>
    <w:p w14:paraId="6CA65350" w14:textId="77777777" w:rsidR="00431357" w:rsidRDefault="00431357" w:rsidP="00431357">
      <w:pPr>
        <w:pStyle w:val="Lista"/>
      </w:pPr>
      <w:r>
        <w:t xml:space="preserve">most of the characters below are </w:t>
      </w:r>
      <w:r>
        <w:rPr>
          <w:rFonts w:eastAsia="Tahoma"/>
        </w:rPr>
        <w:t>covered by ISO-15919</w:t>
      </w:r>
      <w:r>
        <w:t>, but are specifically mentioned here because their transliteration may not be self-evident to all of us</w:t>
      </w:r>
    </w:p>
    <w:p w14:paraId="43D712E2" w14:textId="77777777" w:rsidR="00431357" w:rsidRDefault="00431357" w:rsidP="00431357">
      <w:pPr>
        <w:pStyle w:val="Lista2"/>
      </w:pPr>
      <w:r>
        <w:t>! transliterations not covered by ISO-15919 will be marked in this section by an initial exclamation mark</w:t>
      </w:r>
    </w:p>
    <w:p w14:paraId="2CFC4B62" w14:textId="77777777" w:rsidR="00431357" w:rsidRDefault="00431357" w:rsidP="00431357">
      <w:pPr>
        <w:pStyle w:val="Cmsor3"/>
        <w:numPr>
          <w:ilvl w:val="2"/>
          <w:numId w:val="3"/>
        </w:numPr>
      </w:pPr>
      <w:bookmarkStart w:id="200" w:name="_Ref199856693"/>
      <w:bookmarkStart w:id="201" w:name="_Toc200963297"/>
      <w:r>
        <w:rPr>
          <w:rStyle w:val="Foreign"/>
          <w:rFonts w:eastAsia="Arial"/>
          <w:b/>
          <w:bCs/>
        </w:rPr>
        <w:t>Vocalic r and l</w:t>
      </w:r>
      <w:bookmarkEnd w:id="200"/>
      <w:bookmarkEnd w:id="201"/>
    </w:p>
    <w:p w14:paraId="65E4BBED" w14:textId="77777777" w:rsidR="00431357" w:rsidRDefault="00431357" w:rsidP="00431357">
      <w:pPr>
        <w:pStyle w:val="Lista2"/>
        <w:rPr>
          <w:rFonts w:eastAsia="Arial"/>
        </w:rPr>
      </w:pPr>
      <w:r>
        <w:rPr>
          <w:rFonts w:eastAsia="Arial"/>
        </w:rPr>
        <w:t xml:space="preserve">the characters </w:t>
      </w:r>
      <w:r>
        <w:rPr>
          <w:rStyle w:val="Foreign"/>
        </w:rPr>
        <w:t>r̥</w:t>
      </w:r>
      <w:r>
        <w:rPr>
          <w:noProof/>
        </w:rPr>
        <w:t xml:space="preserve">, </w:t>
      </w:r>
      <w:r>
        <w:rPr>
          <w:rStyle w:val="Foreign"/>
        </w:rPr>
        <w:t>r̥̄</w:t>
      </w:r>
      <w:r>
        <w:t xml:space="preserve"> and </w:t>
      </w:r>
      <w:r>
        <w:rPr>
          <w:rStyle w:val="Foreign"/>
        </w:rPr>
        <w:t>l̥</w:t>
      </w:r>
      <w:r>
        <w:rPr>
          <w:rFonts w:eastAsia="Arial"/>
        </w:rPr>
        <w:t xml:space="preserve"> are not available in Unicode as pre-composed characters, so to create them, you may need to enter an </w:t>
      </w:r>
      <w:r>
        <w:rPr>
          <w:rFonts w:eastAsia="Arial"/>
          <w:i/>
          <w:iCs/>
        </w:rPr>
        <w:t>r</w:t>
      </w:r>
      <w:r>
        <w:rPr>
          <w:rFonts w:eastAsia="Arial"/>
        </w:rPr>
        <w:t xml:space="preserve"> or </w:t>
      </w:r>
      <w:r>
        <w:rPr>
          <w:rFonts w:eastAsia="Arial"/>
          <w:i/>
          <w:iCs/>
        </w:rPr>
        <w:t>l</w:t>
      </w:r>
      <w:r>
        <w:rPr>
          <w:rFonts w:eastAsia="Arial"/>
        </w:rPr>
        <w:t xml:space="preserve"> as applicable, followed by </w:t>
      </w:r>
      <w:r>
        <w:rPr>
          <w:rFonts w:eastAsia="Arial"/>
          <w:i/>
          <w:iCs/>
        </w:rPr>
        <w:t>◌̥</w:t>
      </w:r>
      <w:r>
        <w:rPr>
          <w:rFonts w:eastAsia="Arial"/>
        </w:rPr>
        <w:t xml:space="preserve"> (</w:t>
      </w:r>
      <w:r>
        <w:rPr>
          <w:rStyle w:val="Code"/>
        </w:rPr>
        <w:t>U+0325</w:t>
      </w:r>
      <w:r>
        <w:rPr>
          <w:rFonts w:eastAsia="Arial"/>
        </w:rPr>
        <w:t xml:space="preserve"> Combining Ring Below) and, if needed, by </w:t>
      </w:r>
      <w:r>
        <w:rPr>
          <w:rFonts w:eastAsia="Arial"/>
          <w:i/>
          <w:iCs/>
        </w:rPr>
        <w:t>◌̄</w:t>
      </w:r>
      <w:r>
        <w:rPr>
          <w:rFonts w:eastAsia="Arial"/>
        </w:rPr>
        <w:t xml:space="preserve"> (</w:t>
      </w:r>
      <w:r>
        <w:rPr>
          <w:rStyle w:val="Code"/>
        </w:rPr>
        <w:t>U+0304</w:t>
      </w:r>
      <w:r>
        <w:rPr>
          <w:rFonts w:eastAsia="Arial"/>
        </w:rPr>
        <w:t xml:space="preserve"> Combining Macron) in this order</w:t>
      </w:r>
    </w:p>
    <w:p w14:paraId="130A5E53" w14:textId="77777777" w:rsidR="00431357" w:rsidRDefault="00431357" w:rsidP="00431357">
      <w:pPr>
        <w:pStyle w:val="Lista2"/>
        <w:rPr>
          <w:rFonts w:eastAsia="Arial"/>
        </w:rPr>
      </w:pPr>
      <w:r>
        <w:t xml:space="preserve">alternatively, since none of the languages we work with require the use of </w:t>
      </w:r>
      <w:r>
        <w:rPr>
          <w:rStyle w:val="Foreign"/>
        </w:rPr>
        <w:t>ṛ</w:t>
      </w:r>
      <w:r>
        <w:t xml:space="preserve"> to represent a consonant, you may optionally use the shorthand </w:t>
      </w:r>
      <w:r>
        <w:rPr>
          <w:rStyle w:val="Foreign"/>
        </w:rPr>
        <w:t>ṛ</w:t>
      </w:r>
      <w:r>
        <w:t xml:space="preserve"> and </w:t>
      </w:r>
      <w:r>
        <w:rPr>
          <w:rStyle w:val="Foreign"/>
        </w:rPr>
        <w:t>ṝ</w:t>
      </w:r>
      <w:r>
        <w:t xml:space="preserve">, which will later be automatically converted to </w:t>
      </w:r>
      <w:r>
        <w:rPr>
          <w:rStyle w:val="Foreign"/>
        </w:rPr>
        <w:t>r̥</w:t>
      </w:r>
      <w:r>
        <w:t xml:space="preserve"> and </w:t>
      </w:r>
      <w:r>
        <w:rPr>
          <w:rStyle w:val="Foreign"/>
        </w:rPr>
        <w:t>r̥̄</w:t>
      </w:r>
      <w:r>
        <w:t xml:space="preserve"> in your files</w:t>
      </w:r>
    </w:p>
    <w:p w14:paraId="0FD146DC" w14:textId="77777777" w:rsidR="00431357" w:rsidRDefault="00431357" w:rsidP="00431357">
      <w:pPr>
        <w:pStyle w:val="Lista3"/>
        <w:rPr>
          <w:rStyle w:val="Foreign"/>
          <w:rFonts w:eastAsia="Arial"/>
          <w:i w:val="0"/>
          <w:iCs w:val="0"/>
        </w:rPr>
      </w:pPr>
      <w:r>
        <w:t xml:space="preserve">note, however, that this does not apply to </w:t>
      </w:r>
      <w:r>
        <w:rPr>
          <w:rStyle w:val="Foreign"/>
        </w:rPr>
        <w:t>ḷ</w:t>
      </w:r>
      <w:r>
        <w:t xml:space="preserve">, because some of the epigraphic fields in which we work do require a distinction between consonant </w:t>
      </w:r>
      <w:r>
        <w:rPr>
          <w:rStyle w:val="Foreign"/>
        </w:rPr>
        <w:t>ḷ</w:t>
      </w:r>
      <w:r>
        <w:t xml:space="preserve"> and vowel </w:t>
      </w:r>
      <w:r>
        <w:rPr>
          <w:rStyle w:val="Foreign"/>
        </w:rPr>
        <w:t>l̥</w:t>
      </w:r>
    </w:p>
    <w:p w14:paraId="6A981BF1" w14:textId="77777777" w:rsidR="00431357" w:rsidRDefault="00431357" w:rsidP="00431357">
      <w:pPr>
        <w:pStyle w:val="Cmsor3"/>
        <w:numPr>
          <w:ilvl w:val="2"/>
          <w:numId w:val="3"/>
        </w:numPr>
      </w:pPr>
      <w:bookmarkStart w:id="202" w:name="_Ref17290022"/>
      <w:bookmarkStart w:id="203" w:name="_Toc17811429"/>
      <w:bookmarkStart w:id="204" w:name="_Toc17811484"/>
      <w:bookmarkStart w:id="205" w:name="_Toc200963298"/>
      <w:r>
        <w:t xml:space="preserve">Long and short </w:t>
      </w:r>
      <w:r>
        <w:rPr>
          <w:rFonts w:eastAsia="Gentium"/>
        </w:rPr>
        <w:t>e and o</w:t>
      </w:r>
      <w:bookmarkEnd w:id="202"/>
      <w:bookmarkEnd w:id="203"/>
      <w:bookmarkEnd w:id="204"/>
      <w:bookmarkEnd w:id="205"/>
    </w:p>
    <w:p w14:paraId="6874EB54" w14:textId="77777777" w:rsidR="00431357" w:rsidRDefault="00431357" w:rsidP="00431357">
      <w:pPr>
        <w:pStyle w:val="Lista"/>
      </w:pPr>
      <w:r>
        <w:t xml:space="preserve">when transliterating a language that does not make a distinction between long and short </w:t>
      </w:r>
      <w:r>
        <w:rPr>
          <w:rStyle w:val="Foreign"/>
        </w:rPr>
        <w:t>e</w:t>
      </w:r>
      <w:r>
        <w:t xml:space="preserve"> and </w:t>
      </w:r>
      <w:r>
        <w:rPr>
          <w:rStyle w:val="Foreign"/>
        </w:rPr>
        <w:t>o</w:t>
      </w:r>
      <w:r>
        <w:t>, use these Latin characters without a macron</w:t>
      </w:r>
    </w:p>
    <w:p w14:paraId="6874DC3D" w14:textId="77777777" w:rsidR="00431357" w:rsidRDefault="00431357" w:rsidP="00431357">
      <w:pPr>
        <w:pStyle w:val="Lista2"/>
        <w:rPr>
          <w:rStyle w:val="Foreign"/>
          <w:i w:val="0"/>
          <w:iCs w:val="0"/>
        </w:rPr>
      </w:pPr>
      <w:r>
        <w:t xml:space="preserve">this corresponds to Option 9.1 of the ISO15919 standard, applicable to languages that do not make a distinction between the phonemes </w:t>
      </w:r>
      <w:r>
        <w:rPr>
          <w:rStyle w:val="Foreign"/>
        </w:rPr>
        <w:t>e/ē</w:t>
      </w:r>
      <w:r>
        <w:t xml:space="preserve"> and </w:t>
      </w:r>
      <w:r>
        <w:rPr>
          <w:rStyle w:val="Foreign"/>
        </w:rPr>
        <w:t>o/ō</w:t>
      </w:r>
    </w:p>
    <w:p w14:paraId="6632117C" w14:textId="11412211" w:rsidR="00431357" w:rsidRDefault="00431357" w:rsidP="00431357">
      <w:pPr>
        <w:pStyle w:val="Lista"/>
      </w:pPr>
      <w:r>
        <w:t>@refer from here to §</w:t>
      </w:r>
      <w:r>
        <w:fldChar w:fldCharType="begin"/>
      </w:r>
      <w:r>
        <w:instrText xml:space="preserve"> REF _Ref199856909 \r \h </w:instrText>
      </w:r>
      <w:r>
        <w:fldChar w:fldCharType="separate"/>
      </w:r>
      <w:r w:rsidR="00CA5448">
        <w:t>3.13.2</w:t>
      </w:r>
      <w:r>
        <w:fldChar w:fldCharType="end"/>
      </w:r>
    </w:p>
    <w:p w14:paraId="29D5AF85" w14:textId="77777777" w:rsidR="00431357" w:rsidRDefault="00431357" w:rsidP="00431357">
      <w:pPr>
        <w:pStyle w:val="Cmsor2"/>
        <w:numPr>
          <w:ilvl w:val="1"/>
          <w:numId w:val="3"/>
        </w:numPr>
      </w:pPr>
      <w:bookmarkStart w:id="206" w:name="_Toc200963299"/>
      <w:bookmarkStart w:id="207" w:name="_Ref15558357"/>
      <w:bookmarkStart w:id="208" w:name="_Toc17811431"/>
      <w:bookmarkStart w:id="209" w:name="_Toc17811486"/>
      <w:bookmarkStart w:id="210" w:name="_Toc199757562"/>
      <w:r>
        <w:t>Additional signs specific to regions and languages</w:t>
      </w:r>
      <w:bookmarkEnd w:id="206"/>
    </w:p>
    <w:p w14:paraId="05BB4342" w14:textId="77777777" w:rsidR="00431357" w:rsidRDefault="00431357" w:rsidP="00431357">
      <w:pPr>
        <w:pStyle w:val="Cmsor3"/>
        <w:numPr>
          <w:ilvl w:val="2"/>
          <w:numId w:val="3"/>
        </w:numPr>
      </w:pPr>
      <w:bookmarkStart w:id="211" w:name="_Toc200963300"/>
      <w:r>
        <w:t>Dravidian graphemes</w:t>
      </w:r>
      <w:bookmarkEnd w:id="211"/>
    </w:p>
    <w:p w14:paraId="7C0FE874" w14:textId="77777777" w:rsidR="00431357" w:rsidRDefault="00431357" w:rsidP="00431357">
      <w:pPr>
        <w:pStyle w:val="Lista"/>
      </w:pPr>
      <w:r>
        <w:rPr>
          <w:b/>
          <w:bCs/>
        </w:rPr>
        <w:t xml:space="preserve">Tamil </w:t>
      </w:r>
      <w:r>
        <w:rPr>
          <w:rStyle w:val="Foreign"/>
          <w:b/>
          <w:bCs/>
        </w:rPr>
        <w:t>āytam</w:t>
      </w:r>
      <w:r>
        <w:t xml:space="preserve">, </w:t>
      </w:r>
      <w:r>
        <w:rPr>
          <w:rFonts w:hint="cs"/>
          <w:cs/>
          <w:lang w:bidi="ta-IN"/>
        </w:rPr>
        <w:t>ஃ</w:t>
      </w:r>
    </w:p>
    <w:p w14:paraId="0955B42A" w14:textId="77777777" w:rsidR="00431357" w:rsidRDefault="00431357" w:rsidP="00431357">
      <w:pPr>
        <w:pStyle w:val="Lista2"/>
        <w:rPr>
          <w:rStyle w:val="Foreign"/>
        </w:rPr>
      </w:pPr>
      <w:r>
        <w:rPr>
          <w:rStyle w:val="Foreign"/>
        </w:rPr>
        <w:t>ḵ</w:t>
      </w:r>
      <w:r>
        <w:t xml:space="preserve"> (</w:t>
      </w:r>
      <w:r>
        <w:rPr>
          <w:rStyle w:val="Code"/>
        </w:rPr>
        <w:t>U+1E35</w:t>
      </w:r>
      <w:r>
        <w:t xml:space="preserve"> Latin Small Letter K with Line Below)</w:t>
      </w:r>
    </w:p>
    <w:p w14:paraId="37ED52D9" w14:textId="77777777" w:rsidR="00431357" w:rsidRDefault="00431357" w:rsidP="00431357">
      <w:pPr>
        <w:pStyle w:val="Lista"/>
        <w:rPr>
          <w:b/>
          <w:bCs/>
        </w:rPr>
      </w:pPr>
      <w:r>
        <w:rPr>
          <w:b/>
          <w:bCs/>
        </w:rPr>
        <w:t>retroflex lateral</w:t>
      </w:r>
      <w:r>
        <w:t xml:space="preserve">, Tamil </w:t>
      </w:r>
      <w:r>
        <w:rPr>
          <w:rFonts w:hint="cs"/>
          <w:cs/>
          <w:lang w:bidi="ta-IN"/>
        </w:rPr>
        <w:t>ள</w:t>
      </w:r>
      <w:r>
        <w:rPr>
          <w:cs/>
          <w:lang w:bidi="ta-IN"/>
        </w:rPr>
        <w:t xml:space="preserve"> </w:t>
      </w:r>
      <w:r>
        <w:t xml:space="preserve">Kannada/Telugu </w:t>
      </w:r>
      <w:r>
        <w:rPr>
          <w:rFonts w:hint="cs"/>
          <w:cs/>
          <w:lang w:bidi="kn-IN"/>
        </w:rPr>
        <w:t>ಳ</w:t>
      </w:r>
    </w:p>
    <w:p w14:paraId="26903363" w14:textId="77777777" w:rsidR="00431357" w:rsidRDefault="00431357" w:rsidP="00431357">
      <w:pPr>
        <w:pStyle w:val="Lista2"/>
      </w:pPr>
      <w:r>
        <w:rPr>
          <w:rStyle w:val="Foreign"/>
        </w:rPr>
        <w:t>ḷ</w:t>
      </w:r>
      <w:r>
        <w:t xml:space="preserve"> (</w:t>
      </w:r>
      <w:r>
        <w:rPr>
          <w:rStyle w:val="Code"/>
        </w:rPr>
        <w:t>U+1E37</w:t>
      </w:r>
      <w:r>
        <w:t xml:space="preserve"> Latin Small Letter L with Dot Below)</w:t>
      </w:r>
    </w:p>
    <w:p w14:paraId="05102DAB" w14:textId="77777777" w:rsidR="00431357" w:rsidRDefault="00431357" w:rsidP="00431357">
      <w:pPr>
        <w:pStyle w:val="Lista"/>
        <w:rPr>
          <w:b/>
          <w:bCs/>
        </w:rPr>
      </w:pPr>
      <w:r>
        <w:rPr>
          <w:b/>
          <w:bCs/>
        </w:rPr>
        <w:t>alveolar trill/stop</w:t>
      </w:r>
      <w:r>
        <w:t xml:space="preserve">, Tamil </w:t>
      </w:r>
      <w:r>
        <w:rPr>
          <w:rFonts w:hint="cs"/>
          <w:cs/>
          <w:lang w:bidi="ta-IN"/>
        </w:rPr>
        <w:t>ற</w:t>
      </w:r>
      <w:r>
        <w:rPr>
          <w:cs/>
          <w:lang w:bidi="ta-IN"/>
        </w:rPr>
        <w:t xml:space="preserve"> </w:t>
      </w:r>
      <w:r>
        <w:t xml:space="preserve">Kannada/Telugu </w:t>
      </w:r>
      <w:r>
        <w:rPr>
          <w:rFonts w:hint="cs"/>
          <w:cs/>
          <w:lang w:bidi="kn-IN"/>
        </w:rPr>
        <w:t>ಱ</w:t>
      </w:r>
    </w:p>
    <w:p w14:paraId="58B49E49" w14:textId="77777777" w:rsidR="00431357" w:rsidRDefault="00431357" w:rsidP="00431357">
      <w:pPr>
        <w:pStyle w:val="Lista2"/>
      </w:pPr>
      <w:r>
        <w:rPr>
          <w:rStyle w:val="Foreign"/>
        </w:rPr>
        <w:t>ṟ</w:t>
      </w:r>
      <w:r>
        <w:t xml:space="preserve"> (</w:t>
      </w:r>
      <w:r>
        <w:rPr>
          <w:rStyle w:val="Code"/>
        </w:rPr>
        <w:t>U+1E5F</w:t>
      </w:r>
      <w:r>
        <w:t xml:space="preserve"> Latin Small Letter R with Line Below)</w:t>
      </w:r>
    </w:p>
    <w:p w14:paraId="242933F5" w14:textId="77777777" w:rsidR="00431357" w:rsidRDefault="00431357" w:rsidP="00431357">
      <w:pPr>
        <w:pStyle w:val="Lista"/>
      </w:pPr>
      <w:r>
        <w:rPr>
          <w:b/>
          <w:bCs/>
        </w:rPr>
        <w:t>retroflex approximant / frictionless continuant</w:t>
      </w:r>
      <w:r>
        <w:t xml:space="preserve">, Tamil </w:t>
      </w:r>
      <w:r>
        <w:rPr>
          <w:rFonts w:hint="cs"/>
          <w:cs/>
          <w:lang w:bidi="ta-IN"/>
        </w:rPr>
        <w:t>ழ</w:t>
      </w:r>
      <w:r>
        <w:rPr>
          <w:cs/>
          <w:lang w:bidi="ta-IN"/>
        </w:rPr>
        <w:t xml:space="preserve"> </w:t>
      </w:r>
      <w:r>
        <w:t xml:space="preserve">Kannada/Telugu </w:t>
      </w:r>
      <w:r>
        <w:rPr>
          <w:rFonts w:hint="cs"/>
          <w:cs/>
          <w:lang w:bidi="kn-IN"/>
        </w:rPr>
        <w:t>ೞ</w:t>
      </w:r>
    </w:p>
    <w:p w14:paraId="5BBB04E2" w14:textId="77777777" w:rsidR="00431357" w:rsidRDefault="00431357" w:rsidP="00431357">
      <w:pPr>
        <w:pStyle w:val="Lista2"/>
      </w:pPr>
      <w:r>
        <w:rPr>
          <w:rStyle w:val="Foreign"/>
        </w:rPr>
        <w:t>ḻ</w:t>
      </w:r>
      <w:r>
        <w:t xml:space="preserve"> (</w:t>
      </w:r>
      <w:r>
        <w:rPr>
          <w:rStyle w:val="Code"/>
        </w:rPr>
        <w:t>U+1E3B</w:t>
      </w:r>
      <w:r>
        <w:t xml:space="preserve"> Latin Small Letter L with Line Below)</w:t>
      </w:r>
    </w:p>
    <w:p w14:paraId="30B74BDC" w14:textId="77777777" w:rsidR="00431357" w:rsidRDefault="00431357" w:rsidP="00431357">
      <w:pPr>
        <w:pStyle w:val="Cmsor3"/>
        <w:numPr>
          <w:ilvl w:val="2"/>
          <w:numId w:val="3"/>
        </w:numPr>
      </w:pPr>
      <w:bookmarkStart w:id="212" w:name="_Toc199757561"/>
      <w:bookmarkStart w:id="213" w:name="_Ref199857175"/>
      <w:bookmarkStart w:id="214" w:name="_Toc200963301"/>
      <w:r>
        <w:t xml:space="preserve">Southeast Asian </w:t>
      </w:r>
      <w:bookmarkEnd w:id="212"/>
      <w:r>
        <w:t>graphemes</w:t>
      </w:r>
      <w:bookmarkEnd w:id="213"/>
      <w:bookmarkEnd w:id="214"/>
    </w:p>
    <w:p w14:paraId="02E61722" w14:textId="77777777" w:rsidR="00431357" w:rsidRDefault="00431357" w:rsidP="00431357">
      <w:pPr>
        <w:pStyle w:val="Lista"/>
      </w:pPr>
      <w:r>
        <w:t xml:space="preserve">! </w:t>
      </w:r>
      <w:r>
        <w:rPr>
          <w:b/>
          <w:bCs/>
        </w:rPr>
        <w:t xml:space="preserve">Cam </w:t>
      </w:r>
      <w:r>
        <w:rPr>
          <w:rStyle w:val="Foreign"/>
          <w:b/>
          <w:bCs/>
        </w:rPr>
        <w:t>anusvāra-candra</w:t>
      </w:r>
    </w:p>
    <w:p w14:paraId="50122F85" w14:textId="77777777" w:rsidR="00431357" w:rsidRDefault="00431357" w:rsidP="00431357">
      <w:pPr>
        <w:pStyle w:val="Lista2"/>
      </w:pPr>
      <w:r>
        <w:rPr>
          <w:rStyle w:val="Foreign"/>
        </w:rPr>
        <w:t>m̃</w:t>
      </w:r>
      <w:r>
        <w:t xml:space="preserve"> (this character is not available as a precomposed glyph, so it must be composed of a regular </w:t>
      </w:r>
      <w:r>
        <w:rPr>
          <w:rStyle w:val="Foreign"/>
        </w:rPr>
        <w:t>m</w:t>
      </w:r>
      <w:r>
        <w:t xml:space="preserve"> and a   ̃ sign, </w:t>
      </w:r>
      <w:r>
        <w:rPr>
          <w:rStyle w:val="Code"/>
        </w:rPr>
        <w:t>U+0303</w:t>
      </w:r>
      <w:r>
        <w:t xml:space="preserve"> “Combining Tilde”)</w:t>
      </w:r>
    </w:p>
    <w:p w14:paraId="64B5D5B0" w14:textId="77777777" w:rsidR="00431357" w:rsidRDefault="00431357" w:rsidP="00431357">
      <w:pPr>
        <w:pStyle w:val="Lista"/>
      </w:pPr>
      <w:r>
        <w:t xml:space="preserve">! </w:t>
      </w:r>
      <w:r>
        <w:rPr>
          <w:b/>
          <w:bCs/>
        </w:rPr>
        <w:t>Javanes</w:t>
      </w:r>
      <w:r>
        <w:rPr>
          <w:rFonts w:eastAsia="Arial"/>
          <w:b/>
          <w:bCs/>
        </w:rPr>
        <w:t>e/Balinese</w:t>
      </w:r>
      <w:r>
        <w:rPr>
          <w:rFonts w:eastAsia="Arial"/>
        </w:rPr>
        <w:t xml:space="preserve"> </w:t>
      </w:r>
      <w:r>
        <w:rPr>
          <w:rStyle w:val="Foreign"/>
          <w:rFonts w:eastAsia="Arial"/>
          <w:b/>
          <w:bCs/>
        </w:rPr>
        <w:t>pepet</w:t>
      </w:r>
      <w:r>
        <w:rPr>
          <w:rFonts w:eastAsia="Arial"/>
          <w:b/>
          <w:bCs/>
        </w:rPr>
        <w:t xml:space="preserve"> </w:t>
      </w:r>
      <w:r>
        <w:rPr>
          <w:rFonts w:eastAsia="Arial"/>
        </w:rPr>
        <w:t>(expressing the vowel schwa)</w:t>
      </w:r>
    </w:p>
    <w:p w14:paraId="2ED39FA6" w14:textId="77777777" w:rsidR="00431357" w:rsidRDefault="00431357" w:rsidP="00431357">
      <w:pPr>
        <w:pStyle w:val="Lista2"/>
      </w:pPr>
      <w:r>
        <w:rPr>
          <w:rFonts w:eastAsia="Arial"/>
        </w:rPr>
        <w:t xml:space="preserve">short, </w:t>
      </w:r>
      <w:r>
        <w:rPr>
          <w:rStyle w:val="Foreign"/>
          <w:rFonts w:eastAsia="Arial"/>
        </w:rPr>
        <w:t>ə</w:t>
      </w:r>
      <w:r>
        <w:t xml:space="preserve"> (</w:t>
      </w:r>
      <w:r>
        <w:rPr>
          <w:rStyle w:val="Code"/>
        </w:rPr>
        <w:t>U+0259</w:t>
      </w:r>
      <w:r>
        <w:t xml:space="preserve"> Latin Small Letter Schwa)</w:t>
      </w:r>
    </w:p>
    <w:p w14:paraId="07A06D90" w14:textId="77777777" w:rsidR="00431357" w:rsidRDefault="00431357" w:rsidP="00431357">
      <w:pPr>
        <w:pStyle w:val="Lista3"/>
      </w:pPr>
      <w:r>
        <w:t xml:space="preserve">you may use the shorthand </w:t>
      </w:r>
      <w:r>
        <w:rPr>
          <w:rStyle w:val="Foreign"/>
        </w:rPr>
        <w:t>ĕ</w:t>
      </w:r>
      <w:r>
        <w:t xml:space="preserve"> instead of </w:t>
      </w:r>
      <w:r>
        <w:rPr>
          <w:rStyle w:val="Foreign"/>
        </w:rPr>
        <w:t>ǝ</w:t>
      </w:r>
      <w:r>
        <w:t xml:space="preserve"> if it is easier for you; since </w:t>
      </w:r>
      <w:r>
        <w:rPr>
          <w:rStyle w:val="Foreign"/>
        </w:rPr>
        <w:t>ĕ</w:t>
      </w:r>
      <w:r>
        <w:t xml:space="preserve"> is not used for any other purpose in our transliteration, it can be automatically converted to </w:t>
      </w:r>
      <w:r>
        <w:rPr>
          <w:rStyle w:val="Foreign"/>
        </w:rPr>
        <w:t>ǝ</w:t>
      </w:r>
    </w:p>
    <w:p w14:paraId="3097E104" w14:textId="34E27AD9" w:rsidR="00431357" w:rsidRDefault="00431357" w:rsidP="00431357">
      <w:pPr>
        <w:pStyle w:val="Lista2"/>
      </w:pPr>
      <w:r>
        <w:rPr>
          <w:rFonts w:eastAsia="Arial"/>
        </w:rPr>
        <w:t xml:space="preserve">long, </w:t>
      </w:r>
      <w:r>
        <w:rPr>
          <w:rStyle w:val="Foreign"/>
          <w:rFonts w:eastAsia="Arial"/>
        </w:rPr>
        <w:t xml:space="preserve">ə: </w:t>
      </w:r>
      <w:r>
        <w:rPr>
          <w:rFonts w:eastAsia="Arial"/>
        </w:rPr>
        <w:t>(with length-mark represented by a colon as per §</w:t>
      </w:r>
      <w:r>
        <w:rPr>
          <w:rFonts w:eastAsia="Arial"/>
        </w:rPr>
        <w:fldChar w:fldCharType="begin"/>
      </w:r>
      <w:r>
        <w:rPr>
          <w:rFonts w:eastAsia="Arial"/>
        </w:rPr>
        <w:instrText xml:space="preserve"> REF _Ref15558434 \r \h </w:instrText>
      </w:r>
      <w:r>
        <w:rPr>
          <w:rFonts w:eastAsia="Arial"/>
        </w:rPr>
      </w:r>
      <w:r>
        <w:rPr>
          <w:rFonts w:eastAsia="Arial"/>
        </w:rPr>
        <w:fldChar w:fldCharType="separate"/>
      </w:r>
      <w:r w:rsidR="00CA5448">
        <w:rPr>
          <w:rFonts w:eastAsia="Arial"/>
        </w:rPr>
        <w:t>4.7.1</w:t>
      </w:r>
      <w:r>
        <w:rPr>
          <w:rFonts w:eastAsia="Arial"/>
        </w:rPr>
        <w:fldChar w:fldCharType="end"/>
      </w:r>
      <w:r>
        <w:rPr>
          <w:rFonts w:eastAsia="Arial"/>
        </w:rPr>
        <w:t>) in strict transliteration</w:t>
      </w:r>
    </w:p>
    <w:p w14:paraId="4DA016AB" w14:textId="77777777" w:rsidR="00431357" w:rsidRDefault="00431357" w:rsidP="00431357">
      <w:pPr>
        <w:pStyle w:val="Lista3"/>
      </w:pPr>
      <w:r>
        <w:rPr>
          <w:rStyle w:val="Foreign"/>
          <w:rFonts w:eastAsia="Arial"/>
        </w:rPr>
        <w:lastRenderedPageBreak/>
        <w:t>ə̄</w:t>
      </w:r>
      <w:r>
        <w:rPr>
          <w:rFonts w:eastAsia="Arial"/>
        </w:rPr>
        <w:t xml:space="preserve"> in loose transliteration (not available as a precomposed character: add </w:t>
      </w:r>
      <w:r>
        <w:rPr>
          <w:rStyle w:val="Code"/>
        </w:rPr>
        <w:t>U+0304</w:t>
      </w:r>
      <w:r>
        <w:t xml:space="preserve"> Combining Macron to the plain character</w:t>
      </w:r>
      <w:r>
        <w:rPr>
          <w:rFonts w:eastAsia="Arial"/>
        </w:rPr>
        <w:t>)</w:t>
      </w:r>
    </w:p>
    <w:p w14:paraId="11926B27" w14:textId="594FA35A" w:rsidR="00431357" w:rsidRDefault="00431357" w:rsidP="00431357">
      <w:pPr>
        <w:pStyle w:val="Lista2"/>
      </w:pPr>
      <w:r>
        <w:t>see §</w:t>
      </w:r>
      <w:r>
        <w:fldChar w:fldCharType="begin"/>
      </w:r>
      <w:r>
        <w:instrText xml:space="preserve"> REF _Ref17810731 \r \h </w:instrText>
      </w:r>
      <w:r>
        <w:fldChar w:fldCharType="separate"/>
      </w:r>
      <w:r w:rsidR="00CA5448">
        <w:t>4.5.2</w:t>
      </w:r>
      <w:r>
        <w:fldChar w:fldCharType="end"/>
      </w:r>
      <w:r>
        <w:t xml:space="preserve"> about transliterating long </w:t>
      </w:r>
      <w:r>
        <w:rPr>
          <w:rStyle w:val="Foreign"/>
        </w:rPr>
        <w:t>pepet</w:t>
      </w:r>
      <w:r>
        <w:t xml:space="preserve"> written using an </w:t>
      </w:r>
      <w:r>
        <w:rPr>
          <w:rStyle w:val="Foreign"/>
        </w:rPr>
        <w:t>A</w:t>
      </w:r>
      <w:r>
        <w:t xml:space="preserve"> glyph as a vowel support</w:t>
      </w:r>
    </w:p>
    <w:p w14:paraId="39256028" w14:textId="77777777" w:rsidR="00431357" w:rsidRDefault="00431357" w:rsidP="00431357">
      <w:pPr>
        <w:pStyle w:val="Lista"/>
      </w:pPr>
      <w:r>
        <w:t xml:space="preserve">! </w:t>
      </w:r>
      <w:r>
        <w:rPr>
          <w:b/>
          <w:bCs/>
        </w:rPr>
        <w:t xml:space="preserve">Khmer (and Mon-Burmese) </w:t>
      </w:r>
      <w:r>
        <w:rPr>
          <w:rFonts w:eastAsia="Arial"/>
          <w:b/>
          <w:bCs/>
        </w:rPr>
        <w:t>glottal stop</w:t>
      </w:r>
      <w:r>
        <w:rPr>
          <w:rFonts w:eastAsia="Arial"/>
        </w:rPr>
        <w:t xml:space="preserve"> </w:t>
      </w:r>
    </w:p>
    <w:p w14:paraId="69E69FB7" w14:textId="77777777" w:rsidR="00431357" w:rsidRDefault="00431357" w:rsidP="00431357">
      <w:pPr>
        <w:pStyle w:val="Lista2"/>
      </w:pPr>
      <w:r>
        <w:rPr>
          <w:rStyle w:val="Foreign"/>
        </w:rPr>
        <w:t>q</w:t>
      </w:r>
      <w:r>
        <w:t xml:space="preserve"> (the Latin letter q)</w:t>
      </w:r>
    </w:p>
    <w:p w14:paraId="4F8A30BB" w14:textId="6520A942" w:rsidR="00431357" w:rsidRDefault="00431357" w:rsidP="00431357">
      <w:pPr>
        <w:pStyle w:val="Lista2"/>
      </w:pPr>
      <w:r>
        <w:t>see also §</w:t>
      </w:r>
      <w:r>
        <w:fldChar w:fldCharType="begin"/>
      </w:r>
      <w:r>
        <w:instrText xml:space="preserve"> REF _Ref22208509 \r \h </w:instrText>
      </w:r>
      <w:r>
        <w:fldChar w:fldCharType="separate"/>
      </w:r>
      <w:r w:rsidR="00CA5448">
        <w:t>4.5.2</w:t>
      </w:r>
      <w:r>
        <w:fldChar w:fldCharType="end"/>
      </w:r>
      <w:r>
        <w:t xml:space="preserve"> about the representation of independent vowels involving this character component</w:t>
      </w:r>
    </w:p>
    <w:p w14:paraId="037C5C71" w14:textId="77777777" w:rsidR="00431357" w:rsidRDefault="00431357" w:rsidP="00431357">
      <w:pPr>
        <w:pStyle w:val="Lista"/>
      </w:pPr>
      <w:r>
        <w:t xml:space="preserve">! </w:t>
      </w:r>
      <w:r>
        <w:rPr>
          <w:b/>
          <w:bCs/>
        </w:rPr>
        <w:t xml:space="preserve">barred/dotted variant of </w:t>
      </w:r>
      <w:r>
        <w:rPr>
          <w:rStyle w:val="Foreign"/>
          <w:b/>
          <w:bCs/>
        </w:rPr>
        <w:t>b</w:t>
      </w:r>
      <w:r>
        <w:rPr>
          <w:b/>
          <w:bCs/>
        </w:rPr>
        <w:t xml:space="preserve"> in Mon and Pyu</w:t>
      </w:r>
      <w:r>
        <w:t>:</w:t>
      </w:r>
    </w:p>
    <w:p w14:paraId="54F2FABF" w14:textId="77777777" w:rsidR="00431357" w:rsidRDefault="00431357" w:rsidP="00431357">
      <w:pPr>
        <w:pStyle w:val="Lista2"/>
      </w:pPr>
      <w:r>
        <w:rPr>
          <w:rStyle w:val="Foreign"/>
        </w:rPr>
        <w:t>ḅ</w:t>
      </w:r>
      <w:r>
        <w:t xml:space="preserve"> (</w:t>
      </w:r>
      <w:r>
        <w:rPr>
          <w:rStyle w:val="Code"/>
        </w:rPr>
        <w:t>U+1E05</w:t>
      </w:r>
      <w:r>
        <w:t xml:space="preserve"> Latin Small Letter B with Dot Below)</w:t>
      </w:r>
    </w:p>
    <w:p w14:paraId="088A44DC" w14:textId="77777777" w:rsidR="00431357" w:rsidRDefault="00431357" w:rsidP="00431357">
      <w:pPr>
        <w:pStyle w:val="Lista"/>
        <w:rPr>
          <w:b/>
          <w:bCs/>
        </w:rPr>
      </w:pPr>
      <w:r>
        <w:rPr>
          <w:rStyle w:val="Foreign"/>
          <w:b/>
          <w:bCs/>
        </w:rPr>
        <w:t>akṣara</w:t>
      </w:r>
      <w:r>
        <w:rPr>
          <w:b/>
          <w:bCs/>
        </w:rPr>
        <w:t>s with underdot in Mon, Pyu and Burmese</w:t>
      </w:r>
    </w:p>
    <w:p w14:paraId="3B806CBC" w14:textId="77777777" w:rsidR="00431357" w:rsidRDefault="00431357" w:rsidP="00431357">
      <w:pPr>
        <w:pStyle w:val="Lista3"/>
      </w:pPr>
      <w:r>
        <w:rPr>
          <w:rStyle w:val="Foreign"/>
        </w:rPr>
        <w:t>ṃ</w:t>
      </w:r>
      <w:r>
        <w:t xml:space="preserve"> (</w:t>
      </w:r>
      <w:r>
        <w:rPr>
          <w:rStyle w:val="Code"/>
        </w:rPr>
        <w:t>U+1E43</w:t>
      </w:r>
      <w:r>
        <w:t xml:space="preserve"> Latin Small Letter M with Dot Below)</w:t>
      </w:r>
    </w:p>
    <w:p w14:paraId="48D846B5" w14:textId="77777777" w:rsidR="00431357" w:rsidRDefault="00431357" w:rsidP="00431357">
      <w:pPr>
        <w:pStyle w:val="Lista"/>
        <w:rPr>
          <w:b/>
          <w:bCs/>
        </w:rPr>
      </w:pPr>
      <w:r>
        <w:rPr>
          <w:b/>
          <w:bCs/>
          <w:i/>
          <w:iCs/>
        </w:rPr>
        <w:t>akṣaras with abbreviation markers in Burmese</w:t>
      </w:r>
    </w:p>
    <w:p w14:paraId="2C1D6280" w14:textId="77777777" w:rsidR="00431357" w:rsidRDefault="00431357" w:rsidP="00431357">
      <w:pPr>
        <w:pStyle w:val="Lista2"/>
      </w:pPr>
      <w:r>
        <w:t xml:space="preserve">use an asterisk to represent the abbreviation marker, e.g. </w:t>
      </w:r>
      <w:r>
        <w:rPr>
          <w:rStyle w:val="Foreign"/>
        </w:rPr>
        <w:t>n*</w:t>
      </w:r>
      <w:r>
        <w:t xml:space="preserve"> to transliterate </w:t>
      </w:r>
      <w:r>
        <w:rPr>
          <w:rStyle w:val="ForeignBurmeseScript"/>
          <w:rFonts w:hint="cs"/>
          <w:cs/>
        </w:rPr>
        <w:t>၌</w:t>
      </w:r>
      <w:r>
        <w:t xml:space="preserve"> </w:t>
      </w:r>
    </w:p>
    <w:p w14:paraId="7E588CAE" w14:textId="6EFA45AB" w:rsidR="00431357" w:rsidRDefault="00431357" w:rsidP="00431357">
      <w:pPr>
        <w:pStyle w:val="Lista2"/>
      </w:pPr>
      <w:r>
        <w:t>note that if you use an asterisk for this purpose, then you must not use asterisks as shorthand for a zero vowel marker (§</w:t>
      </w:r>
      <w:r>
        <w:fldChar w:fldCharType="begin"/>
      </w:r>
      <w:r>
        <w:instrText xml:space="preserve"> REF _Ref17800758 \r \h </w:instrText>
      </w:r>
      <w:r>
        <w:fldChar w:fldCharType="separate"/>
      </w:r>
      <w:r w:rsidR="00CA5448">
        <w:t>4.5</w:t>
      </w:r>
      <w:r>
        <w:fldChar w:fldCharType="end"/>
      </w:r>
      <w:r>
        <w:t>)</w:t>
      </w:r>
    </w:p>
    <w:p w14:paraId="2619FAA8" w14:textId="77777777" w:rsidR="00431357" w:rsidRDefault="00431357" w:rsidP="00431357">
      <w:pPr>
        <w:pStyle w:val="Cmsor2"/>
        <w:numPr>
          <w:ilvl w:val="1"/>
          <w:numId w:val="3"/>
        </w:numPr>
        <w:rPr>
          <w:rStyle w:val="Foreign"/>
          <w:rFonts w:eastAsia="Arial"/>
          <w:b/>
          <w:bCs/>
          <w:i w:val="0"/>
          <w:iCs w:val="0"/>
        </w:rPr>
      </w:pPr>
      <w:bookmarkStart w:id="215" w:name="_Toc200963302"/>
      <w:bookmarkEnd w:id="207"/>
      <w:bookmarkEnd w:id="208"/>
      <w:bookmarkEnd w:id="209"/>
      <w:bookmarkEnd w:id="210"/>
      <w:r>
        <w:rPr>
          <w:rStyle w:val="Foreign"/>
        </w:rPr>
        <w:t>Anusvāra</w:t>
      </w:r>
      <w:r>
        <w:rPr>
          <w:rStyle w:val="Foreign"/>
          <w:rFonts w:eastAsia="Arial"/>
          <w:b/>
          <w:bCs/>
        </w:rPr>
        <w:t xml:space="preserve"> and its relatives</w:t>
      </w:r>
      <w:bookmarkEnd w:id="215"/>
    </w:p>
    <w:p w14:paraId="4DB1B3DB" w14:textId="77777777" w:rsidR="00431357" w:rsidRDefault="00431357" w:rsidP="00431357">
      <w:pPr>
        <w:pStyle w:val="Lista"/>
        <w:rPr>
          <w:rFonts w:eastAsia="Arial"/>
          <w:b/>
          <w:bCs/>
        </w:rPr>
      </w:pPr>
      <w:r>
        <w:rPr>
          <w:rStyle w:val="Foreign"/>
          <w:rFonts w:eastAsia="Gentium"/>
          <w:b/>
          <w:bCs/>
        </w:rPr>
        <w:t>anunāsika</w:t>
      </w:r>
      <w:r>
        <w:rPr>
          <w:rFonts w:eastAsia="Gentium"/>
          <w:b/>
          <w:bCs/>
        </w:rPr>
        <w:t>/</w:t>
      </w:r>
      <w:r>
        <w:rPr>
          <w:rStyle w:val="Foreign"/>
          <w:rFonts w:eastAsia="Gentium"/>
          <w:b/>
          <w:bCs/>
        </w:rPr>
        <w:t>candrabindu</w:t>
      </w:r>
    </w:p>
    <w:p w14:paraId="354DB492" w14:textId="77777777" w:rsidR="00431357" w:rsidRDefault="00431357" w:rsidP="00431357">
      <w:pPr>
        <w:pStyle w:val="Lista2"/>
        <w:rPr>
          <w:rFonts w:eastAsia="Arial"/>
        </w:rPr>
      </w:pPr>
      <w:r>
        <w:rPr>
          <w:rStyle w:val="Foreign"/>
          <w:rFonts w:eastAsia="Gentium"/>
        </w:rPr>
        <w:t>m̐</w:t>
      </w:r>
      <w:r>
        <w:t xml:space="preserve"> (this character is not available as a precomposed glyph, so it must be composed of a regular </w:t>
      </w:r>
      <w:r>
        <w:rPr>
          <w:rStyle w:val="Foreign"/>
        </w:rPr>
        <w:t>m</w:t>
      </w:r>
      <w:r>
        <w:t xml:space="preserve"> and a  ̐ sign: </w:t>
      </w:r>
      <w:r>
        <w:rPr>
          <w:rStyle w:val="Code"/>
        </w:rPr>
        <w:t>U+0310</w:t>
      </w:r>
      <w:r>
        <w:t xml:space="preserve"> Combining Candrabindu)</w:t>
      </w:r>
    </w:p>
    <w:p w14:paraId="011520FB" w14:textId="77777777" w:rsidR="00431357" w:rsidRDefault="00431357" w:rsidP="00431357">
      <w:pPr>
        <w:pStyle w:val="Lista2"/>
      </w:pPr>
      <w:r>
        <w:t xml:space="preserve">use </w:t>
      </w:r>
      <w:r>
        <w:rPr>
          <w:b/>
          <w:bCs/>
        </w:rPr>
        <w:t>only</w:t>
      </w:r>
      <w:r>
        <w:t xml:space="preserve"> if distinguished in the original script from </w:t>
      </w:r>
      <w:r>
        <w:rPr>
          <w:rStyle w:val="Foreign"/>
        </w:rPr>
        <w:t>anusvāra</w:t>
      </w:r>
    </w:p>
    <w:p w14:paraId="229EEBCB" w14:textId="77777777" w:rsidR="00431357" w:rsidRDefault="00431357" w:rsidP="00431357">
      <w:pPr>
        <w:pStyle w:val="Lista3"/>
      </w:pPr>
      <w:r>
        <w:t xml:space="preserve">but, conversely, </w:t>
      </w:r>
      <w:r>
        <w:rPr>
          <w:b/>
          <w:bCs/>
        </w:rPr>
        <w:t>always</w:t>
      </w:r>
      <w:r>
        <w:t xml:space="preserve"> make the distinction in transliteration if the distinction is made in the original</w:t>
      </w:r>
    </w:p>
    <w:p w14:paraId="45C87D79" w14:textId="77777777" w:rsidR="00431357" w:rsidRDefault="00431357" w:rsidP="00431357">
      <w:pPr>
        <w:pStyle w:val="Lista3"/>
        <w:rPr>
          <w:rStyle w:val="Foreign"/>
        </w:rPr>
      </w:pPr>
      <w:r>
        <w:rPr>
          <w:rStyle w:val="Foreign"/>
        </w:rPr>
        <w:t>candrabindu</w:t>
      </w:r>
      <w:r>
        <w:t xml:space="preserve"> signs enlarged and embellished for ornamentation do not receive a different treatment in transliteration</w:t>
      </w:r>
    </w:p>
    <w:p w14:paraId="37826F2D" w14:textId="77777777" w:rsidR="00431357" w:rsidRDefault="00431357" w:rsidP="00431357">
      <w:pPr>
        <w:pStyle w:val="Lista2"/>
      </w:pPr>
      <w:r>
        <w:t xml:space="preserve">only add the Candrabindu sign to </w:t>
      </w:r>
      <w:r>
        <w:rPr>
          <w:rStyle w:val="Foreign"/>
        </w:rPr>
        <w:t>m</w:t>
      </w:r>
      <w:r>
        <w:t xml:space="preserve"> (i.e. avoid using </w:t>
      </w:r>
      <w:r>
        <w:rPr>
          <w:rStyle w:val="Foreign"/>
        </w:rPr>
        <w:t>tāl̐ lakṣmīm</w:t>
      </w:r>
      <w:r>
        <w:t xml:space="preserve"> and write </w:t>
      </w:r>
      <w:r>
        <w:rPr>
          <w:rStyle w:val="Foreign"/>
        </w:rPr>
        <w:t>tām̐l lakṣmīm</w:t>
      </w:r>
      <w:r>
        <w:t xml:space="preserve"> instead)</w:t>
      </w:r>
    </w:p>
    <w:p w14:paraId="21EFD5D6" w14:textId="77777777" w:rsidR="00431357" w:rsidRDefault="00431357" w:rsidP="00431357">
      <w:pPr>
        <w:pStyle w:val="Cmsor3"/>
        <w:numPr>
          <w:ilvl w:val="2"/>
          <w:numId w:val="3"/>
        </w:numPr>
      </w:pPr>
      <w:bookmarkStart w:id="216" w:name="_Ref40103880"/>
      <w:bookmarkStart w:id="217" w:name="_Toc199757569"/>
      <w:bookmarkStart w:id="218" w:name="_Toc200963303"/>
      <w:r>
        <w:t xml:space="preserve">Special forms of </w:t>
      </w:r>
      <w:r>
        <w:rPr>
          <w:rStyle w:val="Foreign"/>
        </w:rPr>
        <w:t>anusvāra</w:t>
      </w:r>
      <w:bookmarkEnd w:id="216"/>
      <w:bookmarkEnd w:id="217"/>
      <w:bookmarkEnd w:id="218"/>
    </w:p>
    <w:p w14:paraId="08EB26F9" w14:textId="1ED0D9F8" w:rsidR="00431357" w:rsidRDefault="00431357" w:rsidP="00431357">
      <w:pPr>
        <w:pStyle w:val="Lista"/>
      </w:pPr>
      <w:r>
        <w:t>as per §</w:t>
      </w:r>
      <w:r>
        <w:fldChar w:fldCharType="begin"/>
      </w:r>
      <w:r>
        <w:instrText xml:space="preserve"> REF _Ref40104049 \r \h </w:instrText>
      </w:r>
      <w:r>
        <w:fldChar w:fldCharType="separate"/>
      </w:r>
      <w:r w:rsidR="00CA5448">
        <w:rPr>
          <w:b/>
          <w:bCs/>
          <w:lang w:val="hu-HU"/>
        </w:rPr>
        <w:t>Hiba! A hivatkozási forrás nem található.</w:t>
      </w:r>
      <w:r>
        <w:fldChar w:fldCharType="end"/>
      </w:r>
      <w:r>
        <w:t>, use the transliteration</w:t>
      </w:r>
    </w:p>
    <w:p w14:paraId="4042C2B9" w14:textId="77777777" w:rsidR="00431357" w:rsidRDefault="00431357" w:rsidP="00431357">
      <w:pPr>
        <w:pStyle w:val="Lista2"/>
      </w:pPr>
      <w:r>
        <w:rPr>
          <w:rStyle w:val="Foreign"/>
        </w:rPr>
        <w:t>ṁ</w:t>
      </w:r>
      <w:r>
        <w:t xml:space="preserve"> for the standard form of </w:t>
      </w:r>
      <w:r>
        <w:rPr>
          <w:rStyle w:val="Foreign"/>
        </w:rPr>
        <w:t>anusvāra</w:t>
      </w:r>
      <w:r>
        <w:t xml:space="preserve"> (a dot or circle), and</w:t>
      </w:r>
    </w:p>
    <w:p w14:paraId="5C3509BF" w14:textId="77777777" w:rsidR="00431357" w:rsidRDefault="00431357" w:rsidP="00431357">
      <w:pPr>
        <w:pStyle w:val="Lista2"/>
      </w:pPr>
      <w:r>
        <w:rPr>
          <w:rStyle w:val="Foreign"/>
          <w:rFonts w:eastAsia="Gentium"/>
        </w:rPr>
        <w:t>m̐</w:t>
      </w:r>
      <w:r>
        <w:rPr>
          <w:rFonts w:eastAsia="Gentium"/>
        </w:rPr>
        <w:t xml:space="preserve"> for the </w:t>
      </w:r>
      <w:r>
        <w:t xml:space="preserve">standard form of </w:t>
      </w:r>
      <w:r>
        <w:rPr>
          <w:rStyle w:val="Foreign"/>
        </w:rPr>
        <w:t>anunāsika</w:t>
      </w:r>
      <w:r>
        <w:t xml:space="preserve"> (a dot and a semicircle)</w:t>
      </w:r>
    </w:p>
    <w:p w14:paraId="79C3DCB8" w14:textId="77777777" w:rsidR="00431357" w:rsidRDefault="00431357" w:rsidP="00431357">
      <w:pPr>
        <w:pStyle w:val="Lista2"/>
      </w:pPr>
      <w:r>
        <w:rPr>
          <w:rStyle w:val="Foreign"/>
        </w:rPr>
        <w:t>m̃</w:t>
      </w:r>
      <w:r>
        <w:t xml:space="preserve"> for the Cam </w:t>
      </w:r>
      <w:r>
        <w:rPr>
          <w:rStyle w:val="Foreign"/>
        </w:rPr>
        <w:t>anusvāra-candra</w:t>
      </w:r>
    </w:p>
    <w:p w14:paraId="69F7741B" w14:textId="77777777" w:rsidR="00431357" w:rsidRDefault="00431357" w:rsidP="00431357">
      <w:pPr>
        <w:pStyle w:val="Lista"/>
      </w:pPr>
      <w:r>
        <w:t xml:space="preserve">if your text employs a special glyph for </w:t>
      </w:r>
      <w:r>
        <w:rPr>
          <w:rStyle w:val="Foreign"/>
        </w:rPr>
        <w:t>anusvāra</w:t>
      </w:r>
      <w:r>
        <w:t xml:space="preserve"> in addition to the regular form, then occurrences of the special glyph shall be transliterated as </w:t>
      </w:r>
      <w:r>
        <w:rPr>
          <w:rStyle w:val="Foreign"/>
        </w:rPr>
        <w:t>ṁ*</w:t>
      </w:r>
      <w:r>
        <w:t>, including in particular</w:t>
      </w:r>
    </w:p>
    <w:p w14:paraId="552E13FD" w14:textId="77777777" w:rsidR="00431357" w:rsidRDefault="00431357" w:rsidP="00431357">
      <w:pPr>
        <w:pStyle w:val="Lista2"/>
      </w:pPr>
      <w:r>
        <w:rPr>
          <w:noProof/>
        </w:rPr>
        <w:drawing>
          <wp:anchor distT="0" distB="0" distL="114300" distR="114300" simplePos="0" relativeHeight="251673600" behindDoc="1" locked="0" layoutInCell="1" allowOverlap="1" wp14:anchorId="773550DD" wp14:editId="536C1DA1">
            <wp:simplePos x="0" y="0"/>
            <wp:positionH relativeFrom="column">
              <wp:posOffset>5561437</wp:posOffset>
            </wp:positionH>
            <wp:positionV relativeFrom="paragraph">
              <wp:posOffset>121548</wp:posOffset>
            </wp:positionV>
            <wp:extent cx="588010" cy="338455"/>
            <wp:effectExtent l="0" t="0" r="2540" b="4445"/>
            <wp:wrapTight wrapText="bothSides">
              <wp:wrapPolygon edited="0">
                <wp:start x="0" y="0"/>
                <wp:lineTo x="0" y="20668"/>
                <wp:lineTo x="20994" y="20668"/>
                <wp:lineTo x="20994" y="0"/>
                <wp:lineTo x="0" y="0"/>
              </wp:wrapPolygon>
            </wp:wrapTight>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10" cy="3384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Javanese/Balinese special </w:t>
      </w:r>
      <w:r>
        <w:rPr>
          <w:rStyle w:val="Foreign"/>
        </w:rPr>
        <w:t>anusvāra</w:t>
      </w:r>
      <w:r>
        <w:t xml:space="preserve"> with a small stroke beside it (to indicate pronunciation as /m/), called </w:t>
      </w:r>
      <w:r>
        <w:rPr>
          <w:rStyle w:val="Foreign"/>
        </w:rPr>
        <w:t>ulu ricem</w:t>
      </w:r>
      <w:r>
        <w:t xml:space="preserve"> in Balinese, as shown on the right in </w:t>
      </w:r>
      <w:r>
        <w:rPr>
          <w:rStyle w:val="Foreign"/>
        </w:rPr>
        <w:t>nāśaṁ*</w:t>
      </w:r>
    </w:p>
    <w:p w14:paraId="63C1A521" w14:textId="77777777" w:rsidR="00431357" w:rsidRDefault="00431357" w:rsidP="00431357">
      <w:pPr>
        <w:pStyle w:val="Lista2"/>
      </w:pPr>
      <w:r>
        <w:rPr>
          <w:noProof/>
        </w:rPr>
        <w:drawing>
          <wp:anchor distT="0" distB="0" distL="114300" distR="114300" simplePos="0" relativeHeight="251672576" behindDoc="0" locked="0" layoutInCell="1" allowOverlap="1" wp14:anchorId="75B98054" wp14:editId="687D045C">
            <wp:simplePos x="0" y="0"/>
            <wp:positionH relativeFrom="margin">
              <wp:align>right</wp:align>
            </wp:positionH>
            <wp:positionV relativeFrom="paragraph">
              <wp:posOffset>48734</wp:posOffset>
            </wp:positionV>
            <wp:extent cx="169200" cy="388800"/>
            <wp:effectExtent l="0" t="0" r="254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200" cy="388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alternative </w:t>
      </w:r>
      <w:r>
        <w:rPr>
          <w:rStyle w:val="Foreign"/>
        </w:rPr>
        <w:t>anusvāra</w:t>
      </w:r>
      <w:r>
        <w:t xml:space="preserve"> character used in some mediaeval Bengali documents, shown in the image on the right</w:t>
      </w:r>
    </w:p>
    <w:p w14:paraId="16E8C320" w14:textId="2D992D10" w:rsidR="00431357" w:rsidRDefault="00431357" w:rsidP="00431357">
      <w:pPr>
        <w:pStyle w:val="Lista2"/>
      </w:pPr>
      <w:r>
        <w:t>note that if you use an asterisk for this purpose, then you are advised not to use asterisks as shorthand for a zero vowel marker (§</w:t>
      </w:r>
      <w:r>
        <w:fldChar w:fldCharType="begin"/>
      </w:r>
      <w:r>
        <w:instrText xml:space="preserve"> REF _Ref17800758 \r \h </w:instrText>
      </w:r>
      <w:r>
        <w:fldChar w:fldCharType="separate"/>
      </w:r>
      <w:r w:rsidR="00CA5448">
        <w:t>4.5</w:t>
      </w:r>
      <w:r>
        <w:fldChar w:fldCharType="end"/>
      </w:r>
      <w:r>
        <w:t>)</w:t>
      </w:r>
    </w:p>
    <w:p w14:paraId="7A9257D2" w14:textId="77777777" w:rsidR="00431357" w:rsidRDefault="00431357" w:rsidP="00431357">
      <w:pPr>
        <w:pStyle w:val="Lista2"/>
      </w:pPr>
      <w:r>
        <w:t xml:space="preserve">@can’t we use </w:t>
      </w:r>
      <w:r>
        <w:rPr>
          <w:rStyle w:val="Foreign"/>
        </w:rPr>
        <w:t>m̃</w:t>
      </w:r>
      <w:r>
        <w:t xml:space="preserve"> for ALL special anusvāras? we’d get rid of the confusion with the Burmese abbreviation marker and have more consistency</w:t>
      </w:r>
    </w:p>
    <w:p w14:paraId="5B401224" w14:textId="77777777" w:rsidR="00431357" w:rsidRDefault="00431357" w:rsidP="00431357">
      <w:pPr>
        <w:pStyle w:val="Lista"/>
      </w:pPr>
      <w:r>
        <w:t>@optional representation of anusvāra atop the next akṣara as ṁ=?</w:t>
      </w:r>
    </w:p>
    <w:p w14:paraId="4404DCD9" w14:textId="77777777" w:rsidR="00431357" w:rsidRDefault="00431357" w:rsidP="00431357">
      <w:pPr>
        <w:pStyle w:val="Cmsor2"/>
        <w:numPr>
          <w:ilvl w:val="1"/>
          <w:numId w:val="3"/>
        </w:numPr>
      </w:pPr>
      <w:bookmarkStart w:id="219" w:name="_Toc200963304"/>
      <w:r>
        <w:rPr>
          <w:rStyle w:val="Foreign"/>
        </w:rPr>
        <w:t>Visarga</w:t>
      </w:r>
      <w:r>
        <w:t xml:space="preserve"> and its relatives</w:t>
      </w:r>
      <w:bookmarkEnd w:id="219"/>
    </w:p>
    <w:p w14:paraId="09994EA5" w14:textId="77777777" w:rsidR="00431357" w:rsidRDefault="00431357" w:rsidP="00431357">
      <w:pPr>
        <w:pStyle w:val="Lista"/>
      </w:pPr>
      <w:r>
        <w:rPr>
          <w:rStyle w:val="Foreign"/>
          <w:rFonts w:eastAsia="Gentium"/>
          <w:b/>
          <w:bCs/>
        </w:rPr>
        <w:t>upadhmānīya</w:t>
      </w:r>
      <w:r>
        <w:t xml:space="preserve"> (if distinguished in the script from </w:t>
      </w:r>
      <w:r>
        <w:rPr>
          <w:rStyle w:val="Foreign"/>
        </w:rPr>
        <w:t>visarga</w:t>
      </w:r>
      <w:r>
        <w:t>)</w:t>
      </w:r>
    </w:p>
    <w:p w14:paraId="596AD34D" w14:textId="77777777" w:rsidR="00431357" w:rsidRDefault="00431357" w:rsidP="00431357">
      <w:pPr>
        <w:pStyle w:val="Lista2"/>
      </w:pPr>
      <w:r>
        <w:rPr>
          <w:rStyle w:val="Foreign"/>
        </w:rPr>
        <w:t>ḫ</w:t>
      </w:r>
      <w:r>
        <w:t xml:space="preserve"> (</w:t>
      </w:r>
      <w:r>
        <w:rPr>
          <w:rStyle w:val="Code"/>
        </w:rPr>
        <w:t>U+1E2B</w:t>
      </w:r>
      <w:r>
        <w:t xml:space="preserve"> Latin Small Letter H with Breve Below)</w:t>
      </w:r>
    </w:p>
    <w:p w14:paraId="72391620" w14:textId="77777777" w:rsidR="00431357" w:rsidRDefault="00431357" w:rsidP="00431357">
      <w:pPr>
        <w:pStyle w:val="Lista"/>
        <w:rPr>
          <w:rFonts w:eastAsia="Arial"/>
        </w:rPr>
      </w:pPr>
      <w:r>
        <w:rPr>
          <w:rStyle w:val="Foreign"/>
          <w:rFonts w:eastAsia="Gentium"/>
          <w:b/>
          <w:bCs/>
        </w:rPr>
        <w:t>jihvāmūlīya</w:t>
      </w:r>
      <w:r>
        <w:t xml:space="preserve"> (if distinguished in the script from </w:t>
      </w:r>
      <w:r>
        <w:rPr>
          <w:rStyle w:val="Foreign"/>
        </w:rPr>
        <w:t>visarga</w:t>
      </w:r>
      <w:r>
        <w:t>)</w:t>
      </w:r>
    </w:p>
    <w:p w14:paraId="1312ABB6" w14:textId="77777777" w:rsidR="00431357" w:rsidRDefault="00431357" w:rsidP="00431357">
      <w:pPr>
        <w:pStyle w:val="Lista2"/>
      </w:pPr>
      <w:r>
        <w:rPr>
          <w:rStyle w:val="Foreign"/>
        </w:rPr>
        <w:t>ẖ</w:t>
      </w:r>
      <w:r>
        <w:t xml:space="preserve"> (</w:t>
      </w:r>
      <w:r>
        <w:rPr>
          <w:rStyle w:val="Code"/>
        </w:rPr>
        <w:t>U+1E96</w:t>
      </w:r>
      <w:r>
        <w:t xml:space="preserve"> Latin Small Letter H with Line Below)</w:t>
      </w:r>
    </w:p>
    <w:p w14:paraId="4E520FC0" w14:textId="77777777" w:rsidR="00431357" w:rsidRDefault="00431357" w:rsidP="00431357">
      <w:pPr>
        <w:pStyle w:val="Lista"/>
      </w:pPr>
      <w:bookmarkStart w:id="220" w:name="_w9lp3wb1umde" w:colFirst="0" w:colLast="0"/>
      <w:bookmarkStart w:id="221" w:name="_h0qofzr3l3f2" w:colFirst="0" w:colLast="0"/>
      <w:bookmarkEnd w:id="220"/>
      <w:bookmarkEnd w:id="221"/>
      <w:r>
        <w:rPr>
          <w:noProof/>
        </w:rPr>
        <w:lastRenderedPageBreak/>
        <w:drawing>
          <wp:anchor distT="0" distB="0" distL="114300" distR="114300" simplePos="0" relativeHeight="251674624" behindDoc="1" locked="0" layoutInCell="1" allowOverlap="1" wp14:anchorId="1F1D225A" wp14:editId="3BBBA3DF">
            <wp:simplePos x="0" y="0"/>
            <wp:positionH relativeFrom="column">
              <wp:posOffset>5114290</wp:posOffset>
            </wp:positionH>
            <wp:positionV relativeFrom="paragraph">
              <wp:posOffset>58420</wp:posOffset>
            </wp:positionV>
            <wp:extent cx="1052830" cy="563880"/>
            <wp:effectExtent l="0" t="0" r="0" b="7620"/>
            <wp:wrapTight wrapText="bothSides">
              <wp:wrapPolygon edited="0">
                <wp:start x="0" y="0"/>
                <wp:lineTo x="0" y="21162"/>
                <wp:lineTo x="21105" y="21162"/>
                <wp:lineTo x="21105" y="0"/>
                <wp:lineTo x="0" y="0"/>
              </wp:wrapPolygon>
            </wp:wrapTight>
            <wp:docPr id="498209619" name="Kép 49820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2830" cy="563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where a </w:t>
      </w:r>
      <w:r>
        <w:rPr>
          <w:rStyle w:val="Foreign"/>
        </w:rPr>
        <w:t>jihvāmūlīya</w:t>
      </w:r>
      <w:r>
        <w:t xml:space="preserve"> or </w:t>
      </w:r>
      <w:r>
        <w:rPr>
          <w:rStyle w:val="Foreign"/>
        </w:rPr>
        <w:t>upādhmānīya</w:t>
      </w:r>
      <w:r>
        <w:t xml:space="preserve"> sign is employed like a </w:t>
      </w:r>
      <w:r>
        <w:rPr>
          <w:rStyle w:val="Foreign"/>
        </w:rPr>
        <w:t>visarga</w:t>
      </w:r>
      <w:r>
        <w:t>, i.e. written inline rather than as the first component of a conjunct</w:t>
      </w:r>
    </w:p>
    <w:p w14:paraId="3D332027" w14:textId="77777777" w:rsidR="00431357" w:rsidRDefault="00431357" w:rsidP="00431357">
      <w:pPr>
        <w:pStyle w:val="Lista2"/>
      </w:pPr>
      <w:r>
        <w:t xml:space="preserve">transliterate as </w:t>
      </w:r>
      <w:r>
        <w:rPr>
          <w:rStyle w:val="Foreign"/>
        </w:rPr>
        <w:t>=ẖ</w:t>
      </w:r>
      <w:r>
        <w:t xml:space="preserve"> and </w:t>
      </w:r>
      <w:r>
        <w:rPr>
          <w:rStyle w:val="Foreign"/>
        </w:rPr>
        <w:t>=ḫ</w:t>
      </w:r>
      <w:r>
        <w:t xml:space="preserve"> to indicate that this sign, like a </w:t>
      </w:r>
      <w:r>
        <w:rPr>
          <w:rStyle w:val="Foreign"/>
        </w:rPr>
        <w:t>visarga</w:t>
      </w:r>
      <w:r>
        <w:t xml:space="preserve">, is associated with the preceding </w:t>
      </w:r>
      <w:r>
        <w:rPr>
          <w:rStyle w:val="Foreign"/>
        </w:rPr>
        <w:t>akṣara</w:t>
      </w:r>
      <w:r>
        <w:t xml:space="preserve"> rather than the following one, as it would be by default</w:t>
      </w:r>
    </w:p>
    <w:p w14:paraId="6D65451E" w14:textId="77777777" w:rsidR="00431357" w:rsidRDefault="00431357" w:rsidP="00431357">
      <w:pPr>
        <w:pStyle w:val="Lista2"/>
      </w:pPr>
      <w:r>
        <w:t xml:space="preserve">thus, in the Eastern Cālukya example on the right, transliterate </w:t>
      </w:r>
      <w:r>
        <w:rPr>
          <w:rStyle w:val="Foreign"/>
        </w:rPr>
        <w:t>yo=ẖ ka</w:t>
      </w:r>
      <w:r>
        <w:t xml:space="preserve"> (for the figure-8 used as a </w:t>
      </w:r>
      <w:r>
        <w:rPr>
          <w:rStyle w:val="Foreign"/>
        </w:rPr>
        <w:t>jihvāmūlīya</w:t>
      </w:r>
      <w:r>
        <w:t xml:space="preserve">, compare the hourglass-shaped glyph in some later scripts, e.g. Kannada </w:t>
      </w:r>
      <w:r>
        <w:rPr>
          <w:rStyle w:val="ForeignKannadaScript"/>
          <w:rFonts w:hint="cs"/>
          <w:cs/>
        </w:rPr>
        <w:t>ೱ</w:t>
      </w:r>
      <w:r>
        <w:t>)</w:t>
      </w:r>
    </w:p>
    <w:p w14:paraId="61197EA4" w14:textId="77777777" w:rsidR="00431357" w:rsidRDefault="00431357" w:rsidP="00431357">
      <w:pPr>
        <w:pStyle w:val="Lista2"/>
        <w:rPr>
          <w:rStyle w:val="Foreign"/>
          <w:i w:val="0"/>
        </w:rPr>
      </w:pPr>
      <w:r>
        <w:t xml:space="preserve">@ or use </w:t>
      </w:r>
      <w:r>
        <w:rPr>
          <w:rStyle w:val="Foreign"/>
        </w:rPr>
        <w:t>H̱</w:t>
      </w:r>
      <w:r>
        <w:t xml:space="preserve"> [no precomposed form, needs combining macron below!] and </w:t>
      </w:r>
      <w:r>
        <w:rPr>
          <w:rStyle w:val="Foreign"/>
        </w:rPr>
        <w:t>Ḫ</w:t>
      </w:r>
      <w:r>
        <w:t xml:space="preserve"> rather than </w:t>
      </w:r>
      <w:r>
        <w:rPr>
          <w:rStyle w:val="Foreign"/>
        </w:rPr>
        <w:t>=ẖ</w:t>
      </w:r>
      <w:r>
        <w:t xml:space="preserve"> and </w:t>
      </w:r>
      <w:r>
        <w:rPr>
          <w:rStyle w:val="Foreign"/>
        </w:rPr>
        <w:t>=ḫ?</w:t>
      </w:r>
    </w:p>
    <w:p w14:paraId="2A1C4567" w14:textId="77777777" w:rsidR="00431357" w:rsidRDefault="00431357" w:rsidP="00431357">
      <w:pPr>
        <w:pStyle w:val="Cmsor2"/>
        <w:numPr>
          <w:ilvl w:val="1"/>
          <w:numId w:val="3"/>
        </w:numPr>
      </w:pPr>
      <w:bookmarkStart w:id="222" w:name="_Toc200963305"/>
      <w:bookmarkStart w:id="223" w:name="_Ref17800758"/>
      <w:bookmarkStart w:id="224" w:name="_Toc17811432"/>
      <w:bookmarkStart w:id="225" w:name="_Toc17811487"/>
      <w:bookmarkStart w:id="226" w:name="_Toc199757563"/>
      <w:r>
        <w:t>Systemic variation in writing vowelless consonants</w:t>
      </w:r>
      <w:bookmarkEnd w:id="222"/>
    </w:p>
    <w:p w14:paraId="199F4282" w14:textId="77777777" w:rsidR="00431357" w:rsidRDefault="00431357" w:rsidP="00431357">
      <w:pPr>
        <w:pStyle w:val="Cmsor3"/>
        <w:numPr>
          <w:ilvl w:val="2"/>
          <w:numId w:val="3"/>
        </w:numPr>
      </w:pPr>
      <w:bookmarkStart w:id="227" w:name="_Ref199857275"/>
      <w:bookmarkStart w:id="228" w:name="_Toc200963306"/>
      <w:r>
        <w:t xml:space="preserve">Final consonants </w:t>
      </w:r>
      <w:bookmarkEnd w:id="223"/>
      <w:bookmarkEnd w:id="224"/>
      <w:bookmarkEnd w:id="225"/>
      <w:bookmarkEnd w:id="226"/>
      <w:r>
        <w:t xml:space="preserve">with </w:t>
      </w:r>
      <w:r>
        <w:rPr>
          <w:rStyle w:val="Foreign"/>
        </w:rPr>
        <w:t>virāma</w:t>
      </w:r>
      <w:bookmarkEnd w:id="227"/>
      <w:bookmarkEnd w:id="228"/>
    </w:p>
    <w:p w14:paraId="0DC730A6" w14:textId="77777777" w:rsidR="00431357" w:rsidRDefault="00431357" w:rsidP="00431357">
      <w:pPr>
        <w:pStyle w:val="Lista"/>
      </w:pPr>
      <w:r>
        <w:t>complex characters involving a regular simplex form and an explicit zero vowel marker (</w:t>
      </w:r>
      <w:r>
        <w:rPr>
          <w:rStyle w:val="Foreign"/>
        </w:rPr>
        <w:t>virāma</w:t>
      </w:r>
      <w:r>
        <w:t xml:space="preserve">, </w:t>
      </w:r>
      <w:r>
        <w:rPr>
          <w:rStyle w:val="Foreign"/>
        </w:rPr>
        <w:t>puḷḷi, patén/pangkon</w:t>
      </w:r>
      <w:r>
        <w:t>, etc.; also referred to as “vowel killer”) shall be mandatorily transliterated as follows</w:t>
      </w:r>
    </w:p>
    <w:p w14:paraId="2DA2055B" w14:textId="77777777" w:rsidR="00431357" w:rsidRDefault="00431357" w:rsidP="00431357">
      <w:pPr>
        <w:pStyle w:val="Lista2"/>
      </w:pPr>
      <w:r>
        <w:t>type the character · (</w:t>
      </w:r>
      <w:r>
        <w:rPr>
          <w:rStyle w:val="Code"/>
        </w:rPr>
        <w:t>U+00B7</w:t>
      </w:r>
      <w:r>
        <w:t xml:space="preserve"> Middle Dot) after the Latin consonant, e.g. </w:t>
      </w:r>
      <w:r>
        <w:rPr>
          <w:rStyle w:val="Foreign"/>
        </w:rPr>
        <w:t>t·</w:t>
      </w:r>
    </w:p>
    <w:p w14:paraId="3BB43E9D" w14:textId="77777777" w:rsidR="00431357" w:rsidRDefault="00431357" w:rsidP="00431357">
      <w:pPr>
        <w:pStyle w:val="Lista3"/>
      </w:pPr>
      <w:r>
        <w:t>if you have difficulty typing this sign, optionally use an asterisk * as shorthand;</w:t>
      </w:r>
      <w:r>
        <w:rPr>
          <w:rStyle w:val="Lbjegyzet-hivatkozs"/>
        </w:rPr>
        <w:footnoteReference w:id="80"/>
      </w:r>
      <w:r>
        <w:t xml:space="preserve"> this will be replaced later on with the middle dot</w:t>
      </w:r>
    </w:p>
    <w:p w14:paraId="0CD2DC9D" w14:textId="77777777" w:rsidR="00431357" w:rsidRDefault="00431357" w:rsidP="00431357">
      <w:pPr>
        <w:pStyle w:val="Lista"/>
      </w:pPr>
      <w:r>
        <w:t xml:space="preserve">use the same method to represent a </w:t>
      </w:r>
      <w:r>
        <w:rPr>
          <w:b/>
          <w:bCs/>
        </w:rPr>
        <w:t xml:space="preserve">Tamil </w:t>
      </w:r>
      <w:r>
        <w:rPr>
          <w:rStyle w:val="Foreign"/>
          <w:b/>
          <w:bCs/>
        </w:rPr>
        <w:t>puḷḷi</w:t>
      </w:r>
      <w:r>
        <w:t xml:space="preserve"> that is explicitly present in your original (e.g. </w:t>
      </w:r>
      <w:r>
        <w:rPr>
          <w:rStyle w:val="Foreign"/>
        </w:rPr>
        <w:t>t·ta</w:t>
      </w:r>
      <w:r>
        <w:t xml:space="preserve"> to transliterate</w:t>
      </w:r>
      <w:r>
        <w:rPr>
          <w:rFonts w:hint="cs"/>
          <w:cs/>
          <w:lang w:bidi="ta-IN"/>
        </w:rPr>
        <w:t xml:space="preserve"> </w:t>
      </w:r>
      <w:r>
        <w:rPr>
          <w:rStyle w:val="ForeignTamilScript"/>
          <w:rFonts w:hint="cs"/>
          <w:cs/>
        </w:rPr>
        <w:t>த்த</w:t>
      </w:r>
      <w:r>
        <w:t>)</w:t>
      </w:r>
    </w:p>
    <w:p w14:paraId="106622C5" w14:textId="77777777" w:rsidR="00431357" w:rsidRDefault="00431357" w:rsidP="00431357">
      <w:pPr>
        <w:pStyle w:val="Lista2"/>
      </w:pPr>
      <w:r>
        <w:t xml:space="preserve">where </w:t>
      </w:r>
      <w:r>
        <w:rPr>
          <w:rStyle w:val="Foreign"/>
        </w:rPr>
        <w:t>puḷḷi</w:t>
      </w:r>
      <w:r>
        <w:t xml:space="preserve"> is not present in an inscription but is to be understood implicitly, simply type the transliterated consonant cluster without any additional characters (e.g. </w:t>
      </w:r>
      <w:r>
        <w:rPr>
          <w:rStyle w:val="Foreign"/>
        </w:rPr>
        <w:t>tta</w:t>
      </w:r>
      <w:r>
        <w:t xml:space="preserve"> to transliterate </w:t>
      </w:r>
      <w:r>
        <w:rPr>
          <w:rStyle w:val="ForeignTamilScript"/>
          <w:rFonts w:hint="cs"/>
          <w:cs/>
        </w:rPr>
        <w:t>தத</w:t>
      </w:r>
      <w:r>
        <w:rPr>
          <w:cs/>
          <w:lang w:bidi="ta-IN"/>
        </w:rPr>
        <w:t xml:space="preserve"> </w:t>
      </w:r>
      <w:r>
        <w:t>understood as</w:t>
      </w:r>
      <w:r>
        <w:rPr>
          <w:rFonts w:hint="cs"/>
          <w:cs/>
          <w:lang w:bidi="ta-IN"/>
        </w:rPr>
        <w:t xml:space="preserve"> </w:t>
      </w:r>
      <w:r>
        <w:rPr>
          <w:rStyle w:val="ForeignTamilScript"/>
          <w:rFonts w:hint="cs"/>
          <w:cs/>
        </w:rPr>
        <w:t>த்த</w:t>
      </w:r>
      <w:r>
        <w:t>)</w:t>
      </w:r>
    </w:p>
    <w:p w14:paraId="395087BB" w14:textId="77777777" w:rsidR="00431357" w:rsidRDefault="00431357" w:rsidP="00431357">
      <w:pPr>
        <w:pStyle w:val="Lista3"/>
        <w:rPr>
          <w:rStyle w:val="Foreign"/>
          <w:i w:val="0"/>
        </w:rPr>
      </w:pPr>
      <w:r>
        <w:t xml:space="preserve">we may at a later point decide to automatically convert such transliterations into markup signifying that a </w:t>
      </w:r>
      <w:r>
        <w:rPr>
          <w:rStyle w:val="Foreign"/>
        </w:rPr>
        <w:t>puḷḷi</w:t>
      </w:r>
      <w:r>
        <w:t xml:space="preserve"> has been supplied by the editor, but for the time being our default assumption is that any consonant cluster in transliterated Tamil involves an implicit </w:t>
      </w:r>
      <w:r>
        <w:rPr>
          <w:rStyle w:val="Foreign"/>
        </w:rPr>
        <w:t>puḷḷi</w:t>
      </w:r>
    </w:p>
    <w:p w14:paraId="6173D232" w14:textId="77777777" w:rsidR="00431357" w:rsidRDefault="00431357" w:rsidP="00431357">
      <w:pPr>
        <w:pStyle w:val="Lista3"/>
      </w:pPr>
      <w:r>
        <w:rPr>
          <w:rStyle w:val="Foreign"/>
        </w:rPr>
        <w:t>elaborate: the contextually determined “zero-vowel” quality of some akṣaras in particular writing systems, such as the  “implicit puḷḷi” of some Tamil orthographic practices and the silent inherent a of several modern Indic languages such as Hindi are actually transcribed, rather than transliterated, if the inherent vowel of the original writing system is not present in the Romanisation</w:t>
      </w:r>
    </w:p>
    <w:p w14:paraId="3353AA06" w14:textId="7C841DD8" w:rsidR="00431357" w:rsidRDefault="00431357" w:rsidP="00431357">
      <w:pPr>
        <w:pStyle w:val="Lista2"/>
      </w:pPr>
      <w:r>
        <w:t xml:space="preserve">note that where an actual ligature occurs in Tamil script, this must be treated as unusual </w:t>
      </w:r>
      <w:r>
        <w:rPr>
          <w:rStyle w:val="Foreign"/>
        </w:rPr>
        <w:t>akṣara</w:t>
      </w:r>
      <w:r>
        <w:t xml:space="preserve"> composition, for which see §</w:t>
      </w:r>
      <w:r>
        <w:fldChar w:fldCharType="begin"/>
      </w:r>
      <w:r>
        <w:instrText xml:space="preserve"> REF _Ref22719423 \r \h </w:instrText>
      </w:r>
      <w:r>
        <w:fldChar w:fldCharType="separate"/>
      </w:r>
      <w:r w:rsidR="00CA5448">
        <w:rPr>
          <w:b/>
          <w:bCs/>
          <w:lang w:val="hu-HU"/>
        </w:rPr>
        <w:t>Hiba! A hivatkozási forrás nem található.</w:t>
      </w:r>
      <w:r>
        <w:fldChar w:fldCharType="end"/>
      </w:r>
    </w:p>
    <w:p w14:paraId="2BAE6433" w14:textId="77777777" w:rsidR="00431357" w:rsidRDefault="00431357" w:rsidP="00431357">
      <w:pPr>
        <w:pStyle w:val="Lista"/>
      </w:pPr>
      <w:r>
        <w:t>representing zero vowel markers by a separate character in the transliteration has the added advantage of allowing the application markup to this sign, e.g. to tag it as unclear, restored or supplied</w:t>
      </w:r>
    </w:p>
    <w:p w14:paraId="5C46BEF5" w14:textId="77777777" w:rsidR="00431357" w:rsidRDefault="00431357" w:rsidP="00431357">
      <w:pPr>
        <w:pStyle w:val="Cmsor3"/>
        <w:numPr>
          <w:ilvl w:val="2"/>
          <w:numId w:val="3"/>
        </w:numPr>
      </w:pPr>
      <w:bookmarkStart w:id="229" w:name="_Toc200963307"/>
      <w:bookmarkStart w:id="230" w:name="_Toc199757560"/>
      <w:bookmarkStart w:id="231" w:name="_Ref17810731"/>
      <w:bookmarkStart w:id="232" w:name="_Toc17811434"/>
      <w:bookmarkStart w:id="233" w:name="_Toc17811489"/>
      <w:bookmarkStart w:id="234" w:name="_Ref22203423"/>
      <w:bookmarkStart w:id="235" w:name="_Ref22208509"/>
      <w:bookmarkStart w:id="236" w:name="_Toc199757565"/>
      <w:r>
        <w:t>Final consonants as simplex characters</w:t>
      </w:r>
      <w:bookmarkEnd w:id="229"/>
    </w:p>
    <w:p w14:paraId="2118B351" w14:textId="77777777" w:rsidR="00431357" w:rsidRDefault="00431357" w:rsidP="00431357">
      <w:pPr>
        <w:pStyle w:val="Lista"/>
      </w:pPr>
      <w:r>
        <w:t xml:space="preserve">special character forms representing consonants without a vowel (called </w:t>
      </w:r>
      <w:r>
        <w:rPr>
          <w:rStyle w:val="Foreign"/>
        </w:rPr>
        <w:t>halanta</w:t>
      </w:r>
      <w:r>
        <w:t xml:space="preserve"> consonants in Sanskrit) are typically a miniature and/or subscript rendering of a simplex consonant </w:t>
      </w:r>
      <w:r>
        <w:rPr>
          <w:rStyle w:val="Foreign"/>
        </w:rPr>
        <w:t>akṣara</w:t>
      </w:r>
    </w:p>
    <w:p w14:paraId="4BA3FCFF" w14:textId="77777777" w:rsidR="00431357" w:rsidRDefault="00431357" w:rsidP="00431357">
      <w:pPr>
        <w:pStyle w:val="Lista"/>
      </w:pPr>
      <w:r>
        <w:t xml:space="preserve">such special final forms shall be mandatorily transliterated as a corresponding uppercase Latin consonant, e.g. </w:t>
      </w:r>
      <w:r>
        <w:rPr>
          <w:rStyle w:val="Foreign"/>
        </w:rPr>
        <w:t>T</w:t>
      </w:r>
    </w:p>
    <w:p w14:paraId="6D2DA2EB" w14:textId="745480DB" w:rsidR="00431357" w:rsidRDefault="00431357" w:rsidP="00431357">
      <w:pPr>
        <w:pStyle w:val="Lista"/>
      </w:pPr>
      <w:r>
        <w:t>the criterion by which to distinguish special final forms from complex characters involving a zero vowel marker (§</w:t>
      </w:r>
      <w:r>
        <w:fldChar w:fldCharType="begin"/>
      </w:r>
      <w:r>
        <w:instrText xml:space="preserve"> REF _Ref17800758 \r \h </w:instrText>
      </w:r>
      <w:r>
        <w:fldChar w:fldCharType="separate"/>
      </w:r>
      <w:r w:rsidR="00CA5448">
        <w:t>4.5</w:t>
      </w:r>
      <w:r>
        <w:fldChar w:fldCharType="end"/>
      </w:r>
      <w:r>
        <w:t xml:space="preserve">) is the use of a glyph distinct (in size, shape and/or position relative to the baseline) from the regular simplex character employed for that consonant with an inherent </w:t>
      </w:r>
      <w:r>
        <w:rPr>
          <w:rStyle w:val="Foreign"/>
        </w:rPr>
        <w:t>a</w:t>
      </w:r>
    </w:p>
    <w:p w14:paraId="0ACFFAE0" w14:textId="77777777" w:rsidR="00431357" w:rsidRDefault="00431357" w:rsidP="00431357">
      <w:pPr>
        <w:pStyle w:val="Lista2"/>
      </w:pPr>
      <w:r>
        <w:t>if this criterion is met, then the character in question should be transliterated with an uppercase consonant even if the special form includes a stroke that may be perceived as a zero vowel marker, including in particular the horizontal dash above a miniature consonant sign in Indian inscriptions, which may be viewed as a proto-</w:t>
      </w:r>
      <w:r>
        <w:rPr>
          <w:rStyle w:val="Foreign"/>
        </w:rPr>
        <w:t>virāma</w:t>
      </w:r>
      <w:r>
        <w:t>, but which we treat as an integral part of the special consonant form, not as an explicit zero vowel marker</w:t>
      </w:r>
    </w:p>
    <w:p w14:paraId="67D80D42" w14:textId="77777777" w:rsidR="00431357" w:rsidRDefault="00431357" w:rsidP="00431357">
      <w:pPr>
        <w:pStyle w:val="Cmsor3"/>
        <w:numPr>
          <w:ilvl w:val="2"/>
          <w:numId w:val="3"/>
        </w:numPr>
      </w:pPr>
      <w:bookmarkStart w:id="237" w:name="_Toc200963308"/>
      <w:r>
        <w:lastRenderedPageBreak/>
        <w:t>Conjunct consonants in writing systems where they are not the norm</w:t>
      </w:r>
      <w:bookmarkEnd w:id="237"/>
    </w:p>
    <w:p w14:paraId="66818B6B" w14:textId="77777777" w:rsidR="00431357" w:rsidRDefault="00431357" w:rsidP="00431357">
      <w:pPr>
        <w:pStyle w:val="Lista"/>
      </w:pPr>
      <w:r>
        <w:rPr>
          <w:b/>
          <w:bCs/>
          <w:noProof/>
        </w:rPr>
        <w:drawing>
          <wp:anchor distT="0" distB="0" distL="114300" distR="114300" simplePos="0" relativeHeight="251679744" behindDoc="0" locked="0" layoutInCell="1" allowOverlap="1" wp14:anchorId="288A7F4D" wp14:editId="644265EB">
            <wp:simplePos x="0" y="0"/>
            <wp:positionH relativeFrom="margin">
              <wp:posOffset>5457140</wp:posOffset>
            </wp:positionH>
            <wp:positionV relativeFrom="paragraph">
              <wp:posOffset>35636</wp:posOffset>
            </wp:positionV>
            <wp:extent cx="594000" cy="648000"/>
            <wp:effectExtent l="0" t="0" r="0" b="0"/>
            <wp:wrapSquare wrapText="bothSides"/>
            <wp:docPr id="847496961" name="Kép 847496961" descr="C:\GoogleDrive\DHARMA project\Encoding Guide\Encoding Guide Images\Tamil ligatures from Manu\nnakka_SII_6_p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oogleDrive\DHARMA project\Encoding Guide\Encoding Guide Images\Tamil ligatures from Manu\nnakka_SII_6_p_16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where a Tamil text written in Tamil script employs a ligature</w:t>
      </w:r>
      <w:r>
        <w:t xml:space="preserve"> such as </w:t>
      </w:r>
      <w:r>
        <w:rPr>
          <w:rStyle w:val="Foreign"/>
        </w:rPr>
        <w:t>nna</w:t>
      </w:r>
      <w:r>
        <w:t xml:space="preserve"> and </w:t>
      </w:r>
      <w:r>
        <w:rPr>
          <w:rStyle w:val="Foreign"/>
        </w:rPr>
        <w:t>kka</w:t>
      </w:r>
      <w:r>
        <w:t xml:space="preserve"> in the image</w:t>
      </w:r>
    </w:p>
    <w:p w14:paraId="12CE7E09" w14:textId="7DD9182C" w:rsidR="00431357" w:rsidRDefault="00431357" w:rsidP="00431357">
      <w:pPr>
        <w:pStyle w:val="Lista2"/>
      </w:pPr>
      <w:r>
        <w:t xml:space="preserve">use an = sign between the transliterated consonants to distinguish the ligature from the script’s default method of writing conjunct consonants as two glyphs with an explicit or implicit zero vowel marker (for which see also </w:t>
      </w:r>
      <w:r>
        <w:fldChar w:fldCharType="begin"/>
      </w:r>
      <w:r>
        <w:instrText xml:space="preserve"> REF _Ref17800758 \r \h </w:instrText>
      </w:r>
      <w:r>
        <w:fldChar w:fldCharType="separate"/>
      </w:r>
      <w:r w:rsidR="00CA5448">
        <w:t>4.5</w:t>
      </w:r>
      <w:r>
        <w:fldChar w:fldCharType="end"/>
      </w:r>
      <w:r>
        <w:t>), e.g.</w:t>
      </w:r>
    </w:p>
    <w:p w14:paraId="16C5E3E8" w14:textId="77777777" w:rsidR="00431357" w:rsidRDefault="00431357" w:rsidP="00431357">
      <w:pPr>
        <w:pStyle w:val="Lista3"/>
      </w:pPr>
      <w:r>
        <w:rPr>
          <w:rStyle w:val="Foreign"/>
        </w:rPr>
        <w:t>n=na</w:t>
      </w:r>
      <w:r>
        <w:t xml:space="preserve"> as distinct from </w:t>
      </w:r>
      <w:r>
        <w:rPr>
          <w:rStyle w:val="Foreign"/>
        </w:rPr>
        <w:t>n·na</w:t>
      </w:r>
      <w:r>
        <w:t xml:space="preserve"> and </w:t>
      </w:r>
      <w:r>
        <w:rPr>
          <w:rStyle w:val="Foreign"/>
        </w:rPr>
        <w:t>nna</w:t>
      </w:r>
    </w:p>
    <w:p w14:paraId="40C4FD71" w14:textId="77777777" w:rsidR="00431357" w:rsidRDefault="00431357" w:rsidP="00431357">
      <w:pPr>
        <w:pStyle w:val="Lista3"/>
      </w:pPr>
      <w:r>
        <w:rPr>
          <w:i/>
          <w:iCs/>
        </w:rPr>
        <w:t>k=ka</w:t>
      </w:r>
      <w:r>
        <w:t xml:space="preserve"> as distinct from </w:t>
      </w:r>
      <w:r>
        <w:rPr>
          <w:rStyle w:val="Foreign"/>
        </w:rPr>
        <w:t>k·ka</w:t>
      </w:r>
      <w:r>
        <w:t xml:space="preserve"> and </w:t>
      </w:r>
      <w:r>
        <w:rPr>
          <w:rStyle w:val="Foreign"/>
        </w:rPr>
        <w:t>kka</w:t>
      </w:r>
      <w:r>
        <w:t xml:space="preserve"> </w:t>
      </w:r>
    </w:p>
    <w:p w14:paraId="603BC0CD" w14:textId="77777777" w:rsidR="00431357" w:rsidRDefault="00431357" w:rsidP="00431357">
      <w:pPr>
        <w:pStyle w:val="Lista2"/>
      </w:pPr>
      <w:r>
        <w:t xml:space="preserve">it is </w:t>
      </w:r>
      <w:r>
        <w:rPr>
          <w:b/>
          <w:bCs/>
        </w:rPr>
        <w:t>strongly recommended</w:t>
      </w:r>
      <w:r>
        <w:t xml:space="preserve"> that whenever feasible, you should make Tamil ligatures explicit in this way</w:t>
      </w:r>
    </w:p>
    <w:p w14:paraId="6F604FC3" w14:textId="77777777" w:rsidR="00431357" w:rsidRDefault="00431357" w:rsidP="00431357">
      <w:pPr>
        <w:pStyle w:val="Lista2"/>
      </w:pPr>
      <w:r>
        <w:t>however, never add an = sign where ligatures are a writing system’s default method of representing conjunct consonants (including Tamil written in Grantha)</w:t>
      </w:r>
    </w:p>
    <w:p w14:paraId="5CE0DD21" w14:textId="77777777" w:rsidR="00431357" w:rsidRDefault="00431357" w:rsidP="00431357">
      <w:pPr>
        <w:pStyle w:val="Cmsor2"/>
        <w:numPr>
          <w:ilvl w:val="1"/>
          <w:numId w:val="3"/>
        </w:numPr>
      </w:pPr>
      <w:bookmarkStart w:id="238" w:name="_Toc200963309"/>
      <w:bookmarkEnd w:id="230"/>
      <w:bookmarkEnd w:id="231"/>
      <w:bookmarkEnd w:id="232"/>
      <w:bookmarkEnd w:id="233"/>
      <w:bookmarkEnd w:id="234"/>
      <w:bookmarkEnd w:id="235"/>
      <w:bookmarkEnd w:id="236"/>
      <w:r>
        <w:t>Systemic variation in writing independent vowels</w:t>
      </w:r>
      <w:bookmarkEnd w:id="238"/>
    </w:p>
    <w:p w14:paraId="39902D68" w14:textId="77777777" w:rsidR="00431357" w:rsidRDefault="00431357" w:rsidP="00431357">
      <w:pPr>
        <w:pStyle w:val="Cmsor3"/>
        <w:numPr>
          <w:ilvl w:val="2"/>
          <w:numId w:val="3"/>
        </w:numPr>
      </w:pPr>
      <w:bookmarkStart w:id="239" w:name="_Toc200963310"/>
      <w:r>
        <w:t>Independent vowels as simplex characters</w:t>
      </w:r>
      <w:bookmarkEnd w:id="239"/>
      <w:r>
        <w:t xml:space="preserve"> </w:t>
      </w:r>
    </w:p>
    <w:p w14:paraId="6B2AB044" w14:textId="77777777" w:rsidR="00431357" w:rsidRDefault="00431357" w:rsidP="00431357">
      <w:pPr>
        <w:pStyle w:val="Lista"/>
      </w:pPr>
      <w:r>
        <w:t xml:space="preserve">if the original script employs a distinct character for vowel-only </w:t>
      </w:r>
      <w:r>
        <w:rPr>
          <w:rStyle w:val="Foreign"/>
        </w:rPr>
        <w:t>akṣara</w:t>
      </w:r>
      <w:r>
        <w:t>s (initial vowels and vowels in hiatus), these shall be mandatorily transliterated as follows</w:t>
      </w:r>
    </w:p>
    <w:p w14:paraId="5FB91776" w14:textId="77777777" w:rsidR="00431357" w:rsidRDefault="00431357" w:rsidP="00431357">
      <w:pPr>
        <w:pStyle w:val="Lista2"/>
      </w:pPr>
      <w:r>
        <w:t>type a corresponding uppercase Latin consonant, e.g. A</w:t>
      </w:r>
    </w:p>
    <w:p w14:paraId="5AC60652" w14:textId="77777777" w:rsidR="00431357" w:rsidRDefault="00431357" w:rsidP="00431357">
      <w:pPr>
        <w:pStyle w:val="Lista3"/>
      </w:pPr>
      <w:r>
        <w:t xml:space="preserve">thus, </w:t>
      </w:r>
      <w:r>
        <w:rPr>
          <w:rFonts w:hint="cs"/>
          <w:cs/>
        </w:rPr>
        <w:t>इति</w:t>
      </w:r>
      <w:r>
        <w:t xml:space="preserve"> becomes </w:t>
      </w:r>
      <w:r>
        <w:rPr>
          <w:rStyle w:val="Foreign"/>
        </w:rPr>
        <w:t>Iti</w:t>
      </w:r>
      <w:r>
        <w:t xml:space="preserve">, whereas </w:t>
      </w:r>
      <w:r>
        <w:rPr>
          <w:rFonts w:hint="cs"/>
          <w:cs/>
        </w:rPr>
        <w:t>कृतमिति</w:t>
      </w:r>
      <w:r>
        <w:rPr>
          <w:cs/>
        </w:rPr>
        <w:t xml:space="preserve"> </w:t>
      </w:r>
      <w:r>
        <w:t xml:space="preserve">becomes </w:t>
      </w:r>
      <w:r>
        <w:rPr>
          <w:rStyle w:val="Foreign"/>
        </w:rPr>
        <w:t>kr̥tam iti</w:t>
      </w:r>
    </w:p>
    <w:p w14:paraId="79ED6CAD" w14:textId="77777777" w:rsidR="00431357" w:rsidRDefault="00431357" w:rsidP="00431357">
      <w:pPr>
        <w:pStyle w:val="Lista3"/>
      </w:pPr>
      <w:r>
        <w:t xml:space="preserve">for the independent forms of the diphthongs </w:t>
      </w:r>
      <w:r>
        <w:rPr>
          <w:rStyle w:val="Foreign"/>
        </w:rPr>
        <w:t>ai</w:t>
      </w:r>
      <w:r>
        <w:t xml:space="preserve"> and </w:t>
      </w:r>
      <w:r>
        <w:rPr>
          <w:rStyle w:val="Foreign"/>
        </w:rPr>
        <w:t>au</w:t>
      </w:r>
      <w:r>
        <w:t xml:space="preserve">, capitalise only the first character of the digraph in your transliteration, i.e. use </w:t>
      </w:r>
      <w:r>
        <w:rPr>
          <w:rStyle w:val="Foreign"/>
        </w:rPr>
        <w:t>Ai</w:t>
      </w:r>
      <w:r>
        <w:t xml:space="preserve"> and </w:t>
      </w:r>
      <w:r>
        <w:rPr>
          <w:rStyle w:val="Foreign"/>
        </w:rPr>
        <w:t>Au</w:t>
      </w:r>
      <w:r>
        <w:t xml:space="preserve"> (whereas </w:t>
      </w:r>
      <w:r>
        <w:rPr>
          <w:rStyle w:val="Foreign"/>
        </w:rPr>
        <w:t>AI</w:t>
      </w:r>
      <w:r>
        <w:t xml:space="preserve"> and </w:t>
      </w:r>
      <w:r>
        <w:rPr>
          <w:rStyle w:val="Foreign"/>
        </w:rPr>
        <w:t>AU</w:t>
      </w:r>
      <w:r>
        <w:t xml:space="preserve"> would transliterate </w:t>
      </w:r>
      <w:r>
        <w:rPr>
          <w:rFonts w:hint="cs"/>
          <w:cs/>
        </w:rPr>
        <w:t>अ</w:t>
      </w:r>
      <w:r>
        <w:rPr>
          <w:rFonts w:hint="cs"/>
          <w:cs/>
          <w:lang w:val="de-DE"/>
        </w:rPr>
        <w:t>इ</w:t>
      </w:r>
      <w:r>
        <w:rPr>
          <w:rFonts w:hint="cs"/>
          <w:cs/>
        </w:rPr>
        <w:t xml:space="preserve"> </w:t>
      </w:r>
      <w:r>
        <w:t xml:space="preserve">and </w:t>
      </w:r>
      <w:r>
        <w:rPr>
          <w:rFonts w:hint="cs"/>
          <w:cs/>
        </w:rPr>
        <w:t>अ</w:t>
      </w:r>
      <w:r>
        <w:rPr>
          <w:rFonts w:hint="cs"/>
          <w:cs/>
          <w:lang w:val="de-DE"/>
        </w:rPr>
        <w:t>उ</w:t>
      </w:r>
      <w:r>
        <w:t>, should these combinations occur)</w:t>
      </w:r>
    </w:p>
    <w:p w14:paraId="246F107A" w14:textId="77777777" w:rsidR="00431357" w:rsidRDefault="00431357" w:rsidP="00431357">
      <w:pPr>
        <w:pStyle w:val="Cmsor3"/>
        <w:numPr>
          <w:ilvl w:val="2"/>
          <w:numId w:val="3"/>
        </w:numPr>
      </w:pPr>
      <w:bookmarkStart w:id="240" w:name="_Toc200963311"/>
      <w:r>
        <w:t>Independent vowels as complex characters involving a “vowel support”</w:t>
      </w:r>
      <w:bookmarkEnd w:id="240"/>
    </w:p>
    <w:p w14:paraId="53D7D3E3" w14:textId="77777777" w:rsidR="00431357" w:rsidRDefault="00431357" w:rsidP="00431357">
      <w:pPr>
        <w:pStyle w:val="Lista"/>
      </w:pPr>
      <w:r>
        <w:t xml:space="preserve">in some of the writing traditions relevant to DHARMA, the independent vowels of the Indic syllabary, and particularly the independent vowel that we normally transliterate as </w:t>
      </w:r>
      <w:r>
        <w:rPr>
          <w:rStyle w:val="Foreign"/>
        </w:rPr>
        <w:t>A</w:t>
      </w:r>
      <w:r>
        <w:t>, have come to be used in manners that would not be expected in India and that are not foreseen by ISO-15919.</w:t>
      </w:r>
    </w:p>
    <w:p w14:paraId="19E894D1" w14:textId="77777777" w:rsidR="00431357" w:rsidRDefault="00431357" w:rsidP="00431357">
      <w:pPr>
        <w:pStyle w:val="Lista2"/>
      </w:pPr>
      <w:r>
        <w:t>the character used in such cases as a “vowel support” may represent a glottal stop, or be only a zero consonant sign, serving no other function than to permit the notation of a vowel</w:t>
      </w:r>
    </w:p>
    <w:p w14:paraId="0AA1D83E" w14:textId="77777777" w:rsidR="00431357" w:rsidRDefault="00431357" w:rsidP="00431357">
      <w:pPr>
        <w:pStyle w:val="Lista2"/>
      </w:pPr>
      <w:r>
        <w:t xml:space="preserve">in some writing systems, we see over time that a consonant character that is not needed to express any consonant phoneme gets redeployed as vowel support (e.g., the </w:t>
      </w:r>
      <w:r>
        <w:rPr>
          <w:rStyle w:val="Foreign"/>
        </w:rPr>
        <w:t>h</w:t>
      </w:r>
      <w:r>
        <w:t xml:space="preserve"> in Modern Javanese script where the Sanskrit loanword </w:t>
      </w:r>
      <w:r>
        <w:rPr>
          <w:rStyle w:val="Foreign"/>
        </w:rPr>
        <w:t>eka</w:t>
      </w:r>
      <w:r>
        <w:t xml:space="preserve"> is spelt </w:t>
      </w:r>
      <w:r>
        <w:rPr>
          <w:rStyle w:val="Foreign"/>
        </w:rPr>
        <w:t>heka</w:t>
      </w:r>
      <w:r>
        <w:t>)</w:t>
      </w:r>
    </w:p>
    <w:p w14:paraId="7DF16C7B" w14:textId="77777777" w:rsidR="00431357" w:rsidRDefault="00431357" w:rsidP="00431357">
      <w:pPr>
        <w:pStyle w:val="Lista2"/>
      </w:pPr>
      <w:r>
        <w:t>in others, inherited “independent vowel” characters gain the ability to behave as consonant characters, i.e., to bear vowel markers and to enter into ligatures </w:t>
      </w:r>
    </w:p>
    <w:p w14:paraId="31DBA019" w14:textId="77777777" w:rsidR="00431357" w:rsidRDefault="00431357" w:rsidP="00431357">
      <w:pPr>
        <w:pStyle w:val="Lista3"/>
      </w:pPr>
      <w:r>
        <w:t xml:space="preserve">this systemic change is complete in Khmer, where </w:t>
      </w:r>
      <w:r>
        <w:rPr>
          <w:rStyle w:val="ForeignKhmerScript"/>
          <w:rFonts w:hint="cs"/>
          <w:cs/>
        </w:rPr>
        <w:t>អ</w:t>
      </w:r>
      <w:r>
        <w:rPr>
          <w:cs/>
        </w:rPr>
        <w:t xml:space="preserve"> </w:t>
      </w:r>
      <w:r>
        <w:t xml:space="preserve">functions fully as a consonant </w:t>
      </w:r>
      <w:r>
        <w:rPr>
          <w:rStyle w:val="Foreign"/>
        </w:rPr>
        <w:t>akṣara</w:t>
      </w:r>
      <w:r>
        <w:t>, but has been carried through to varying degrees in the writing traditions of Java, Bali and Lombok</w:t>
      </w:r>
      <w:r>
        <w:rPr>
          <w:rStyle w:val="Lbjegyzet-hivatkozs"/>
        </w:rPr>
        <w:footnoteReference w:id="81"/>
      </w:r>
    </w:p>
    <w:p w14:paraId="5199AAD5" w14:textId="77777777" w:rsidR="00431357" w:rsidRDefault="00431357" w:rsidP="00431357">
      <w:pPr>
        <w:pStyle w:val="Lista"/>
      </w:pPr>
      <w:r>
        <w:t>the fact that “vowel support” characters can enter into combinations not foreseen by ISO-15919 may cause problems of ambiguity in transliteration in ISO-15919, or it may simply be impossible to transliterate them without adapting the system</w:t>
      </w:r>
    </w:p>
    <w:p w14:paraId="0F3B9FB9" w14:textId="77777777" w:rsidR="00431357" w:rsidRDefault="00431357" w:rsidP="00431357">
      <w:pPr>
        <w:pStyle w:val="Lista"/>
      </w:pPr>
      <w:r>
        <w:t xml:space="preserve">in the remainder of this section, we will be concerned only with “independent vowel” characters that are used as “vowel supports”, and whose functional equivalence to consonant characters will be made transparent in our system either by their position (immediately after a consonant character, without intervening inherent vowel </w:t>
      </w:r>
      <w:r>
        <w:rPr>
          <w:rStyle w:val="Foreign"/>
        </w:rPr>
        <w:t>a</w:t>
      </w:r>
      <w:r>
        <w:t xml:space="preserve">) or by our use of the dedicated character </w:t>
      </w:r>
      <w:r>
        <w:rPr>
          <w:rStyle w:val="Foreign"/>
        </w:rPr>
        <w:t>q</w:t>
      </w:r>
    </w:p>
    <w:p w14:paraId="7D6B36B9" w14:textId="77777777" w:rsidR="00431357" w:rsidRDefault="00431357" w:rsidP="00431357">
      <w:pPr>
        <w:pStyle w:val="Lista"/>
      </w:pPr>
      <w:r>
        <w:t>in short,</w:t>
      </w:r>
    </w:p>
    <w:p w14:paraId="151F5218" w14:textId="77777777" w:rsidR="00431357" w:rsidRDefault="00431357" w:rsidP="00431357">
      <w:pPr>
        <w:pStyle w:val="Lista2"/>
      </w:pPr>
      <w:r>
        <w:rPr>
          <w:b/>
          <w:bCs/>
        </w:rPr>
        <w:lastRenderedPageBreak/>
        <w:t xml:space="preserve">when the “independent vowel” character that we would otherwise transliterate as </w:t>
      </w:r>
      <w:r>
        <w:rPr>
          <w:rStyle w:val="Foreign"/>
          <w:b/>
          <w:bCs/>
        </w:rPr>
        <w:t>A</w:t>
      </w:r>
      <w:r>
        <w:rPr>
          <w:b/>
          <w:bCs/>
        </w:rPr>
        <w:t xml:space="preserve"> is employed in the original script as a “vowel support”</w:t>
      </w:r>
      <w:r>
        <w:t>, i.e.,</w:t>
      </w:r>
    </w:p>
    <w:p w14:paraId="6D9D11FF" w14:textId="77777777" w:rsidR="00431357" w:rsidRDefault="00431357" w:rsidP="00431357">
      <w:pPr>
        <w:pStyle w:val="Lista3"/>
      </w:pPr>
      <w:r>
        <w:t>(1) when it enters into a ligature with another consonant,</w:t>
      </w:r>
    </w:p>
    <w:p w14:paraId="3DC85514" w14:textId="77777777" w:rsidR="00431357" w:rsidRDefault="00431357" w:rsidP="00431357">
      <w:pPr>
        <w:pStyle w:val="Lista3"/>
      </w:pPr>
      <w:r>
        <w:t>(2) when a vowel marker is attached to it, or</w:t>
      </w:r>
    </w:p>
    <w:p w14:paraId="4974BA67" w14:textId="77777777" w:rsidR="00431357" w:rsidRDefault="00431357" w:rsidP="00431357">
      <w:pPr>
        <w:pStyle w:val="Lista3"/>
      </w:pPr>
      <w:r>
        <w:t>(3) when it enters into a ligature with another consonant and a vowel marker is attached to the ligature,</w:t>
      </w:r>
    </w:p>
    <w:p w14:paraId="1E1FEEF7" w14:textId="77777777" w:rsidR="00431357" w:rsidRDefault="00431357" w:rsidP="00431357">
      <w:pPr>
        <w:pStyle w:val="Lista3"/>
        <w:rPr>
          <w:b/>
          <w:bCs/>
        </w:rPr>
      </w:pPr>
      <w:r>
        <w:rPr>
          <w:b/>
          <w:bCs/>
        </w:rPr>
        <w:t xml:space="preserve">then mandatorily transliterate the “vowel support” with the letter </w:t>
      </w:r>
      <w:r>
        <w:rPr>
          <w:rStyle w:val="Foreign"/>
          <w:b/>
          <w:bCs/>
        </w:rPr>
        <w:t>q</w:t>
      </w:r>
      <w:r>
        <w:rPr>
          <w:b/>
          <w:bCs/>
        </w:rPr>
        <w:t xml:space="preserve"> followed by the applicable (lowercase) Latin vowel</w:t>
      </w:r>
    </w:p>
    <w:p w14:paraId="4A1F42A3" w14:textId="77777777" w:rsidR="00431357" w:rsidRDefault="00431357" w:rsidP="00431357">
      <w:pPr>
        <w:pStyle w:val="Lista3"/>
      </w:pPr>
      <w:r>
        <w:t xml:space="preserve">thus, the text in the image to the right is to be transliterated as </w:t>
      </w:r>
      <w:r>
        <w:rPr>
          <w:rStyle w:val="Foreign"/>
        </w:rPr>
        <w:t>qət r̥ṅyəkən tikiṁ</w:t>
      </w:r>
    </w:p>
    <w:p w14:paraId="2C4C36F1" w14:textId="4EE38F24" w:rsidR="00431357" w:rsidRDefault="00431357" w:rsidP="00431357">
      <w:pPr>
        <w:pStyle w:val="Lista2"/>
      </w:pPr>
      <w:r>
        <w:rPr>
          <w:noProof/>
        </w:rPr>
        <w:drawing>
          <wp:anchor distT="0" distB="0" distL="114300" distR="114300" simplePos="0" relativeHeight="251676672" behindDoc="0" locked="0" layoutInCell="1" allowOverlap="1" wp14:anchorId="624CC402" wp14:editId="36086030">
            <wp:simplePos x="0" y="0"/>
            <wp:positionH relativeFrom="column">
              <wp:posOffset>4217416</wp:posOffset>
            </wp:positionH>
            <wp:positionV relativeFrom="paragraph">
              <wp:posOffset>76835</wp:posOffset>
            </wp:positionV>
            <wp:extent cx="2032635" cy="694055"/>
            <wp:effectExtent l="0" t="0" r="5715" b="0"/>
            <wp:wrapSquare wrapText="bothSides"/>
            <wp:docPr id="28750061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635"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t>in all other situations, even if it is clear that they express a consonant phoneme, transliterate “independent vowel” characters in the manner prescribed in §</w:t>
      </w:r>
      <w:r>
        <w:fldChar w:fldCharType="begin"/>
      </w:r>
      <w:r>
        <w:instrText xml:space="preserve"> REF _Ref17810730 \r \h </w:instrText>
      </w:r>
      <w:r>
        <w:fldChar w:fldCharType="separate"/>
      </w:r>
      <w:r w:rsidR="00CA5448">
        <w:rPr>
          <w:b/>
          <w:bCs/>
          <w:lang w:val="hu-HU"/>
        </w:rPr>
        <w:t>Hiba! A hivatkozási forrás nem található.</w:t>
      </w:r>
      <w:r>
        <w:fldChar w:fldCharType="end"/>
      </w:r>
    </w:p>
    <w:p w14:paraId="02E47939" w14:textId="499BC686" w:rsidR="00431357" w:rsidRDefault="00431357" w:rsidP="00431357">
      <w:pPr>
        <w:pStyle w:val="Lista3"/>
      </w:pPr>
      <w:r>
        <w:t xml:space="preserve">see also </w:t>
      </w:r>
      <w:r>
        <w:fldChar w:fldCharType="begin"/>
      </w:r>
      <w:r>
        <w:instrText xml:space="preserve"> REF _Ref162447839 \r \h </w:instrText>
      </w:r>
      <w:r>
        <w:fldChar w:fldCharType="separate"/>
      </w:r>
      <w:r w:rsidR="00CA5448">
        <w:t>4.6.3</w:t>
      </w:r>
      <w:r>
        <w:fldChar w:fldCharType="end"/>
      </w:r>
      <w:r>
        <w:t xml:space="preserve"> about other situations where independent vowel signs form a ligature with consonants</w:t>
      </w:r>
    </w:p>
    <w:p w14:paraId="120B1FA1" w14:textId="77777777" w:rsidR="00431357" w:rsidRDefault="00431357" w:rsidP="00431357">
      <w:pPr>
        <w:pStyle w:val="Lista"/>
      </w:pPr>
      <w:r>
        <w:t>here is an overview of how to transliterate relevant cases from Khmer script</w:t>
      </w:r>
    </w:p>
    <w:p w14:paraId="4FC92580" w14:textId="77777777" w:rsidR="00431357" w:rsidRDefault="00431357" w:rsidP="00431357">
      <w:pPr>
        <w:pStyle w:val="Lista2"/>
      </w:pPr>
      <w:r>
        <w:t>1. Simplex “independent vowel” characters</w:t>
      </w:r>
    </w:p>
    <w:p w14:paraId="72B09150" w14:textId="77777777" w:rsidR="00431357" w:rsidRDefault="00431357" w:rsidP="00431357">
      <w:pPr>
        <w:pStyle w:val="Lista3"/>
      </w:pPr>
      <w:r>
        <w:rPr>
          <w:rStyle w:val="ForeignKhmerScript"/>
          <w:rFonts w:hint="cs"/>
          <w:cs/>
        </w:rPr>
        <w:t>អ</w:t>
      </w:r>
      <w:r>
        <w:rPr>
          <w:cs/>
        </w:rPr>
        <w:t xml:space="preserve"> </w:t>
      </w:r>
      <w:r>
        <w:t xml:space="preserve">A, </w:t>
      </w:r>
      <w:r>
        <w:rPr>
          <w:rStyle w:val="ForeignKhmerScript"/>
          <w:rFonts w:hint="cs"/>
          <w:cs/>
        </w:rPr>
        <w:t>អា</w:t>
      </w:r>
      <w:r>
        <w:rPr>
          <w:cs/>
          <w:lang w:bidi="km-KH"/>
        </w:rPr>
        <w:t xml:space="preserve"> </w:t>
      </w:r>
      <w:r>
        <w:rPr>
          <w:rStyle w:val="Foreign"/>
        </w:rPr>
        <w:t>Ā</w:t>
      </w:r>
      <w:r>
        <w:t xml:space="preserve">, </w:t>
      </w:r>
      <w:r>
        <w:rPr>
          <w:rStyle w:val="ForeignKhmerScript"/>
          <w:rFonts w:hint="cs"/>
          <w:cs/>
        </w:rPr>
        <w:t>ឥ</w:t>
      </w:r>
      <w:r>
        <w:rPr>
          <w:cs/>
        </w:rPr>
        <w:t xml:space="preserve"> </w:t>
      </w:r>
      <w:r>
        <w:rPr>
          <w:rStyle w:val="Foreign"/>
        </w:rPr>
        <w:t>I</w:t>
      </w:r>
      <w:r>
        <w:t xml:space="preserve">, </w:t>
      </w:r>
      <w:r>
        <w:rPr>
          <w:rStyle w:val="ForeignKhmerScript"/>
          <w:rFonts w:hint="cs"/>
          <w:cs/>
        </w:rPr>
        <w:t>ឦ</w:t>
      </w:r>
      <w:r>
        <w:rPr>
          <w:cs/>
        </w:rPr>
        <w:t xml:space="preserve"> </w:t>
      </w:r>
      <w:r>
        <w:rPr>
          <w:rStyle w:val="Foreign"/>
        </w:rPr>
        <w:t>Ī</w:t>
      </w:r>
      <w:r>
        <w:t xml:space="preserve">, </w:t>
      </w:r>
      <w:r>
        <w:rPr>
          <w:rStyle w:val="ForeignKhmerScript"/>
          <w:rFonts w:hint="cs"/>
          <w:cs/>
        </w:rPr>
        <w:t>ឧ</w:t>
      </w:r>
      <w:r>
        <w:rPr>
          <w:cs/>
        </w:rPr>
        <w:t xml:space="preserve"> </w:t>
      </w:r>
      <w:r>
        <w:rPr>
          <w:rStyle w:val="Foreign"/>
        </w:rPr>
        <w:t>U</w:t>
      </w:r>
      <w:r>
        <w:t xml:space="preserve">, </w:t>
      </w:r>
      <w:r>
        <w:rPr>
          <w:rStyle w:val="ForeignKhmerScript"/>
          <w:rFonts w:hint="cs"/>
          <w:cs/>
        </w:rPr>
        <w:t>ឪ</w:t>
      </w:r>
      <w:r>
        <w:rPr>
          <w:cs/>
        </w:rPr>
        <w:t xml:space="preserve"> </w:t>
      </w:r>
      <w:r>
        <w:rPr>
          <w:rStyle w:val="Foreign"/>
        </w:rPr>
        <w:t>Ū</w:t>
      </w:r>
      <w:r>
        <w:t xml:space="preserve">, </w:t>
      </w:r>
      <w:r>
        <w:rPr>
          <w:rStyle w:val="ForeignKhmerScript"/>
          <w:rFonts w:hint="cs"/>
          <w:cs/>
        </w:rPr>
        <w:t>ឯ</w:t>
      </w:r>
      <w:r>
        <w:rPr>
          <w:cs/>
        </w:rPr>
        <w:t xml:space="preserve"> </w:t>
      </w:r>
      <w:r>
        <w:rPr>
          <w:rStyle w:val="Foreign"/>
        </w:rPr>
        <w:t>E</w:t>
      </w:r>
      <w:r>
        <w:t xml:space="preserve">, </w:t>
      </w:r>
      <w:r>
        <w:rPr>
          <w:rStyle w:val="ForeignKhmerScript"/>
          <w:rFonts w:hint="cs"/>
          <w:cs/>
        </w:rPr>
        <w:t>ឰ</w:t>
      </w:r>
      <w:r>
        <w:rPr>
          <w:cs/>
        </w:rPr>
        <w:t xml:space="preserve"> </w:t>
      </w:r>
      <w:r>
        <w:rPr>
          <w:rStyle w:val="Foreign"/>
        </w:rPr>
        <w:t>Ai</w:t>
      </w:r>
      <w:r>
        <w:t xml:space="preserve">, </w:t>
      </w:r>
      <w:r>
        <w:rPr>
          <w:rStyle w:val="ForeignKhmerScript"/>
          <w:rFonts w:hint="cs"/>
          <w:cs/>
        </w:rPr>
        <w:t>ឱ</w:t>
      </w:r>
      <w:r>
        <w:rPr>
          <w:cs/>
        </w:rPr>
        <w:t xml:space="preserve"> </w:t>
      </w:r>
      <w:r>
        <w:rPr>
          <w:rStyle w:val="Foreign"/>
        </w:rPr>
        <w:t>O</w:t>
      </w:r>
      <w:r>
        <w:t xml:space="preserve">, </w:t>
      </w:r>
      <w:r>
        <w:rPr>
          <w:rStyle w:val="ForeignKhmerScript"/>
          <w:rFonts w:hint="cs"/>
          <w:cs/>
        </w:rPr>
        <w:t>ឳ</w:t>
      </w:r>
      <w:r>
        <w:rPr>
          <w:cs/>
        </w:rPr>
        <w:t xml:space="preserve"> </w:t>
      </w:r>
      <w:r>
        <w:rPr>
          <w:rStyle w:val="Foreign"/>
        </w:rPr>
        <w:t>Au</w:t>
      </w:r>
    </w:p>
    <w:p w14:paraId="7AC3A6E4" w14:textId="77777777" w:rsidR="00431357" w:rsidRDefault="00431357" w:rsidP="00431357">
      <w:pPr>
        <w:pStyle w:val="Lista2"/>
      </w:pPr>
      <w:r>
        <w:t xml:space="preserve">2.  </w:t>
      </w:r>
      <w:r>
        <w:rPr>
          <w:rStyle w:val="ForeignKhmerScript"/>
          <w:rFonts w:hint="cs"/>
          <w:cs/>
        </w:rPr>
        <w:t>អ</w:t>
      </w:r>
      <w:r>
        <w:rPr>
          <w:cs/>
        </w:rPr>
        <w:t xml:space="preserve"> </w:t>
      </w:r>
      <w:r>
        <w:t>used as vowel support in syllable-initial position</w:t>
      </w:r>
    </w:p>
    <w:p w14:paraId="3EE66A58" w14:textId="77777777" w:rsidR="00431357" w:rsidRDefault="00431357" w:rsidP="00431357">
      <w:pPr>
        <w:pStyle w:val="Lista3"/>
      </w:pPr>
      <w:r>
        <w:rPr>
          <w:rStyle w:val="ForeignKhmerScript"/>
          <w:rFonts w:hint="cs"/>
          <w:cs/>
        </w:rPr>
        <w:t>អិ</w:t>
      </w:r>
      <w:r>
        <w:rPr>
          <w:cs/>
        </w:rPr>
        <w:t xml:space="preserve"> </w:t>
      </w:r>
      <w:r>
        <w:rPr>
          <w:rStyle w:val="Foreign"/>
        </w:rPr>
        <w:t>qi</w:t>
      </w:r>
      <w:r>
        <w:t xml:space="preserve">, </w:t>
      </w:r>
      <w:r>
        <w:rPr>
          <w:rStyle w:val="ForeignKhmerScript"/>
          <w:rFonts w:hint="cs"/>
          <w:cs/>
        </w:rPr>
        <w:t>អី</w:t>
      </w:r>
      <w:r>
        <w:rPr>
          <w:cs/>
        </w:rPr>
        <w:t xml:space="preserve"> </w:t>
      </w:r>
      <w:r>
        <w:rPr>
          <w:rStyle w:val="Foreign"/>
        </w:rPr>
        <w:t>qī</w:t>
      </w:r>
      <w:r>
        <w:t xml:space="preserve">, </w:t>
      </w:r>
      <w:r>
        <w:rPr>
          <w:rStyle w:val="ForeignKhmerScript"/>
          <w:rFonts w:hint="cs"/>
          <w:cs/>
        </w:rPr>
        <w:t>អុ</w:t>
      </w:r>
      <w:r>
        <w:rPr>
          <w:cs/>
        </w:rPr>
        <w:t xml:space="preserve"> </w:t>
      </w:r>
      <w:r>
        <w:rPr>
          <w:rStyle w:val="Foreign"/>
        </w:rPr>
        <w:t>qu</w:t>
      </w:r>
      <w:r>
        <w:t xml:space="preserve">, </w:t>
      </w:r>
      <w:r>
        <w:rPr>
          <w:rStyle w:val="ForeignKhmerScript"/>
          <w:rFonts w:hint="cs"/>
          <w:cs/>
        </w:rPr>
        <w:t>អូ</w:t>
      </w:r>
      <w:r>
        <w:rPr>
          <w:cs/>
        </w:rPr>
        <w:t xml:space="preserve"> </w:t>
      </w:r>
      <w:r>
        <w:rPr>
          <w:rStyle w:val="Foreign"/>
        </w:rPr>
        <w:t>qū</w:t>
      </w:r>
      <w:r>
        <w:t xml:space="preserve">, </w:t>
      </w:r>
      <w:r>
        <w:rPr>
          <w:rStyle w:val="ForeignKhmerScript"/>
          <w:rFonts w:hint="cs"/>
          <w:cs/>
        </w:rPr>
        <w:t>អេ</w:t>
      </w:r>
      <w:r>
        <w:rPr>
          <w:cs/>
        </w:rPr>
        <w:t xml:space="preserve"> </w:t>
      </w:r>
      <w:r>
        <w:rPr>
          <w:rStyle w:val="Foreign"/>
        </w:rPr>
        <w:t>qe</w:t>
      </w:r>
      <w:r>
        <w:t xml:space="preserve">, </w:t>
      </w:r>
      <w:r>
        <w:rPr>
          <w:rStyle w:val="ForeignKhmerScript"/>
          <w:rFonts w:hint="cs"/>
          <w:cs/>
        </w:rPr>
        <w:t>អៃ</w:t>
      </w:r>
      <w:r>
        <w:rPr>
          <w:cs/>
        </w:rPr>
        <w:t xml:space="preserve"> </w:t>
      </w:r>
      <w:r>
        <w:rPr>
          <w:rStyle w:val="Foreign"/>
        </w:rPr>
        <w:t>qai</w:t>
      </w:r>
      <w:r>
        <w:t xml:space="preserve">, </w:t>
      </w:r>
      <w:r>
        <w:rPr>
          <w:rStyle w:val="ForeignKhmerScript"/>
          <w:rFonts w:hint="cs"/>
          <w:cs/>
        </w:rPr>
        <w:t>អោ</w:t>
      </w:r>
      <w:r>
        <w:rPr>
          <w:cs/>
        </w:rPr>
        <w:t xml:space="preserve"> </w:t>
      </w:r>
      <w:r>
        <w:rPr>
          <w:rStyle w:val="Foreign"/>
        </w:rPr>
        <w:t>qo</w:t>
      </w:r>
      <w:r>
        <w:t xml:space="preserve">, </w:t>
      </w:r>
      <w:r>
        <w:rPr>
          <w:rStyle w:val="ForeignKhmerScript"/>
          <w:rFonts w:hint="cs"/>
          <w:cs/>
        </w:rPr>
        <w:t>អៅ</w:t>
      </w:r>
      <w:r>
        <w:rPr>
          <w:cs/>
        </w:rPr>
        <w:t xml:space="preserve"> </w:t>
      </w:r>
      <w:r>
        <w:rPr>
          <w:rStyle w:val="Foreign"/>
        </w:rPr>
        <w:t>qau</w:t>
      </w:r>
    </w:p>
    <w:p w14:paraId="288A9301" w14:textId="77777777" w:rsidR="00431357" w:rsidRDefault="00431357" w:rsidP="00431357">
      <w:pPr>
        <w:pStyle w:val="Lista2"/>
      </w:pPr>
      <w:r>
        <w:t xml:space="preserve">3.  </w:t>
      </w:r>
      <w:r>
        <w:rPr>
          <w:rStyle w:val="ForeignKhmerScript"/>
          <w:rFonts w:hint="cs"/>
          <w:cs/>
        </w:rPr>
        <w:t>អ</w:t>
      </w:r>
      <w:r>
        <w:rPr>
          <w:cs/>
        </w:rPr>
        <w:t xml:space="preserve"> </w:t>
      </w:r>
      <w:r>
        <w:t>in the function of vowel support (2) and simplex equivalents (1)</w:t>
      </w:r>
    </w:p>
    <w:p w14:paraId="67364974" w14:textId="77777777" w:rsidR="00431357" w:rsidRDefault="00431357" w:rsidP="00431357">
      <w:pPr>
        <w:pStyle w:val="Lista3"/>
      </w:pPr>
      <w:r>
        <w:rPr>
          <w:rStyle w:val="ForeignKhmerScript"/>
          <w:rFonts w:hint="cs"/>
          <w:cs/>
        </w:rPr>
        <w:t>អេត</w:t>
      </w:r>
      <w:r>
        <w:t xml:space="preserve"> </w:t>
      </w:r>
      <w:r>
        <w:rPr>
          <w:rStyle w:val="Foreign"/>
        </w:rPr>
        <w:t>qeta</w:t>
      </w:r>
      <w:r>
        <w:t xml:space="preserve"> — </w:t>
      </w:r>
      <w:r>
        <w:rPr>
          <w:rStyle w:val="ForeignKhmerScript"/>
          <w:rFonts w:hint="cs"/>
          <w:cs/>
        </w:rPr>
        <w:t>ឯត្ត</w:t>
      </w:r>
      <w:r>
        <w:t xml:space="preserve"> </w:t>
      </w:r>
      <w:r>
        <w:rPr>
          <w:rStyle w:val="Foreign"/>
        </w:rPr>
        <w:t>Etta</w:t>
      </w:r>
      <w:r>
        <w:t> </w:t>
      </w:r>
    </w:p>
    <w:p w14:paraId="28ACDAE8" w14:textId="77777777" w:rsidR="00431357" w:rsidRDefault="00431357" w:rsidP="00431357">
      <w:pPr>
        <w:pStyle w:val="Lista2"/>
      </w:pPr>
      <w:r>
        <w:t xml:space="preserve">4. </w:t>
      </w:r>
      <w:r>
        <w:rPr>
          <w:rStyle w:val="ForeignKhmerScript"/>
          <w:rFonts w:hint="cs"/>
          <w:cs/>
        </w:rPr>
        <w:t>អ</w:t>
      </w:r>
      <w:r>
        <w:rPr>
          <w:cs/>
        </w:rPr>
        <w:t xml:space="preserve"> </w:t>
      </w:r>
      <w:r>
        <w:t>entering into a ligature as vowel support in syllable-initial position</w:t>
      </w:r>
    </w:p>
    <w:p w14:paraId="0A56C21D" w14:textId="77777777" w:rsidR="00431357" w:rsidRDefault="00431357" w:rsidP="00431357">
      <w:pPr>
        <w:pStyle w:val="Lista3"/>
      </w:pPr>
      <w:r>
        <w:rPr>
          <w:rStyle w:val="ForeignKhmerScript"/>
          <w:rFonts w:hint="cs"/>
          <w:cs/>
        </w:rPr>
        <w:t>អ្នក</w:t>
      </w:r>
      <w:r>
        <w:t xml:space="preserve"> </w:t>
      </w:r>
      <w:r>
        <w:rPr>
          <w:rStyle w:val="Foreign"/>
        </w:rPr>
        <w:t xml:space="preserve">qnaka </w:t>
      </w:r>
    </w:p>
    <w:p w14:paraId="3D617F1E" w14:textId="77777777" w:rsidR="00431357" w:rsidRDefault="00431357" w:rsidP="00431357">
      <w:pPr>
        <w:pStyle w:val="Lista2"/>
      </w:pPr>
      <w:r>
        <w:t xml:space="preserve">5. </w:t>
      </w:r>
      <w:r>
        <w:rPr>
          <w:rStyle w:val="ForeignKhmerScript"/>
          <w:rFonts w:hint="cs"/>
          <w:cs/>
        </w:rPr>
        <w:t>អ</w:t>
      </w:r>
      <w:r>
        <w:rPr>
          <w:cs/>
        </w:rPr>
        <w:t xml:space="preserve"> </w:t>
      </w:r>
      <w:r>
        <w:t>entering into a ligature as vowel support in post-consonantal position</w:t>
      </w:r>
    </w:p>
    <w:p w14:paraId="60567EA8" w14:textId="77777777" w:rsidR="00431357" w:rsidRDefault="00431357" w:rsidP="00431357">
      <w:pPr>
        <w:pStyle w:val="Lista3"/>
      </w:pPr>
      <w:r>
        <w:rPr>
          <w:rStyle w:val="ForeignKhmerScript"/>
          <w:rFonts w:hint="cs"/>
          <w:cs/>
        </w:rPr>
        <w:t>ផ្អក</w:t>
      </w:r>
      <w:r>
        <w:t xml:space="preserve"> </w:t>
      </w:r>
      <w:r>
        <w:rPr>
          <w:rStyle w:val="Foreign"/>
        </w:rPr>
        <w:t>phqaka</w:t>
      </w:r>
    </w:p>
    <w:p w14:paraId="7145EE49" w14:textId="77777777" w:rsidR="00431357" w:rsidRDefault="00431357" w:rsidP="00431357">
      <w:pPr>
        <w:pStyle w:val="Lista3"/>
      </w:pPr>
      <w:r>
        <w:rPr>
          <w:rStyle w:val="ForeignKhmerScript"/>
          <w:rFonts w:hint="cs"/>
          <w:cs/>
        </w:rPr>
        <w:t>ល្អិត</w:t>
      </w:r>
      <w:r>
        <w:t xml:space="preserve"> </w:t>
      </w:r>
      <w:r>
        <w:rPr>
          <w:rStyle w:val="Foreign"/>
        </w:rPr>
        <w:t>lqita</w:t>
      </w:r>
      <w:r>
        <w:t xml:space="preserve"> as opposed to </w:t>
      </w:r>
      <w:r>
        <w:rPr>
          <w:rStyle w:val="ForeignKhmerScript"/>
          <w:rFonts w:hint="cs"/>
          <w:cs/>
        </w:rPr>
        <w:t>ល្ឥត</w:t>
      </w:r>
      <w:r>
        <w:t xml:space="preserve"> </w:t>
      </w:r>
      <w:r>
        <w:rPr>
          <w:rStyle w:val="Foreign"/>
        </w:rPr>
        <w:t>lIta</w:t>
      </w:r>
      <w:r>
        <w:t> </w:t>
      </w:r>
    </w:p>
    <w:p w14:paraId="22D35F02" w14:textId="77777777" w:rsidR="00431357" w:rsidRDefault="00431357" w:rsidP="00431357">
      <w:pPr>
        <w:pStyle w:val="Lista3"/>
      </w:pPr>
      <w:r>
        <w:rPr>
          <w:rStyle w:val="ForeignKhmerScript"/>
          <w:rFonts w:hint="cs"/>
          <w:cs/>
        </w:rPr>
        <w:t>ប្អូន</w:t>
      </w:r>
      <w:r>
        <w:t xml:space="preserve"> </w:t>
      </w:r>
      <w:r>
        <w:rPr>
          <w:rStyle w:val="Foreign"/>
        </w:rPr>
        <w:t>pqūna</w:t>
      </w:r>
      <w:r>
        <w:t xml:space="preserve"> as opposed to </w:t>
      </w:r>
      <w:r>
        <w:rPr>
          <w:rStyle w:val="ForeignKhmerScript"/>
          <w:rFonts w:hint="cs"/>
          <w:cs/>
        </w:rPr>
        <w:t>ផ្ឧន</w:t>
      </w:r>
      <w:r>
        <w:t xml:space="preserve"> </w:t>
      </w:r>
      <w:r>
        <w:rPr>
          <w:rStyle w:val="Foreign"/>
        </w:rPr>
        <w:t>phUna</w:t>
      </w:r>
    </w:p>
    <w:p w14:paraId="21F08634" w14:textId="77777777" w:rsidR="00431357" w:rsidRDefault="00431357" w:rsidP="00431357">
      <w:pPr>
        <w:pStyle w:val="Lista3"/>
      </w:pPr>
      <w:r>
        <w:rPr>
          <w:rStyle w:val="ForeignKhmerScript"/>
          <w:rFonts w:hint="cs"/>
          <w:cs/>
        </w:rPr>
        <w:t>ក្អេក</w:t>
      </w:r>
      <w:r>
        <w:t xml:space="preserve"> </w:t>
      </w:r>
      <w:r>
        <w:rPr>
          <w:rStyle w:val="Foreign"/>
        </w:rPr>
        <w:t>kqeka</w:t>
      </w:r>
      <w:r>
        <w:t xml:space="preserve"> as opposed to </w:t>
      </w:r>
      <w:r>
        <w:rPr>
          <w:rStyle w:val="ForeignKhmerScript"/>
          <w:rFonts w:hint="cs"/>
          <w:cs/>
        </w:rPr>
        <w:t>ក្ឯក</w:t>
      </w:r>
      <w:r>
        <w:t xml:space="preserve"> </w:t>
      </w:r>
      <w:r>
        <w:rPr>
          <w:rStyle w:val="Foreign"/>
        </w:rPr>
        <w:t>kEka</w:t>
      </w:r>
      <w:r>
        <w:t xml:space="preserve"> and </w:t>
      </w:r>
      <w:r>
        <w:rPr>
          <w:rStyle w:val="ForeignKhmerScript"/>
          <w:rFonts w:hint="cs"/>
          <w:cs/>
        </w:rPr>
        <w:t>ក្អែក</w:t>
      </w:r>
      <w:r>
        <w:t xml:space="preserve"> </w:t>
      </w:r>
      <w:r>
        <w:rPr>
          <w:rStyle w:val="Foreign"/>
        </w:rPr>
        <w:t>kqaeka</w:t>
      </w:r>
      <w:r>
        <w:rPr>
          <w:rStyle w:val="Lbjegyzet-hivatkozs"/>
        </w:rPr>
        <w:footnoteReference w:id="82"/>
      </w:r>
    </w:p>
    <w:p w14:paraId="23592E64" w14:textId="77777777" w:rsidR="00431357" w:rsidRDefault="00431357" w:rsidP="00431357">
      <w:r>
        <w:t>The following table repeats some of the same examples but adds potential equivalents in Balinese glyphs, and shows that the same identically transliterated sequence may not lead to the same transcribed sequence between one writing system and another, because at the level of transcription, we must start to take into account the sounds that are being expressed. The last column shows the romanization that you may use, for instance, in commentary and translation, when you wish to cite words as words, not as transliterated strings of characters. </w:t>
      </w:r>
    </w:p>
    <w:tbl>
      <w:tblPr>
        <w:tblW w:w="5114" w:type="pct"/>
        <w:tblCellMar>
          <w:top w:w="15" w:type="dxa"/>
          <w:left w:w="15" w:type="dxa"/>
          <w:bottom w:w="15" w:type="dxa"/>
          <w:right w:w="15" w:type="dxa"/>
        </w:tblCellMar>
        <w:tblLook w:val="04A0" w:firstRow="1" w:lastRow="0" w:firstColumn="1" w:lastColumn="0" w:noHBand="0" w:noVBand="1"/>
      </w:tblPr>
      <w:tblGrid>
        <w:gridCol w:w="2066"/>
        <w:gridCol w:w="1186"/>
        <w:gridCol w:w="1277"/>
        <w:gridCol w:w="1560"/>
        <w:gridCol w:w="1641"/>
        <w:gridCol w:w="2107"/>
      </w:tblGrid>
      <w:tr w:rsidR="00431357" w14:paraId="28A5BA95"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2F558054" w14:textId="77777777" w:rsidR="00431357" w:rsidRDefault="00431357" w:rsidP="002F2EE0">
            <w:pPr>
              <w:pStyle w:val="Tabletext"/>
              <w:keepNext/>
            </w:pPr>
            <w:r>
              <w:lastRenderedPageBreak/>
              <w:t>combination</w:t>
            </w:r>
          </w:p>
        </w:tc>
        <w:tc>
          <w:tcPr>
            <w:tcW w:w="603"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7E28F3B9" w14:textId="77777777" w:rsidR="00431357" w:rsidRDefault="00431357" w:rsidP="002F2EE0">
            <w:pPr>
              <w:pStyle w:val="Tabletext"/>
              <w:keepNext/>
            </w:pPr>
            <w:r>
              <w:t>Khmer glyph</w:t>
            </w:r>
          </w:p>
        </w:tc>
        <w:tc>
          <w:tcPr>
            <w:tcW w:w="649"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041AFEEA" w14:textId="77777777" w:rsidR="00431357" w:rsidRDefault="00431357" w:rsidP="002F2EE0">
            <w:pPr>
              <w:pStyle w:val="Tabletext"/>
              <w:keepNext/>
            </w:pPr>
            <w:r>
              <w:t>Balinese glyph</w:t>
            </w:r>
          </w:p>
        </w:tc>
        <w:tc>
          <w:tcPr>
            <w:tcW w:w="793"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1AB2107B" w14:textId="77777777" w:rsidR="00431357" w:rsidRDefault="00431357" w:rsidP="002F2EE0">
            <w:pPr>
              <w:pStyle w:val="Tabletext"/>
              <w:keepNext/>
            </w:pPr>
            <w:r>
              <w:t>DHARMA</w:t>
            </w:r>
          </w:p>
          <w:p w14:paraId="3C2EFE60" w14:textId="77777777" w:rsidR="00431357" w:rsidRDefault="00431357" w:rsidP="002F2EE0">
            <w:pPr>
              <w:pStyle w:val="Tabletext"/>
              <w:keepNext/>
            </w:pPr>
            <w:r>
              <w:t>transliteration</w:t>
            </w:r>
          </w:p>
        </w:tc>
        <w:tc>
          <w:tcPr>
            <w:tcW w:w="834"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71E16B7C" w14:textId="77777777" w:rsidR="00431357" w:rsidRDefault="00431357" w:rsidP="002F2EE0">
            <w:pPr>
              <w:pStyle w:val="Tabletext"/>
              <w:keepNext/>
            </w:pPr>
            <w:r>
              <w:t>IPA</w:t>
            </w:r>
          </w:p>
          <w:p w14:paraId="6FE5603E" w14:textId="77777777" w:rsidR="00431357" w:rsidRDefault="00431357" w:rsidP="002F2EE0">
            <w:pPr>
              <w:pStyle w:val="Tabletext"/>
              <w:keepNext/>
            </w:pPr>
            <w:r>
              <w:t>transcription</w:t>
            </w:r>
          </w:p>
        </w:tc>
        <w:tc>
          <w:tcPr>
            <w:tcW w:w="1072"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4DAA0F74" w14:textId="77777777" w:rsidR="00431357" w:rsidRDefault="00431357" w:rsidP="002F2EE0">
            <w:pPr>
              <w:pStyle w:val="Tabletext"/>
              <w:keepNext/>
            </w:pPr>
            <w:r>
              <w:t>DHARMA transcription</w:t>
            </w:r>
          </w:p>
          <w:p w14:paraId="101FA265" w14:textId="77777777" w:rsidR="00431357" w:rsidRDefault="00431357" w:rsidP="002F2EE0">
            <w:pPr>
              <w:pStyle w:val="Tabletext"/>
              <w:keepNext/>
            </w:pPr>
            <w:r>
              <w:t>(lower and upper case)</w:t>
            </w:r>
          </w:p>
        </w:tc>
      </w:tr>
      <w:tr w:rsidR="00431357" w14:paraId="250FE7C2"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78F3C150" w14:textId="77777777" w:rsidR="00431357" w:rsidRDefault="00431357" w:rsidP="002F2EE0">
            <w:pPr>
              <w:pStyle w:val="Tabletext"/>
              <w:keepNext/>
              <w:rPr>
                <w:rStyle w:val="Foreign"/>
              </w:rPr>
            </w:pPr>
            <w:r>
              <w:rPr>
                <w:rStyle w:val="Foreign"/>
              </w:rPr>
              <w:t>A</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1C70" w14:textId="77777777" w:rsidR="00431357" w:rsidRDefault="00431357" w:rsidP="002F2EE0">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BD0A1" w14:textId="77777777" w:rsidR="00431357" w:rsidRDefault="00431357" w:rsidP="002F2EE0">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5F18" w14:textId="77777777" w:rsidR="00431357" w:rsidRDefault="00431357" w:rsidP="002F2EE0">
            <w:pPr>
              <w:pStyle w:val="Tabletext"/>
              <w:keepNext/>
              <w:rPr>
                <w:rStyle w:val="Foreign"/>
              </w:rPr>
            </w:pPr>
            <w:r>
              <w:rPr>
                <w:rStyle w:val="Foreign"/>
              </w:rPr>
              <w:t>A</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F4CF" w14:textId="77777777" w:rsidR="00431357" w:rsidRDefault="00431357" w:rsidP="002F2EE0">
            <w:pPr>
              <w:pStyle w:val="Tabletext"/>
              <w:keepNext/>
            </w:pPr>
            <w:r>
              <w:t>Khmer /ʔa/</w:t>
            </w:r>
          </w:p>
          <w:p w14:paraId="61BF81EA" w14:textId="77777777" w:rsidR="00431357" w:rsidRDefault="00431357" w:rsidP="002F2EE0">
            <w:pPr>
              <w:pStyle w:val="Tabletext"/>
              <w:keepNext/>
            </w:pPr>
            <w:r>
              <w:t>Bal. /a/</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CA40" w14:textId="77777777" w:rsidR="00431357" w:rsidRDefault="00431357" w:rsidP="002F2EE0">
            <w:pPr>
              <w:pStyle w:val="Tabletext"/>
              <w:keepNext/>
              <w:rPr>
                <w:rStyle w:val="Foreign"/>
              </w:rPr>
            </w:pPr>
            <w:r>
              <w:rPr>
                <w:rStyle w:val="Foreign"/>
              </w:rPr>
              <w:t>qa ’a </w:t>
            </w:r>
            <w:r>
              <w:t xml:space="preserve"> or </w:t>
            </w:r>
            <w:r>
              <w:rPr>
                <w:rStyle w:val="Foreign"/>
              </w:rPr>
              <w:t>qA ’A</w:t>
            </w:r>
          </w:p>
          <w:p w14:paraId="79469D5D" w14:textId="77777777" w:rsidR="00431357" w:rsidRDefault="00431357" w:rsidP="002F2EE0">
            <w:pPr>
              <w:pStyle w:val="Tabletext"/>
              <w:keepNext/>
              <w:rPr>
                <w:rStyle w:val="Foreign"/>
              </w:rPr>
            </w:pPr>
            <w:r>
              <w:rPr>
                <w:rStyle w:val="Foreign"/>
              </w:rPr>
              <w:t>a A</w:t>
            </w:r>
          </w:p>
        </w:tc>
      </w:tr>
      <w:tr w:rsidR="00431357" w14:paraId="69463088"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6E3AB166" w14:textId="77777777" w:rsidR="00431357" w:rsidRDefault="00431357" w:rsidP="002F2EE0">
            <w:pPr>
              <w:pStyle w:val="Tabletext"/>
              <w:keepNext/>
            </w:pPr>
            <w:r>
              <w:rPr>
                <w:rStyle w:val="Foreign"/>
              </w:rPr>
              <w:t>A</w:t>
            </w:r>
            <w:r>
              <w:t xml:space="preserve"> with </w:t>
            </w:r>
            <w:r>
              <w:rPr>
                <w:rStyle w:val="Foreign"/>
              </w:rPr>
              <w:t>e</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49189" w14:textId="77777777" w:rsidR="00431357" w:rsidRDefault="00431357" w:rsidP="002F2EE0">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1BCC" w14:textId="77777777" w:rsidR="00431357" w:rsidRDefault="00431357" w:rsidP="002F2EE0">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3195" w14:textId="77777777" w:rsidR="00431357" w:rsidRDefault="00431357" w:rsidP="002F2EE0">
            <w:pPr>
              <w:pStyle w:val="Tabletext"/>
              <w:keepNext/>
              <w:rPr>
                <w:rStyle w:val="Foreign"/>
              </w:rPr>
            </w:pPr>
            <w:r>
              <w:rPr>
                <w:rStyle w:val="Foreign"/>
              </w:rPr>
              <w:t>qe</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FE1D" w14:textId="77777777" w:rsidR="00431357" w:rsidRDefault="00431357" w:rsidP="002F2EE0">
            <w:pPr>
              <w:pStyle w:val="Tabletext"/>
              <w:keepNext/>
            </w:pPr>
            <w:r>
              <w:t>Khmer /ʔe/</w:t>
            </w:r>
          </w:p>
          <w:p w14:paraId="6FE28855" w14:textId="77777777" w:rsidR="00431357" w:rsidRDefault="00431357" w:rsidP="002F2EE0">
            <w:pPr>
              <w:pStyle w:val="Tabletext"/>
              <w:keepNext/>
            </w:pPr>
            <w:r>
              <w:t>Bal. /e/</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1100" w14:textId="77777777" w:rsidR="00431357" w:rsidRDefault="00431357" w:rsidP="002F2EE0">
            <w:pPr>
              <w:pStyle w:val="Tabletext"/>
              <w:keepNext/>
              <w:rPr>
                <w:rStyle w:val="Foreign"/>
              </w:rPr>
            </w:pPr>
            <w:r>
              <w:rPr>
                <w:rStyle w:val="Foreign"/>
              </w:rPr>
              <w:t>qe ’e</w:t>
            </w:r>
            <w:r>
              <w:t xml:space="preserve"> or </w:t>
            </w:r>
            <w:r>
              <w:rPr>
                <w:rStyle w:val="Foreign"/>
              </w:rPr>
              <w:t>qE  ’E</w:t>
            </w:r>
          </w:p>
          <w:p w14:paraId="51BA0B09" w14:textId="77777777" w:rsidR="00431357" w:rsidRDefault="00431357" w:rsidP="002F2EE0">
            <w:pPr>
              <w:pStyle w:val="Tabletext"/>
              <w:keepNext/>
              <w:rPr>
                <w:rStyle w:val="Foreign"/>
              </w:rPr>
            </w:pPr>
            <w:r>
              <w:rPr>
                <w:rStyle w:val="Foreign"/>
              </w:rPr>
              <w:t>e E</w:t>
            </w:r>
          </w:p>
        </w:tc>
      </w:tr>
      <w:tr w:rsidR="00431357" w14:paraId="4A51A65D"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44C0D08F" w14:textId="77777777" w:rsidR="00431357" w:rsidRDefault="00431357" w:rsidP="002F2EE0">
            <w:pPr>
              <w:pStyle w:val="Tabletext"/>
              <w:keepNext/>
            </w:pPr>
            <w:r>
              <w:rPr>
                <w:rStyle w:val="Foreign"/>
              </w:rPr>
              <w:t>A</w:t>
            </w:r>
            <w:r>
              <w:t xml:space="preserve"> with </w:t>
            </w:r>
            <w:r>
              <w:rPr>
                <w:rStyle w:val="Foreign"/>
              </w:rPr>
              <w:t>u</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E128" w14:textId="77777777" w:rsidR="00431357" w:rsidRDefault="00431357" w:rsidP="002F2EE0">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81E4" w14:textId="77777777" w:rsidR="00431357" w:rsidRDefault="00431357" w:rsidP="002F2EE0">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AD0CF" w14:textId="77777777" w:rsidR="00431357" w:rsidRDefault="00431357" w:rsidP="002F2EE0">
            <w:pPr>
              <w:pStyle w:val="Tabletext"/>
              <w:keepNext/>
              <w:rPr>
                <w:rStyle w:val="Foreign"/>
              </w:rPr>
            </w:pPr>
            <w:r>
              <w:rPr>
                <w:rStyle w:val="Foreign"/>
              </w:rPr>
              <w:t>qu</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96BE5" w14:textId="77777777" w:rsidR="00431357" w:rsidRDefault="00431357" w:rsidP="002F2EE0">
            <w:pPr>
              <w:pStyle w:val="Tabletext"/>
              <w:keepNext/>
            </w:pPr>
            <w:r>
              <w:t>Khmer/ʔu/</w:t>
            </w:r>
          </w:p>
          <w:p w14:paraId="3C3CE9BD" w14:textId="77777777" w:rsidR="00431357" w:rsidRDefault="00431357" w:rsidP="002F2EE0">
            <w:pPr>
              <w:pStyle w:val="Tabletext"/>
              <w:keepNext/>
            </w:pPr>
            <w:r>
              <w:t>Bal. /u/</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BE52" w14:textId="77777777" w:rsidR="00431357" w:rsidRDefault="00431357" w:rsidP="002F2EE0">
            <w:pPr>
              <w:pStyle w:val="Tabletext"/>
              <w:keepNext/>
              <w:rPr>
                <w:rStyle w:val="Foreign"/>
              </w:rPr>
            </w:pPr>
            <w:r>
              <w:rPr>
                <w:rStyle w:val="Foreign"/>
              </w:rPr>
              <w:t>qu ’u</w:t>
            </w:r>
            <w:r>
              <w:t xml:space="preserve"> or </w:t>
            </w:r>
            <w:r>
              <w:rPr>
                <w:rStyle w:val="Foreign"/>
              </w:rPr>
              <w:t>qU ’U</w:t>
            </w:r>
          </w:p>
          <w:p w14:paraId="2D950E48" w14:textId="77777777" w:rsidR="00431357" w:rsidRDefault="00431357" w:rsidP="002F2EE0">
            <w:pPr>
              <w:pStyle w:val="Tabletext"/>
              <w:keepNext/>
              <w:rPr>
                <w:rStyle w:val="Foreign"/>
              </w:rPr>
            </w:pPr>
            <w:r>
              <w:rPr>
                <w:rStyle w:val="Foreign"/>
              </w:rPr>
              <w:t>u U</w:t>
            </w:r>
          </w:p>
        </w:tc>
      </w:tr>
      <w:tr w:rsidR="00431357" w14:paraId="0FB749A2"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39681F31" w14:textId="77777777" w:rsidR="00431357" w:rsidRDefault="00431357" w:rsidP="002F2EE0">
            <w:pPr>
              <w:pStyle w:val="Tabletext"/>
              <w:keepNext/>
            </w:pPr>
            <w:r>
              <w:rPr>
                <w:rStyle w:val="Foreign"/>
              </w:rPr>
              <w:t>A</w:t>
            </w:r>
            <w:r>
              <w:t xml:space="preserve"> with </w:t>
            </w:r>
            <w:r>
              <w:rPr>
                <w:rStyle w:val="Foreign"/>
              </w:rPr>
              <w:t>i</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179BC" w14:textId="77777777" w:rsidR="00431357" w:rsidRDefault="00431357" w:rsidP="002F2EE0">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0076" w14:textId="77777777" w:rsidR="00431357" w:rsidRDefault="00431357" w:rsidP="002F2EE0">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5635" w14:textId="77777777" w:rsidR="00431357" w:rsidRDefault="00431357" w:rsidP="002F2EE0">
            <w:pPr>
              <w:pStyle w:val="Tabletext"/>
              <w:keepNext/>
              <w:rPr>
                <w:rStyle w:val="Foreign"/>
              </w:rPr>
            </w:pPr>
            <w:r>
              <w:rPr>
                <w:rStyle w:val="Foreign"/>
              </w:rPr>
              <w:t>qi</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F097" w14:textId="77777777" w:rsidR="00431357" w:rsidRDefault="00431357" w:rsidP="002F2EE0">
            <w:pPr>
              <w:pStyle w:val="Tabletext"/>
              <w:keepNext/>
            </w:pPr>
            <w:r>
              <w:t>Khmer /ʔi/</w:t>
            </w:r>
          </w:p>
          <w:p w14:paraId="332BB9AE" w14:textId="77777777" w:rsidR="00431357" w:rsidRDefault="00431357" w:rsidP="002F2EE0">
            <w:pPr>
              <w:pStyle w:val="Tabletext"/>
              <w:keepNext/>
            </w:pPr>
            <w:r>
              <w:t>Bal. /i/</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2679" w14:textId="77777777" w:rsidR="00431357" w:rsidRDefault="00431357" w:rsidP="002F2EE0">
            <w:pPr>
              <w:pStyle w:val="Tabletext"/>
              <w:keepNext/>
              <w:rPr>
                <w:rStyle w:val="Foreign"/>
              </w:rPr>
            </w:pPr>
            <w:r>
              <w:rPr>
                <w:rStyle w:val="Foreign"/>
              </w:rPr>
              <w:t>qu ’u</w:t>
            </w:r>
            <w:r>
              <w:t xml:space="preserve"> or </w:t>
            </w:r>
            <w:r>
              <w:rPr>
                <w:rStyle w:val="Foreign"/>
              </w:rPr>
              <w:t>qU ’U</w:t>
            </w:r>
          </w:p>
          <w:p w14:paraId="3BF3B6C4" w14:textId="77777777" w:rsidR="00431357" w:rsidRDefault="00431357" w:rsidP="002F2EE0">
            <w:pPr>
              <w:pStyle w:val="Tabletext"/>
              <w:keepNext/>
              <w:rPr>
                <w:rStyle w:val="Foreign"/>
              </w:rPr>
            </w:pPr>
            <w:r>
              <w:rPr>
                <w:rStyle w:val="Foreign"/>
              </w:rPr>
              <w:t>u U</w:t>
            </w:r>
          </w:p>
        </w:tc>
      </w:tr>
      <w:tr w:rsidR="00431357" w14:paraId="1C5B63F3"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14:paraId="059089D2" w14:textId="77777777" w:rsidR="00431357" w:rsidRDefault="00431357" w:rsidP="002F2EE0">
            <w:pPr>
              <w:pStyle w:val="Tabletext"/>
            </w:pPr>
            <w:r>
              <w:rPr>
                <w:rStyle w:val="Foreign"/>
              </w:rPr>
              <w:t>A</w:t>
            </w:r>
            <w:r>
              <w:t xml:space="preserve"> with </w:t>
            </w:r>
            <w:r>
              <w:rPr>
                <w:rStyle w:val="Foreign"/>
              </w:rPr>
              <w:t>e</w:t>
            </w:r>
            <w:r>
              <w:t xml:space="preserve"> and </w:t>
            </w:r>
            <w:r>
              <w:rPr>
                <w:rStyle w:val="Foreign"/>
              </w:rPr>
              <w:t>ā</w:t>
            </w:r>
            <w:r>
              <w:t xml:space="preserve"> markers</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F916" w14:textId="77777777" w:rsidR="00431357" w:rsidRDefault="00431357" w:rsidP="002F2EE0">
            <w:pPr>
              <w:pStyle w:val="Tablet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7285" w14:textId="77777777" w:rsidR="00431357" w:rsidRDefault="00431357" w:rsidP="002F2EE0">
            <w:pPr>
              <w:pStyle w:val="Tablet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134A2" w14:textId="77777777" w:rsidR="00431357" w:rsidRDefault="00431357" w:rsidP="002F2EE0">
            <w:pPr>
              <w:pStyle w:val="Tabletext"/>
              <w:rPr>
                <w:rStyle w:val="Foreign"/>
              </w:rPr>
            </w:pPr>
            <w:r>
              <w:rPr>
                <w:rStyle w:val="Foreign"/>
              </w:rPr>
              <w:t>qo</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D5EF" w14:textId="77777777" w:rsidR="00431357" w:rsidRDefault="00431357" w:rsidP="002F2EE0">
            <w:pPr>
              <w:pStyle w:val="Tabletext"/>
            </w:pPr>
            <w:r>
              <w:t>Khmer /ʔo/</w:t>
            </w:r>
          </w:p>
          <w:p w14:paraId="18A81CAD" w14:textId="77777777" w:rsidR="00431357" w:rsidRDefault="00431357" w:rsidP="002F2EE0">
            <w:pPr>
              <w:pStyle w:val="Tabletext"/>
            </w:pPr>
            <w:r>
              <w:t>Bal. /o/</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CD14" w14:textId="77777777" w:rsidR="00431357" w:rsidRDefault="00431357" w:rsidP="002F2EE0">
            <w:pPr>
              <w:pStyle w:val="Tabletext"/>
              <w:rPr>
                <w:rStyle w:val="Foreign"/>
              </w:rPr>
            </w:pPr>
            <w:r>
              <w:rPr>
                <w:rStyle w:val="Foreign"/>
              </w:rPr>
              <w:t>qo ’o</w:t>
            </w:r>
            <w:r>
              <w:t xml:space="preserve"> or </w:t>
            </w:r>
            <w:r>
              <w:rPr>
                <w:rStyle w:val="Foreign"/>
              </w:rPr>
              <w:t>qO ’o</w:t>
            </w:r>
          </w:p>
          <w:p w14:paraId="10A81C89" w14:textId="77777777" w:rsidR="00431357" w:rsidRDefault="00431357" w:rsidP="002F2EE0">
            <w:pPr>
              <w:pStyle w:val="Tabletext"/>
              <w:rPr>
                <w:rStyle w:val="Foreign"/>
              </w:rPr>
            </w:pPr>
            <w:r>
              <w:rPr>
                <w:rStyle w:val="Foreign"/>
              </w:rPr>
              <w:t>o O</w:t>
            </w:r>
          </w:p>
        </w:tc>
      </w:tr>
      <w:tr w:rsidR="00431357" w14:paraId="38BB3554"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tcPr>
          <w:p w14:paraId="7916333F" w14:textId="77777777" w:rsidR="00431357" w:rsidRDefault="00431357" w:rsidP="002F2EE0">
            <w:pPr>
              <w:pStyle w:val="Tabletext"/>
              <w:rPr>
                <w:rStyle w:val="Foreign"/>
              </w:rPr>
            </w:pPr>
            <w:r>
              <w:rPr>
                <w:rStyle w:val="Foreign"/>
              </w:rPr>
              <w:t>A</w:t>
            </w:r>
            <w:r>
              <w:t xml:space="preserve"> with </w:t>
            </w:r>
            <w:r>
              <w:rPr>
                <w:rStyle w:val="Foreign"/>
                <w:rFonts w:eastAsia="Arial"/>
              </w:rPr>
              <w:t>ə</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8ED26" w14:textId="77777777" w:rsidR="00431357" w:rsidRDefault="00431357" w:rsidP="002F2EE0">
            <w:pPr>
              <w:pStyle w:val="Tabletext"/>
              <w:rPr>
                <w:cs/>
              </w:rPr>
            </w:pP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EAEFC" w14:textId="77777777" w:rsidR="00431357" w:rsidRDefault="00431357" w:rsidP="002F2EE0">
            <w:pPr>
              <w:pStyle w:val="Tablet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BCDC4" w14:textId="77777777" w:rsidR="00431357" w:rsidRDefault="00431357" w:rsidP="002F2EE0">
            <w:pPr>
              <w:pStyle w:val="Tabletext"/>
              <w:rPr>
                <w:rStyle w:val="Foreign"/>
              </w:rPr>
            </w:pPr>
            <w:r>
              <w:rPr>
                <w:rStyle w:val="Foreign"/>
              </w:rPr>
              <w:t>q</w:t>
            </w:r>
            <w:r>
              <w:rPr>
                <w:rStyle w:val="Foreign"/>
                <w:rFonts w:eastAsia="Arial"/>
              </w:rPr>
              <w:t>ə</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1B856" w14:textId="77777777" w:rsidR="00431357" w:rsidRDefault="00431357" w:rsidP="002F2EE0">
            <w:pPr>
              <w:pStyle w:val="Tabletext"/>
            </w:pP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996CD" w14:textId="77777777" w:rsidR="00431357" w:rsidRDefault="00431357" w:rsidP="002F2EE0">
            <w:pPr>
              <w:pStyle w:val="Tabletext"/>
              <w:rPr>
                <w:rStyle w:val="Foreign"/>
              </w:rPr>
            </w:pPr>
            <w:r>
              <w:rPr>
                <w:rStyle w:val="Foreign"/>
              </w:rPr>
              <w:t>ə  Ə</w:t>
            </w:r>
          </w:p>
        </w:tc>
      </w:tr>
      <w:tr w:rsidR="00431357" w14:paraId="0761FEA4" w14:textId="77777777" w:rsidTr="002F2EE0">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tcPr>
          <w:p w14:paraId="00F99EDA" w14:textId="77777777" w:rsidR="00431357" w:rsidRDefault="00431357" w:rsidP="002F2EE0">
            <w:pPr>
              <w:pStyle w:val="Tabletext"/>
              <w:rPr>
                <w:rStyle w:val="Foreign"/>
              </w:rPr>
            </w:pPr>
            <w:r>
              <w:rPr>
                <w:rStyle w:val="Foreign"/>
              </w:rPr>
              <w:t>A</w:t>
            </w:r>
            <w:r>
              <w:t xml:space="preserve"> with </w:t>
            </w:r>
            <w:r>
              <w:rPr>
                <w:rStyle w:val="Foreign"/>
                <w:rFonts w:eastAsia="Arial"/>
              </w:rPr>
              <w:t>ə</w:t>
            </w:r>
            <w:r>
              <w:t xml:space="preserve"> and </w:t>
            </w:r>
            <w:r>
              <w:rPr>
                <w:rStyle w:val="Foreign"/>
              </w:rPr>
              <w:t>ā</w:t>
            </w:r>
            <w:r>
              <w:t xml:space="preserve"> markers</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FC1AE" w14:textId="77777777" w:rsidR="00431357" w:rsidRDefault="00431357" w:rsidP="002F2EE0">
            <w:pPr>
              <w:pStyle w:val="Tabletext"/>
              <w:rPr>
                <w:cs/>
              </w:rPr>
            </w:pP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5D155" w14:textId="77777777" w:rsidR="00431357" w:rsidRDefault="00431357" w:rsidP="002F2EE0">
            <w:pPr>
              <w:pStyle w:val="Tablet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C73CB" w14:textId="77777777" w:rsidR="00431357" w:rsidRDefault="00431357" w:rsidP="002F2EE0">
            <w:pPr>
              <w:pStyle w:val="Tabletext"/>
            </w:pPr>
            <w:r>
              <w:rPr>
                <w:rStyle w:val="Foreign"/>
              </w:rPr>
              <w:t>q</w:t>
            </w:r>
            <w:r>
              <w:rPr>
                <w:rStyle w:val="Foreign"/>
                <w:rFonts w:eastAsia="Arial"/>
              </w:rPr>
              <w:t>ə:</w:t>
            </w:r>
            <w:r>
              <w:rPr>
                <w:rStyle w:val="Lbjegyzet-hivatkozs"/>
              </w:rPr>
              <w:t xml:space="preserve"> </w:t>
            </w:r>
            <w:r>
              <w:rPr>
                <w:rStyle w:val="Lbjegyzet-hivatkozs"/>
              </w:rPr>
              <w:footnoteReference w:id="83"/>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30FFE" w14:textId="77777777" w:rsidR="00431357" w:rsidRDefault="00431357" w:rsidP="002F2EE0">
            <w:pPr>
              <w:pStyle w:val="Tabletext"/>
            </w:pP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97249" w14:textId="77777777" w:rsidR="00431357" w:rsidRDefault="00431357" w:rsidP="002F2EE0">
            <w:pPr>
              <w:pStyle w:val="Tabletext"/>
              <w:rPr>
                <w:rStyle w:val="Foreign"/>
              </w:rPr>
            </w:pPr>
            <w:r>
              <w:rPr>
                <w:rStyle w:val="Foreign"/>
              </w:rPr>
              <w:t>ə̄  Ə̄</w:t>
            </w:r>
          </w:p>
        </w:tc>
      </w:tr>
    </w:tbl>
    <w:p w14:paraId="55727BD2" w14:textId="77777777" w:rsidR="00431357" w:rsidRDefault="00431357" w:rsidP="00431357">
      <w:pPr>
        <w:pStyle w:val="Lista"/>
      </w:pPr>
      <w:r>
        <w:t>finally, note that when you are representing a Sanskrit name or loanword from an Old Khmer text in transcription, you should transcribe it as you would if the context were fully Sanskrit</w:t>
      </w:r>
    </w:p>
    <w:p w14:paraId="24050181" w14:textId="77777777" w:rsidR="00431357" w:rsidRDefault="00431357" w:rsidP="00431357">
      <w:pPr>
        <w:pStyle w:val="Lista2"/>
      </w:pPr>
      <w:r>
        <w:t>e.g., Amoghapura can remain Amoghapura, notwithstanding the facts</w:t>
      </w:r>
    </w:p>
    <w:p w14:paraId="6F178003" w14:textId="77777777" w:rsidR="00431357" w:rsidRDefault="00431357" w:rsidP="00431357">
      <w:pPr>
        <w:pStyle w:val="Lista3"/>
      </w:pPr>
      <w:r>
        <w:t>(1) that this name would have been pronounced by Khmer speakers with an initial glottal stop and</w:t>
      </w:r>
    </w:p>
    <w:p w14:paraId="7396DE3C" w14:textId="77777777" w:rsidR="00431357" w:rsidRDefault="00431357" w:rsidP="00431357">
      <w:pPr>
        <w:pStyle w:val="Lista3"/>
      </w:pPr>
      <w:r>
        <w:t xml:space="preserve">(2) that you would transcribe the same initial syllable as </w:t>
      </w:r>
      <w:r>
        <w:rPr>
          <w:rStyle w:val="Foreign"/>
        </w:rPr>
        <w:t>’a/qa</w:t>
      </w:r>
      <w:r>
        <w:t xml:space="preserve"> or  </w:t>
      </w:r>
      <w:r>
        <w:rPr>
          <w:rStyle w:val="Foreign"/>
        </w:rPr>
        <w:t>’A/qA</w:t>
      </w:r>
      <w:r>
        <w:t xml:space="preserve"> if it stood inside or at the beginning of a Khmer word or name</w:t>
      </w:r>
    </w:p>
    <w:p w14:paraId="7DD89A68" w14:textId="77777777" w:rsidR="00431357" w:rsidRDefault="00431357" w:rsidP="00431357">
      <w:pPr>
        <w:pStyle w:val="Cmsor3"/>
        <w:numPr>
          <w:ilvl w:val="2"/>
          <w:numId w:val="3"/>
        </w:numPr>
      </w:pPr>
      <w:bookmarkStart w:id="241" w:name="_Ref162447839"/>
      <w:bookmarkStart w:id="242" w:name="_Toc199757571"/>
      <w:bookmarkStart w:id="243" w:name="_Toc200963312"/>
      <w:r>
        <w:t>Independent vowel signs behaving like consonant signs</w:t>
      </w:r>
      <w:bookmarkEnd w:id="241"/>
      <w:bookmarkEnd w:id="242"/>
      <w:bookmarkEnd w:id="243"/>
    </w:p>
    <w:p w14:paraId="79A8764C" w14:textId="60776585" w:rsidR="00431357" w:rsidRDefault="00431357" w:rsidP="00431357">
      <w:pPr>
        <w:pStyle w:val="Lista"/>
      </w:pPr>
      <w:r>
        <w:t xml:space="preserve">this subsection is about vowel signs forming conjuncts with consonant signs, apart from the special case where the glyph for independent </w:t>
      </w:r>
      <w:r>
        <w:rPr>
          <w:rStyle w:val="Foreign"/>
        </w:rPr>
        <w:t>A</w:t>
      </w:r>
      <w:r>
        <w:t xml:space="preserve"> is repurposed as a vowel support, for which see §</w:t>
      </w:r>
      <w:r>
        <w:fldChar w:fldCharType="begin"/>
      </w:r>
      <w:r>
        <w:instrText xml:space="preserve"> REF _Ref17810731 \r \h </w:instrText>
      </w:r>
      <w:r>
        <w:fldChar w:fldCharType="separate"/>
      </w:r>
      <w:r w:rsidR="00CA5448">
        <w:t>4.5.2</w:t>
      </w:r>
      <w:r>
        <w:fldChar w:fldCharType="end"/>
      </w:r>
    </w:p>
    <w:p w14:paraId="4ECF3ED0" w14:textId="77777777" w:rsidR="00431357" w:rsidRDefault="00431357" w:rsidP="00431357">
      <w:pPr>
        <w:pStyle w:val="Lista"/>
        <w:rPr>
          <w:b/>
          <w:bCs/>
        </w:rPr>
      </w:pPr>
      <w:r>
        <w:rPr>
          <w:b/>
          <w:bCs/>
          <w:noProof/>
        </w:rPr>
        <w:drawing>
          <wp:anchor distT="0" distB="0" distL="114300" distR="114300" simplePos="0" relativeHeight="251678720" behindDoc="0" locked="0" layoutInCell="1" allowOverlap="1" wp14:anchorId="7A5ED4A5" wp14:editId="2310BB86">
            <wp:simplePos x="0" y="0"/>
            <wp:positionH relativeFrom="column">
              <wp:posOffset>5023443</wp:posOffset>
            </wp:positionH>
            <wp:positionV relativeFrom="paragraph">
              <wp:posOffset>-3175</wp:posOffset>
            </wp:positionV>
            <wp:extent cx="1137600" cy="540000"/>
            <wp:effectExtent l="0" t="0" r="5715" b="0"/>
            <wp:wrapSquare wrapText="bothSides"/>
            <wp:docPr id="11714780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76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where an independent vowel sign is conjoined to a consonant sign to form a ligature, as the second R̥ in the</w:t>
      </w:r>
      <w:r>
        <w:rPr>
          <w:b/>
          <w:bCs/>
          <w:noProof/>
        </w:rPr>
        <w:t xml:space="preserve"> </w:t>
      </w:r>
      <w:r>
        <w:rPr>
          <w:b/>
          <w:bCs/>
        </w:rPr>
        <w:t xml:space="preserve"> image on the right</w:t>
      </w:r>
    </w:p>
    <w:p w14:paraId="7FA99F7B" w14:textId="77777777" w:rsidR="00431357" w:rsidRDefault="00431357" w:rsidP="00431357">
      <w:pPr>
        <w:pStyle w:val="Lista2"/>
      </w:pPr>
      <w:r>
        <w:t>transliterate the vowel in uppercase to indicate that it is an independent vowel grapheme</w:t>
      </w:r>
    </w:p>
    <w:p w14:paraId="29581D6F" w14:textId="77777777" w:rsidR="00431357" w:rsidRDefault="00431357" w:rsidP="00431357">
      <w:pPr>
        <w:pStyle w:val="Lista2"/>
      </w:pPr>
      <w:r>
        <w:t xml:space="preserve">optionally use the = sign between the consonant and the vowel sign to indicate that the two are conjoined in an </w:t>
      </w:r>
      <w:r>
        <w:rPr>
          <w:rStyle w:val="Foreign"/>
        </w:rPr>
        <w:t>akṣara</w:t>
      </w:r>
    </w:p>
    <w:p w14:paraId="346DE698" w14:textId="77777777" w:rsidR="00431357" w:rsidRDefault="00431357" w:rsidP="00431357">
      <w:pPr>
        <w:pStyle w:val="Lista2"/>
      </w:pPr>
      <w:r>
        <w:t xml:space="preserve">thus, the text in the image is transliterated as </w:t>
      </w:r>
      <w:r>
        <w:rPr>
          <w:rStyle w:val="Foreign"/>
        </w:rPr>
        <w:t>maR̥k= R̥mpva</w:t>
      </w:r>
    </w:p>
    <w:p w14:paraId="773422B1" w14:textId="77777777" w:rsidR="00431357" w:rsidRDefault="00431357" w:rsidP="00431357">
      <w:pPr>
        <w:pStyle w:val="Lista"/>
      </w:pPr>
      <w:r>
        <w:rPr>
          <w:noProof/>
        </w:rPr>
        <w:drawing>
          <wp:anchor distT="0" distB="0" distL="114300" distR="114300" simplePos="0" relativeHeight="251677696" behindDoc="0" locked="0" layoutInCell="1" allowOverlap="1" wp14:anchorId="53F6C7A4" wp14:editId="3D55AEC0">
            <wp:simplePos x="0" y="0"/>
            <wp:positionH relativeFrom="margin">
              <wp:posOffset>4990260</wp:posOffset>
            </wp:positionH>
            <wp:positionV relativeFrom="paragraph">
              <wp:posOffset>73609</wp:posOffset>
            </wp:positionV>
            <wp:extent cx="1134000" cy="558000"/>
            <wp:effectExtent l="0" t="0" r="0" b="0"/>
            <wp:wrapSquare wrapText="bothSides"/>
            <wp:docPr id="615988498" name="Kép 61598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4000" cy="558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where an independent vowel sign is combined with a superscript </w:t>
      </w:r>
      <w:r>
        <w:rPr>
          <w:b/>
          <w:bCs/>
          <w:i/>
          <w:iCs/>
        </w:rPr>
        <w:t>r</w:t>
      </w:r>
      <w:r>
        <w:rPr>
          <w:b/>
          <w:bCs/>
        </w:rPr>
        <w:t xml:space="preserve"> marker</w:t>
      </w:r>
      <w:r>
        <w:t>, as in the Javanese example on the right</w:t>
      </w:r>
    </w:p>
    <w:p w14:paraId="2623D976" w14:textId="77777777" w:rsidR="00431357" w:rsidRDefault="00431357" w:rsidP="00431357">
      <w:pPr>
        <w:pStyle w:val="Lista2"/>
      </w:pPr>
      <w:r>
        <w:t>use an = sign between the transliterated characters to make it explicit that the transliteration is not a mistake (for an original text involving a final consonant, a zero vowel marker or a dependent vowel)</w:t>
      </w:r>
    </w:p>
    <w:p w14:paraId="485A52C4" w14:textId="77777777" w:rsidR="00431357" w:rsidRDefault="00431357" w:rsidP="00431357">
      <w:pPr>
        <w:pStyle w:val="Lista2"/>
      </w:pPr>
      <w:r>
        <w:t xml:space="preserve">thus, the text in the image is </w:t>
      </w:r>
      <w:r>
        <w:rPr>
          <w:rStyle w:val="Foreign"/>
        </w:rPr>
        <w:t>Umiṅsor= I</w:t>
      </w:r>
    </w:p>
    <w:p w14:paraId="4C260D4F" w14:textId="77777777" w:rsidR="00431357" w:rsidRDefault="00431357" w:rsidP="00431357">
      <w:pPr>
        <w:pStyle w:val="Cmsor2"/>
        <w:numPr>
          <w:ilvl w:val="1"/>
          <w:numId w:val="3"/>
        </w:numPr>
      </w:pPr>
      <w:bookmarkStart w:id="244" w:name="_Toc200963313"/>
      <w:r>
        <w:lastRenderedPageBreak/>
        <w:t>Other kinds of systemic variation</w:t>
      </w:r>
      <w:bookmarkEnd w:id="244"/>
    </w:p>
    <w:p w14:paraId="6AD95CF3" w14:textId="77777777" w:rsidR="00431357" w:rsidRDefault="00431357" w:rsidP="00431357">
      <w:pPr>
        <w:pStyle w:val="Cmsor3"/>
        <w:numPr>
          <w:ilvl w:val="2"/>
          <w:numId w:val="3"/>
        </w:numPr>
      </w:pPr>
      <w:bookmarkStart w:id="245" w:name="_y9z6zgvtcr89" w:colFirst="0" w:colLast="0"/>
      <w:bookmarkStart w:id="246" w:name="_gd5taio96c5" w:colFirst="0" w:colLast="0"/>
      <w:bookmarkStart w:id="247" w:name="_ehbz2lfh7tyw" w:colFirst="0" w:colLast="0"/>
      <w:bookmarkStart w:id="248" w:name="_3d3e9odqzwx0" w:colFirst="0" w:colLast="0"/>
      <w:bookmarkStart w:id="249" w:name="_Ref15558434"/>
      <w:bookmarkStart w:id="250" w:name="_Toc17811435"/>
      <w:bookmarkStart w:id="251" w:name="_Toc17811490"/>
      <w:bookmarkStart w:id="252" w:name="_Toc199757566"/>
      <w:bookmarkStart w:id="253" w:name="_Toc200963314"/>
      <w:bookmarkStart w:id="254" w:name="_Toc17811436"/>
      <w:bookmarkStart w:id="255" w:name="_Toc17811491"/>
      <w:bookmarkStart w:id="256" w:name="_Ref15558460"/>
      <w:bookmarkEnd w:id="245"/>
      <w:bookmarkEnd w:id="246"/>
      <w:bookmarkEnd w:id="247"/>
      <w:bookmarkEnd w:id="248"/>
      <w:r>
        <w:t>Repurposed vowel markers</w:t>
      </w:r>
      <w:bookmarkEnd w:id="249"/>
      <w:bookmarkEnd w:id="250"/>
      <w:bookmarkEnd w:id="251"/>
      <w:bookmarkEnd w:id="252"/>
      <w:bookmarkEnd w:id="253"/>
    </w:p>
    <w:p w14:paraId="2FCFBA88" w14:textId="15871C57" w:rsidR="00431357" w:rsidRDefault="00431357" w:rsidP="00431357">
      <w:pPr>
        <w:pStyle w:val="Lista"/>
      </w:pPr>
      <w:r>
        <w:t>this subsection is about the deliberate and consistent use of vowel markers for a purpose other than their ancestral function; see also §</w:t>
      </w:r>
      <w:r>
        <w:fldChar w:fldCharType="begin"/>
      </w:r>
      <w:r>
        <w:instrText xml:space="preserve"> REF _Ref162445252 \r \h </w:instrText>
      </w:r>
      <w:r>
        <w:fldChar w:fldCharType="separate"/>
      </w:r>
      <w:r w:rsidR="00CA5448">
        <w:t>4.8.1</w:t>
      </w:r>
      <w:r>
        <w:fldChar w:fldCharType="end"/>
      </w:r>
      <w:r>
        <w:t xml:space="preserve"> about other circumstances in which an </w:t>
      </w:r>
      <w:r>
        <w:rPr>
          <w:rStyle w:val="Foreign"/>
        </w:rPr>
        <w:t>akṣara</w:t>
      </w:r>
      <w:r>
        <w:t xml:space="preserve"> may have more than one vowel marker</w:t>
      </w:r>
    </w:p>
    <w:p w14:paraId="4F33CEBE" w14:textId="77777777" w:rsidR="00431357" w:rsidRDefault="00431357" w:rsidP="00431357">
      <w:pPr>
        <w:pStyle w:val="Lista"/>
      </w:pPr>
      <w:r>
        <w:t xml:space="preserve">for the </w:t>
      </w:r>
      <w:r>
        <w:rPr>
          <w:rStyle w:val="Foreign"/>
          <w:rFonts w:eastAsia="Tahoma"/>
          <w:b/>
          <w:bCs/>
        </w:rPr>
        <w:t>ā</w:t>
      </w:r>
      <w:r>
        <w:rPr>
          <w:rFonts w:eastAsia="Tahoma"/>
          <w:b/>
          <w:bCs/>
        </w:rPr>
        <w:t xml:space="preserve"> marker</w:t>
      </w:r>
      <w:r>
        <w:rPr>
          <w:rFonts w:eastAsia="Tahoma"/>
        </w:rPr>
        <w:t xml:space="preserve"> (</w:t>
      </w:r>
      <w:r>
        <w:t xml:space="preserve">Javanese </w:t>
      </w:r>
      <w:r>
        <w:rPr>
          <w:rStyle w:val="Foreign"/>
        </w:rPr>
        <w:t>tarung</w:t>
      </w:r>
      <w:r>
        <w:t xml:space="preserve">, Balinese </w:t>
      </w:r>
      <w:r>
        <w:rPr>
          <w:rStyle w:val="Foreign"/>
        </w:rPr>
        <w:t>tedong</w:t>
      </w:r>
      <w:r>
        <w:t xml:space="preserve">) </w:t>
      </w:r>
      <w:r>
        <w:rPr>
          <w:rFonts w:eastAsia="Tahoma"/>
        </w:rPr>
        <w:t>used as a marker of vowel length or consonant doubling in Indonesian texts:</w:t>
      </w:r>
    </w:p>
    <w:p w14:paraId="118F38FA" w14:textId="77777777" w:rsidR="00431357" w:rsidRDefault="00431357" w:rsidP="00431357">
      <w:pPr>
        <w:pStyle w:val="Lista2"/>
        <w:rPr>
          <w:rFonts w:eastAsia="Tahoma"/>
        </w:rPr>
      </w:pPr>
      <w:r>
        <w:rPr>
          <w:rFonts w:eastAsia="Tahoma"/>
        </w:rPr>
        <w:t xml:space="preserve">when used in conjunction with another vowel marker to transform the latter into a long vowel, </w:t>
      </w:r>
      <w:r>
        <w:t xml:space="preserve">mandatorily </w:t>
      </w:r>
      <w:r>
        <w:rPr>
          <w:rFonts w:eastAsia="Tahoma"/>
        </w:rPr>
        <w:t>type a colon (:) after the short vowel to transliterate the length marker</w:t>
      </w:r>
    </w:p>
    <w:p w14:paraId="3E897C27" w14:textId="5077D974" w:rsidR="00431357" w:rsidRDefault="00431357" w:rsidP="00431357">
      <w:pPr>
        <w:pStyle w:val="Lista3"/>
      </w:pPr>
      <w:r>
        <w:rPr>
          <w:noProof/>
        </w:rPr>
        <w:drawing>
          <wp:anchor distT="0" distB="0" distL="114300" distR="114300" simplePos="0" relativeHeight="251666432" behindDoc="1" locked="0" layoutInCell="1" allowOverlap="1" wp14:anchorId="1B1DE33B" wp14:editId="64A2FBFD">
            <wp:simplePos x="0" y="0"/>
            <wp:positionH relativeFrom="column">
              <wp:posOffset>5250180</wp:posOffset>
            </wp:positionH>
            <wp:positionV relativeFrom="paragraph">
              <wp:posOffset>-1270</wp:posOffset>
            </wp:positionV>
            <wp:extent cx="868680" cy="457200"/>
            <wp:effectExtent l="0" t="0" r="7620" b="0"/>
            <wp:wrapTight wrapText="bothSides">
              <wp:wrapPolygon edited="0">
                <wp:start x="0" y="0"/>
                <wp:lineTo x="0" y="20700"/>
                <wp:lineTo x="21316" y="20700"/>
                <wp:lineTo x="21316"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e.g. </w:t>
      </w:r>
      <w:r>
        <w:rPr>
          <w:rStyle w:val="Foreign"/>
        </w:rPr>
        <w:t>qə:bni pilaṁ</w:t>
      </w:r>
      <w:r>
        <w:t xml:space="preserve"> for the image on the right (see also §</w:t>
      </w:r>
      <w:r>
        <w:fldChar w:fldCharType="begin"/>
      </w:r>
      <w:r>
        <w:instrText xml:space="preserve"> REF _Ref17810731 \r \h </w:instrText>
      </w:r>
      <w:r>
        <w:fldChar w:fldCharType="separate"/>
      </w:r>
      <w:r w:rsidR="00CA5448">
        <w:t>4.5.2</w:t>
      </w:r>
      <w:r>
        <w:fldChar w:fldCharType="end"/>
      </w:r>
      <w:r>
        <w:t xml:space="preserve"> about the vowel support)</w:t>
      </w:r>
    </w:p>
    <w:p w14:paraId="3B6CB9E3" w14:textId="77777777" w:rsidR="00431357" w:rsidRDefault="00431357" w:rsidP="00431357">
      <w:pPr>
        <w:pStyle w:val="Lista2"/>
        <w:rPr>
          <w:rFonts w:eastAsia="Tahoma"/>
        </w:rPr>
      </w:pPr>
      <w:r>
        <w:rPr>
          <w:rFonts w:eastAsia="Tahoma"/>
        </w:rPr>
        <w:t xml:space="preserve">when representing a doubling of the consonant component of the </w:t>
      </w:r>
      <w:r>
        <w:rPr>
          <w:rStyle w:val="Foreign"/>
          <w:rFonts w:eastAsia="Tahoma"/>
        </w:rPr>
        <w:t>akṣara</w:t>
      </w:r>
      <w:r>
        <w:rPr>
          <w:rFonts w:eastAsia="Tahoma"/>
        </w:rPr>
        <w:t xml:space="preserve"> to which it is attached, </w:t>
      </w:r>
      <w:r>
        <w:t xml:space="preserve">mandatorily </w:t>
      </w:r>
      <w:r>
        <w:rPr>
          <w:rFonts w:eastAsia="Tahoma"/>
        </w:rPr>
        <w:t>transliterate this by typing a colon (:) after the transliterated consonant to which the doubling pertains, even if it is not adjacent to the length marker in the original script, e.g. Old Sundanese</w:t>
      </w:r>
    </w:p>
    <w:p w14:paraId="55240B83" w14:textId="77777777" w:rsidR="00431357" w:rsidRDefault="00431357" w:rsidP="00431357">
      <w:pPr>
        <w:pStyle w:val="Lista3"/>
        <w:rPr>
          <w:rFonts w:eastAsia="Tahoma"/>
        </w:rPr>
      </w:pPr>
      <w:r>
        <w:rPr>
          <w:rStyle w:val="ImageInsetSundanese"/>
        </w:rPr>
        <w:drawing>
          <wp:inline distT="0" distB="0" distL="0" distR="0" wp14:anchorId="5BAA0388" wp14:editId="24566474">
            <wp:extent cx="536400" cy="180000"/>
            <wp:effectExtent l="0" t="0" r="0" b="0"/>
            <wp:docPr id="3" name="Picture 3" descr="Macintosh HD:Users:username:Documents:PHILOLOGY PROJECT:Edisi Bhīmaswarga:BS Cahier d'Archipel: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name:Documents:PHILOLOGY PROJECT:Edisi Bhīmaswarga:BS Cahier d'Archipel:Figure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400" cy="180000"/>
                    </a:xfrm>
                    <a:prstGeom prst="rect">
                      <a:avLst/>
                    </a:prstGeom>
                    <a:noFill/>
                    <a:ln>
                      <a:noFill/>
                    </a:ln>
                  </pic:spPr>
                </pic:pic>
              </a:graphicData>
            </a:graphic>
          </wp:inline>
        </w:drawing>
      </w:r>
      <w:r>
        <w:rPr>
          <w:rFonts w:eastAsia="Tahoma"/>
        </w:rPr>
        <w:t xml:space="preserve"> </w:t>
      </w:r>
      <w:r>
        <w:rPr>
          <w:noProof/>
          <w:lang w:val="en-US"/>
        </w:rPr>
        <w:t>(pronounce /</w:t>
      </w:r>
      <w:r>
        <w:rPr>
          <w:rStyle w:val="Foreign"/>
        </w:rPr>
        <w:t>gәnәp pipitu</w:t>
      </w:r>
      <w:r>
        <w:t xml:space="preserve">/, </w:t>
      </w:r>
      <w:r>
        <w:rPr>
          <w:noProof/>
          <w:lang w:val="en-US"/>
        </w:rPr>
        <w:t xml:space="preserve">“fully seven”) </w:t>
      </w:r>
      <w:r>
        <w:rPr>
          <w:rFonts w:eastAsia="Tahoma"/>
        </w:rPr>
        <w:t xml:space="preserve">is to be transliterated as </w:t>
      </w:r>
      <w:r>
        <w:rPr>
          <w:rStyle w:val="Foreign"/>
        </w:rPr>
        <w:t>gnәp:ipitu</w:t>
      </w:r>
      <w:r>
        <w:rPr>
          <w:i/>
          <w:noProof/>
          <w:lang w:val="en-US"/>
        </w:rPr>
        <w:t xml:space="preserve"> </w:t>
      </w:r>
    </w:p>
    <w:p w14:paraId="62DA7675" w14:textId="77777777" w:rsidR="00431357" w:rsidRPr="00CB3143" w:rsidRDefault="00431357" w:rsidP="00431357">
      <w:pPr>
        <w:pStyle w:val="Lista3"/>
        <w:rPr>
          <w:rStyle w:val="Foreign"/>
          <w:rFonts w:eastAsia="Tahoma"/>
          <w:i w:val="0"/>
          <w:iCs w:val="0"/>
          <w:noProof w:val="0"/>
        </w:rPr>
      </w:pPr>
      <w:r>
        <w:rPr>
          <w:noProof/>
        </w:rPr>
        <w:drawing>
          <wp:anchor distT="0" distB="0" distL="114300" distR="114300" simplePos="0" relativeHeight="251663360" behindDoc="1" locked="0" layoutInCell="1" allowOverlap="1" wp14:anchorId="21588D22" wp14:editId="37281219">
            <wp:simplePos x="0" y="0"/>
            <wp:positionH relativeFrom="margin">
              <wp:align>right</wp:align>
            </wp:positionH>
            <wp:positionV relativeFrom="paragraph">
              <wp:posOffset>40640</wp:posOffset>
            </wp:positionV>
            <wp:extent cx="763200" cy="342000"/>
            <wp:effectExtent l="0" t="0" r="0" b="1270"/>
            <wp:wrapTight wrapText="bothSides">
              <wp:wrapPolygon edited="0">
                <wp:start x="0" y="0"/>
                <wp:lineTo x="0" y="20476"/>
                <wp:lineTo x="21042" y="20476"/>
                <wp:lineTo x="21042"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63200" cy="34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ahoma"/>
        </w:rPr>
        <w:t>the image on the right (/</w:t>
      </w:r>
      <w:r>
        <w:rPr>
          <w:rStyle w:val="Foreign"/>
        </w:rPr>
        <w:t>turut tvaḥna</w:t>
      </w:r>
      <w:r>
        <w:rPr>
          <w:rFonts w:eastAsia="Tahoma"/>
        </w:rPr>
        <w:t xml:space="preserve">/, “You should follow his behaviour”) is to be transliterated as </w:t>
      </w:r>
      <w:r>
        <w:rPr>
          <w:rStyle w:val="Foreign"/>
        </w:rPr>
        <w:t>turut:vaḥna</w:t>
      </w:r>
    </w:p>
    <w:p w14:paraId="40A9A253" w14:textId="05D6157A" w:rsidR="00CB3143" w:rsidRDefault="00CB3143" w:rsidP="00CB3143">
      <w:pPr>
        <w:pStyle w:val="Lista2"/>
      </w:pPr>
      <w:r>
        <w:t>@refer to §</w:t>
      </w:r>
      <w:r>
        <w:fldChar w:fldCharType="begin"/>
      </w:r>
      <w:r>
        <w:instrText xml:space="preserve"> REF _Ref15558380 \r \h </w:instrText>
      </w:r>
      <w:r>
        <w:fldChar w:fldCharType="separate"/>
      </w:r>
      <w:r w:rsidR="00CA5448">
        <w:t>3.7</w:t>
      </w:r>
      <w:r>
        <w:fldChar w:fldCharType="end"/>
      </w:r>
      <w:r>
        <w:t xml:space="preserve"> about the disambiguation colon and mention:</w:t>
      </w:r>
    </w:p>
    <w:p w14:paraId="5DF87D12" w14:textId="196FEC7A" w:rsidR="00CB3143" w:rsidRDefault="00CB3143" w:rsidP="00CB3143">
      <w:pPr>
        <w:pStyle w:val="Lista3"/>
      </w:pPr>
      <w:r>
        <w:t>this is a slight inconsistency in the system which we find tolerable against the gain of providing easy keyboard access and intuitive interpretability for the length marker</w:t>
      </w:r>
    </w:p>
    <w:p w14:paraId="3F0F84A8" w14:textId="0239B83D" w:rsidR="00CB3143" w:rsidRDefault="00FA7FDE" w:rsidP="00CB3143">
      <w:pPr>
        <w:pStyle w:val="Lista3"/>
      </w:pPr>
      <w:r>
        <w:t xml:space="preserve">if in any text or corpus an ambiguity should arise (i.e. both the disambiguation colon and the length marker colon need to be present), use the IPA triangular colon </w:t>
      </w:r>
      <w:r w:rsidRPr="00FA7FDE">
        <w:t>ː</w:t>
      </w:r>
      <w:r>
        <w:t xml:space="preserve"> (</w:t>
      </w:r>
      <w:r w:rsidRPr="00FA7FDE">
        <w:rPr>
          <w:rStyle w:val="Code"/>
        </w:rPr>
        <w:t>U+02D0</w:t>
      </w:r>
      <w:r>
        <w:t>) for the length marker</w:t>
      </w:r>
    </w:p>
    <w:p w14:paraId="71FF467C" w14:textId="77777777" w:rsidR="00431357" w:rsidRDefault="00431357" w:rsidP="00431357">
      <w:pPr>
        <w:pStyle w:val="Lista"/>
      </w:pPr>
      <w:r>
        <w:rPr>
          <w:rStyle w:val="Foreign"/>
        </w:rPr>
        <w:drawing>
          <wp:anchor distT="0" distB="0" distL="114300" distR="114300" simplePos="0" relativeHeight="251660288" behindDoc="0" locked="0" layoutInCell="1" allowOverlap="1" wp14:anchorId="5B7B301A" wp14:editId="1FF13BCD">
            <wp:simplePos x="0" y="0"/>
            <wp:positionH relativeFrom="margin">
              <wp:align>right</wp:align>
            </wp:positionH>
            <wp:positionV relativeFrom="paragraph">
              <wp:posOffset>75489</wp:posOffset>
            </wp:positionV>
            <wp:extent cx="313200" cy="446400"/>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3200" cy="446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the </w:t>
      </w:r>
      <w:r>
        <w:rPr>
          <w:b/>
          <w:bCs/>
        </w:rPr>
        <w:t xml:space="preserve">vowel markers </w:t>
      </w:r>
      <w:r>
        <w:rPr>
          <w:rStyle w:val="Foreign"/>
          <w:b/>
          <w:bCs/>
        </w:rPr>
        <w:t>u/ū</w:t>
      </w:r>
      <w:r>
        <w:rPr>
          <w:b/>
          <w:bCs/>
        </w:rPr>
        <w:t xml:space="preserve"> and </w:t>
      </w:r>
      <w:r>
        <w:rPr>
          <w:rStyle w:val="Foreign"/>
          <w:b/>
          <w:bCs/>
        </w:rPr>
        <w:t>i</w:t>
      </w:r>
      <w:r>
        <w:t xml:space="preserve"> used together to represent a particular phoneme in Khmer, Burmese and Mon (as in the Khmer character shown in the image):</w:t>
      </w:r>
    </w:p>
    <w:p w14:paraId="693FF709" w14:textId="77777777" w:rsidR="00431357" w:rsidRDefault="00431357" w:rsidP="00431357">
      <w:pPr>
        <w:pStyle w:val="Lista2"/>
      </w:pPr>
      <w:r>
        <w:t xml:space="preserve">mandatorily transliterate the vocalisation as </w:t>
      </w:r>
      <w:r>
        <w:rPr>
          <w:rStyle w:val="Foreign"/>
        </w:rPr>
        <w:t>ui</w:t>
      </w:r>
      <w:r>
        <w:t xml:space="preserve"> or </w:t>
      </w:r>
      <w:r>
        <w:rPr>
          <w:rStyle w:val="Foreign"/>
        </w:rPr>
        <w:t>ūi</w:t>
      </w:r>
    </w:p>
    <w:p w14:paraId="55F4F500" w14:textId="77777777" w:rsidR="00431357" w:rsidRDefault="00431357" w:rsidP="00431357">
      <w:pPr>
        <w:pStyle w:val="Lista2"/>
        <w:rPr>
          <w:rFonts w:eastAsia="Tahoma"/>
        </w:rPr>
      </w:pPr>
      <w:r>
        <w:rPr>
          <w:rFonts w:eastAsia="Tahoma"/>
        </w:rPr>
        <w:t xml:space="preserve">however, the deliberate use of </w:t>
      </w:r>
      <w:r>
        <w:rPr>
          <w:rStyle w:val="Foreign"/>
          <w:rFonts w:eastAsia="Tahoma"/>
        </w:rPr>
        <w:t>u</w:t>
      </w:r>
      <w:r>
        <w:rPr>
          <w:rFonts w:eastAsia="Tahoma"/>
        </w:rPr>
        <w:t xml:space="preserve"> and </w:t>
      </w:r>
      <w:r>
        <w:rPr>
          <w:rStyle w:val="Foreign"/>
          <w:rFonts w:eastAsia="Tahoma"/>
        </w:rPr>
        <w:t>i</w:t>
      </w:r>
      <w:r>
        <w:rPr>
          <w:rFonts w:eastAsia="Tahoma"/>
        </w:rPr>
        <w:t xml:space="preserve"> markers in conjunction to signify deletion belongs in the domain of markup (see </w:t>
      </w:r>
      <w:r>
        <w:t xml:space="preserve">EGD </w:t>
      </w:r>
      <w:r>
        <w:rPr>
          <w:rFonts w:eastAsia="Tahoma"/>
        </w:rPr>
        <w:t>§4.5.1), not that of transliteration</w:t>
      </w:r>
    </w:p>
    <w:p w14:paraId="3167EDF2" w14:textId="77777777" w:rsidR="00431357" w:rsidRDefault="00431357" w:rsidP="00431357">
      <w:pPr>
        <w:pStyle w:val="Cmsor3"/>
        <w:numPr>
          <w:ilvl w:val="2"/>
          <w:numId w:val="3"/>
        </w:numPr>
      </w:pPr>
      <w:bookmarkStart w:id="257" w:name="_8gpvi1clotas" w:colFirst="0" w:colLast="0"/>
      <w:bookmarkStart w:id="258" w:name="_Ref17795443"/>
      <w:bookmarkStart w:id="259" w:name="_Toc17811440"/>
      <w:bookmarkStart w:id="260" w:name="_Toc17811495"/>
      <w:bookmarkStart w:id="261" w:name="_Toc199757568"/>
      <w:bookmarkStart w:id="262" w:name="_Toc200963315"/>
      <w:bookmarkEnd w:id="254"/>
      <w:bookmarkEnd w:id="255"/>
      <w:bookmarkEnd w:id="256"/>
      <w:bookmarkEnd w:id="257"/>
      <w:r>
        <w:t>Characters with alternative or optional phonemic values</w:t>
      </w:r>
      <w:bookmarkEnd w:id="258"/>
      <w:bookmarkEnd w:id="259"/>
      <w:bookmarkEnd w:id="260"/>
      <w:bookmarkEnd w:id="261"/>
      <w:bookmarkEnd w:id="262"/>
    </w:p>
    <w:p w14:paraId="7B203ACC" w14:textId="77777777" w:rsidR="00431357" w:rsidRDefault="00431357" w:rsidP="00431357">
      <w:pPr>
        <w:pStyle w:val="Lista"/>
      </w:pPr>
      <w:r>
        <w:t>some writing systems may use certain glyphs to represent more than one phoneme or sequence of phonemes, or may use a non-alphabetic sign in an alphabetic function</w:t>
      </w:r>
      <w:r>
        <w:rPr>
          <w:rStyle w:val="Lbjegyzet-hivatkozs"/>
        </w:rPr>
        <w:footnoteReference w:id="84"/>
      </w:r>
    </w:p>
    <w:p w14:paraId="1E7C94CE" w14:textId="77777777" w:rsidR="00431357" w:rsidRDefault="00431357" w:rsidP="00431357">
      <w:pPr>
        <w:pStyle w:val="Lista2"/>
      </w:pPr>
      <w:r>
        <w:rPr>
          <w:b/>
          <w:bCs/>
        </w:rPr>
        <w:t>in strict transliteration</w:t>
      </w:r>
      <w:r>
        <w:t>, always prioritise the primary value of such glyphs</w:t>
      </w:r>
    </w:p>
    <w:p w14:paraId="2C655D82" w14:textId="77777777" w:rsidR="00431357" w:rsidRDefault="00431357" w:rsidP="00431357">
      <w:pPr>
        <w:pStyle w:val="Lista2"/>
      </w:pPr>
      <w:r>
        <w:rPr>
          <w:b/>
          <w:bCs/>
        </w:rPr>
        <w:t>in loose transliteration</w:t>
      </w:r>
      <w:r>
        <w:t>, however, it is preferable to transcribe the phonemic value intended in the context</w:t>
      </w:r>
    </w:p>
    <w:p w14:paraId="47C10052" w14:textId="77777777" w:rsidR="00431357" w:rsidRDefault="00431357" w:rsidP="00431357">
      <w:pPr>
        <w:pStyle w:val="Lista2"/>
      </w:pPr>
      <w:r>
        <w:rPr>
          <w:b/>
          <w:bCs/>
        </w:rPr>
        <w:t>in an EpiDoc edition</w:t>
      </w:r>
      <w:r>
        <w:t>, you may add XML markup to normalise the transliterated primary value to a transcription of the intended value (see EGD §6.3 on editorial normalisation)</w:t>
      </w:r>
    </w:p>
    <w:p w14:paraId="52361730" w14:textId="77777777" w:rsidR="00431357" w:rsidRDefault="00431357" w:rsidP="00431357">
      <w:pPr>
        <w:pStyle w:val="Lista"/>
      </w:pPr>
      <w:r>
        <w:t>some specific examples:</w:t>
      </w:r>
    </w:p>
    <w:p w14:paraId="00247EA2" w14:textId="77777777" w:rsidR="00431357" w:rsidRDefault="00431357" w:rsidP="00431357">
      <w:pPr>
        <w:pStyle w:val="Lista2"/>
      </w:pPr>
      <w:r>
        <w:t xml:space="preserve">when the glyph </w:t>
      </w:r>
      <w:r>
        <w:rPr>
          <w:rStyle w:val="ImageInsetSundanese"/>
        </w:rPr>
        <w:drawing>
          <wp:inline distT="0" distB="0" distL="0" distR="0" wp14:anchorId="048FDF99" wp14:editId="1E81A5EF">
            <wp:extent cx="208800" cy="180000"/>
            <wp:effectExtent l="0" t="0" r="1270" b="0"/>
            <wp:docPr id="5" name="Picture 5" descr="Macintosh HD:Users:username:Documents:PHILOLOGY PROJECT:Edisi Bhīmaswarga:BS Cahier d'Archipel:tr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name:Documents:PHILOLOGY PROJECT:Edisi Bhīmaswarga:BS Cahier d'Archipel:tra_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800" cy="180000"/>
                    </a:xfrm>
                    <a:prstGeom prst="rect">
                      <a:avLst/>
                    </a:prstGeom>
                    <a:noFill/>
                    <a:ln>
                      <a:noFill/>
                    </a:ln>
                  </pic:spPr>
                </pic:pic>
              </a:graphicData>
            </a:graphic>
          </wp:inline>
        </w:drawing>
      </w:r>
      <w:r>
        <w:t xml:space="preserve"> </w:t>
      </w:r>
      <w:r>
        <w:rPr>
          <w:rStyle w:val="Foreign"/>
        </w:rPr>
        <w:t>ṭā</w:t>
      </w:r>
      <w:r>
        <w:t xml:space="preserve"> is used in Old Sundanese to represent the phonemes /tra/, transliterate it as </w:t>
      </w:r>
      <w:r>
        <w:rPr>
          <w:rStyle w:val="Foreign"/>
        </w:rPr>
        <w:t>ṭā</w:t>
      </w:r>
      <w:r>
        <w:t xml:space="preserve">, but in loose transliteration transcribe it as </w:t>
      </w:r>
      <w:r>
        <w:rPr>
          <w:rStyle w:val="Foreign"/>
        </w:rPr>
        <w:t>tra</w:t>
      </w:r>
      <w:r>
        <w:t>, e.g.</w:t>
      </w:r>
    </w:p>
    <w:p w14:paraId="131AB970" w14:textId="77777777" w:rsidR="00431357" w:rsidRDefault="00431357" w:rsidP="00431357">
      <w:pPr>
        <w:pStyle w:val="Lista3"/>
      </w:pPr>
      <w:r>
        <w:rPr>
          <w:rStyle w:val="ImageInsetSundanese"/>
        </w:rPr>
        <w:drawing>
          <wp:inline distT="0" distB="0" distL="0" distR="0" wp14:anchorId="6EC781E3" wp14:editId="76CEC6EA">
            <wp:extent cx="424800" cy="180000"/>
            <wp:effectExtent l="0" t="0" r="0" b="0"/>
            <wp:docPr id="6" name="Picture 6" descr="Macintosh HD:Users:username:Pictures:Naskah Nusantara:Perpusnas:Bima Swarga:Bhīma Swarga 623 P 16:sa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sername:Pictures:Naskah Nusantara:Perpusnas:Bima Swarga:Bhīma Swarga 623 P 16:sast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4800" cy="180000"/>
                    </a:xfrm>
                    <a:prstGeom prst="rect">
                      <a:avLst/>
                    </a:prstGeom>
                    <a:noFill/>
                    <a:ln>
                      <a:noFill/>
                    </a:ln>
                  </pic:spPr>
                </pic:pic>
              </a:graphicData>
            </a:graphic>
          </wp:inline>
        </w:drawing>
      </w:r>
      <w:r>
        <w:t xml:space="preserve"> – strict: </w:t>
      </w:r>
      <w:r>
        <w:rPr>
          <w:rStyle w:val="Foreign"/>
        </w:rPr>
        <w:t>sasṭā</w:t>
      </w:r>
      <w:r>
        <w:t xml:space="preserve">; loose: </w:t>
      </w:r>
      <w:r>
        <w:rPr>
          <w:rStyle w:val="Foreign"/>
        </w:rPr>
        <w:t>sastra</w:t>
      </w:r>
    </w:p>
    <w:p w14:paraId="0348B417" w14:textId="77777777" w:rsidR="00431357" w:rsidRDefault="00431357" w:rsidP="00431357">
      <w:pPr>
        <w:pStyle w:val="Lista2"/>
      </w:pPr>
      <w:r>
        <w:t xml:space="preserve">when a vowel marker added to a ligature with subscript </w:t>
      </w:r>
      <w:r>
        <w:rPr>
          <w:rStyle w:val="Foreign"/>
        </w:rPr>
        <w:t>y</w:t>
      </w:r>
      <w:r>
        <w:t xml:space="preserve"> is intended to be pronounced before the </w:t>
      </w:r>
      <w:r>
        <w:rPr>
          <w:rStyle w:val="Foreign"/>
        </w:rPr>
        <w:t>y</w:t>
      </w:r>
      <w:r>
        <w:t xml:space="preserve"> (and after the primary consonant) in Old Sundanese, write the transliterated vowel after the </w:t>
      </w:r>
      <w:r>
        <w:rPr>
          <w:rStyle w:val="Foreign"/>
        </w:rPr>
        <w:t>y</w:t>
      </w:r>
      <w:r>
        <w:t xml:space="preserve"> in strict transliteration, but transcribe in the intended order when using loose transliteration, e.g.</w:t>
      </w:r>
    </w:p>
    <w:p w14:paraId="17319342" w14:textId="77777777" w:rsidR="00431357" w:rsidRDefault="00431357" w:rsidP="00431357">
      <w:pPr>
        <w:pStyle w:val="Lista3"/>
      </w:pPr>
      <w:r>
        <w:rPr>
          <w:rStyle w:val="ImageInsetSundanese"/>
        </w:rPr>
        <w:lastRenderedPageBreak/>
        <w:drawing>
          <wp:inline distT="0" distB="0" distL="0" distR="0" wp14:anchorId="75B1FD1C" wp14:editId="48480FFC">
            <wp:extent cx="622800" cy="180000"/>
            <wp:effectExtent l="0" t="0" r="6350" b="0"/>
            <wp:docPr id="16" name="Picture 16" descr="Macintosh HD:Users:username:Pictures:Naskah Nusantara:Perpusnas:L 621 P15:ku nu r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name:Pictures:Naskah Nusantara:Perpusnas:L 621 P15:ku nu ry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2800" cy="180000"/>
                    </a:xfrm>
                    <a:prstGeom prst="rect">
                      <a:avLst/>
                    </a:prstGeom>
                    <a:noFill/>
                    <a:ln>
                      <a:noFill/>
                    </a:ln>
                  </pic:spPr>
                </pic:pic>
              </a:graphicData>
            </a:graphic>
          </wp:inline>
        </w:drawing>
      </w:r>
      <w:r>
        <w:t xml:space="preserve"> – strict: </w:t>
      </w:r>
      <w:r>
        <w:rPr>
          <w:rStyle w:val="Foreign"/>
        </w:rPr>
        <w:t>ku nu rye</w:t>
      </w:r>
      <w:r>
        <w:t xml:space="preserve">; loose: </w:t>
      </w:r>
      <w:r>
        <w:rPr>
          <w:rStyle w:val="Foreign"/>
        </w:rPr>
        <w:t>ku nu reya</w:t>
      </w:r>
      <w:r>
        <w:t xml:space="preserve"> (“by many [people]”)</w:t>
      </w:r>
    </w:p>
    <w:p w14:paraId="63EAF9CA" w14:textId="77777777" w:rsidR="00431357" w:rsidRDefault="00431357" w:rsidP="00431357">
      <w:pPr>
        <w:pStyle w:val="Lista3"/>
      </w:pPr>
      <w:r>
        <w:t xml:space="preserve">strict: </w:t>
      </w:r>
      <w:r>
        <w:rPr>
          <w:rStyle w:val="Foreign"/>
        </w:rPr>
        <w:t>rahyiṁ</w:t>
      </w:r>
      <w:r>
        <w:t xml:space="preserve">; loose: </w:t>
      </w:r>
      <w:r>
        <w:rPr>
          <w:rStyle w:val="Foreign"/>
        </w:rPr>
        <w:t>rahiyaṅ</w:t>
      </w:r>
      <w:r>
        <w:t xml:space="preserve"> (with </w:t>
      </w:r>
      <w:r>
        <w:rPr>
          <w:rStyle w:val="Foreign"/>
        </w:rPr>
        <w:t>anusvāra</w:t>
      </w:r>
      <w:r>
        <w:t xml:space="preserve"> normalised to </w:t>
      </w:r>
      <w:r>
        <w:rPr>
          <w:rStyle w:val="Foreign"/>
        </w:rPr>
        <w:t>ṅ</w:t>
      </w:r>
      <w:r>
        <w:t>)</w:t>
      </w:r>
    </w:p>
    <w:p w14:paraId="487DA0DE" w14:textId="77777777" w:rsidR="00431357" w:rsidRDefault="00431357" w:rsidP="00431357">
      <w:pPr>
        <w:pStyle w:val="Lista2"/>
      </w:pPr>
      <w:r>
        <w:t xml:space="preserve">when </w:t>
      </w:r>
      <w:bookmarkStart w:id="263" w:name="_Hlk44319749"/>
      <w:r>
        <w:t>the numeral 2 is used in Old Sundanese to represent the phonemes /ro/</w:t>
      </w:r>
      <w:bookmarkEnd w:id="263"/>
      <w:r>
        <w:t xml:space="preserve">, represent it as 2 in strict transliteration (as per EGD §4.2.7, without adding the XML markup prescribed for numerals proper in EGD §7.1), but use </w:t>
      </w:r>
      <w:r>
        <w:rPr>
          <w:rStyle w:val="Foreign"/>
        </w:rPr>
        <w:t>ro</w:t>
      </w:r>
      <w:r>
        <w:t xml:space="preserve"> in loose transliteration</w:t>
      </w:r>
    </w:p>
    <w:p w14:paraId="16913294" w14:textId="77777777" w:rsidR="00431357" w:rsidRDefault="00431357" w:rsidP="00431357">
      <w:pPr>
        <w:pStyle w:val="Lista3"/>
      </w:pPr>
      <w:r>
        <w:t xml:space="preserve">e.g. </w:t>
      </w:r>
      <w:r>
        <w:rPr>
          <w:rStyle w:val="ImageInsetSundanese"/>
        </w:rPr>
        <w:drawing>
          <wp:inline distT="0" distB="0" distL="0" distR="0" wp14:anchorId="0F9A1748" wp14:editId="257BEBBE">
            <wp:extent cx="1256400" cy="180000"/>
            <wp:effectExtent l="0" t="0" r="1270" b="0"/>
            <wp:docPr id="10" name="Picture 10" descr="Macintosh HD:Users:username:Pictures:Naskah Nusantara:Perpusnas:69 L 626:di jeroning wawangu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name:Pictures:Naskah Nusantara:Perpusnas:69 L 626:di jeroning wawanguna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56400" cy="180000"/>
                    </a:xfrm>
                    <a:prstGeom prst="rect">
                      <a:avLst/>
                    </a:prstGeom>
                    <a:noFill/>
                    <a:ln>
                      <a:noFill/>
                    </a:ln>
                  </pic:spPr>
                </pic:pic>
              </a:graphicData>
            </a:graphic>
          </wp:inline>
        </w:drawing>
      </w:r>
      <w:r>
        <w:t xml:space="preserve"> – strict: </w:t>
      </w:r>
      <w:r>
        <w:rPr>
          <w:rStyle w:val="Foreign"/>
        </w:rPr>
        <w:t>di jә2niṁ vavaṁṅun:an·</w:t>
      </w:r>
      <w:r>
        <w:rPr>
          <w:i/>
          <w:lang w:val="en-US"/>
        </w:rPr>
        <w:t xml:space="preserve"> </w:t>
      </w:r>
      <w:r>
        <w:rPr>
          <w:lang w:val="en-US"/>
        </w:rPr>
        <w:t xml:space="preserve">; loose: </w:t>
      </w:r>
      <w:r>
        <w:rPr>
          <w:rStyle w:val="Foreign"/>
          <w:lang w:val="en-US"/>
        </w:rPr>
        <w:t>di jәroniṅ vavaṅunan</w:t>
      </w:r>
      <w:r>
        <w:rPr>
          <w:lang w:val="en-US"/>
        </w:rPr>
        <w:t xml:space="preserve"> </w:t>
      </w:r>
      <w:r>
        <w:t>(</w:t>
      </w:r>
      <w:r>
        <w:rPr>
          <w:lang w:val="en-US"/>
        </w:rPr>
        <w:t>“in the interior of the building”</w:t>
      </w:r>
      <w:r>
        <w:t>)</w:t>
      </w:r>
      <w:r>
        <w:rPr>
          <w:rStyle w:val="Lbjegyzet-hivatkozs"/>
        </w:rPr>
        <w:footnoteReference w:id="85"/>
      </w:r>
    </w:p>
    <w:p w14:paraId="5B4E07A5" w14:textId="77777777" w:rsidR="00431357" w:rsidRDefault="00431357" w:rsidP="00431357">
      <w:pPr>
        <w:pStyle w:val="Cmsor3"/>
        <w:numPr>
          <w:ilvl w:val="2"/>
          <w:numId w:val="3"/>
        </w:numPr>
      </w:pPr>
      <w:bookmarkStart w:id="264" w:name="_77xvqqxwsyaq" w:colFirst="0" w:colLast="0"/>
      <w:bookmarkStart w:id="265" w:name="_Toc200963316"/>
      <w:bookmarkStart w:id="266" w:name="_Toc17811441"/>
      <w:bookmarkStart w:id="267" w:name="_Toc17811496"/>
      <w:bookmarkEnd w:id="264"/>
      <w:r>
        <w:t xml:space="preserve">The behaviour of the superscript </w:t>
      </w:r>
      <w:r>
        <w:rPr>
          <w:rStyle w:val="Foreign"/>
        </w:rPr>
        <w:t>r</w:t>
      </w:r>
      <w:bookmarkEnd w:id="265"/>
    </w:p>
    <w:p w14:paraId="5B882167" w14:textId="77777777" w:rsidR="00431357" w:rsidRDefault="00431357" w:rsidP="00431357">
      <w:pPr>
        <w:pStyle w:val="Lista"/>
      </w:pPr>
      <w:r>
        <w:rPr>
          <w:b/>
          <w:bCs/>
        </w:rPr>
        <w:t xml:space="preserve">where an Indonesian text employs the superscript </w:t>
      </w:r>
      <w:r>
        <w:rPr>
          <w:b/>
          <w:bCs/>
          <w:i/>
          <w:iCs/>
        </w:rPr>
        <w:t>r</w:t>
      </w:r>
      <w:r>
        <w:rPr>
          <w:b/>
          <w:bCs/>
        </w:rPr>
        <w:t xml:space="preserve"> marker</w:t>
      </w:r>
      <w:r>
        <w:t xml:space="preserve"> (</w:t>
      </w:r>
      <w:r>
        <w:rPr>
          <w:rStyle w:val="Foreign"/>
        </w:rPr>
        <w:t>repha</w:t>
      </w:r>
      <w:r>
        <w:t xml:space="preserve">, </w:t>
      </w:r>
      <w:r>
        <w:rPr>
          <w:rStyle w:val="Foreign"/>
        </w:rPr>
        <w:t>layar</w:t>
      </w:r>
      <w:r>
        <w:t xml:space="preserve">, </w:t>
      </w:r>
      <w:r>
        <w:rPr>
          <w:rStyle w:val="Foreign"/>
        </w:rPr>
        <w:t>surang</w:t>
      </w:r>
      <w:r>
        <w:t xml:space="preserve">) </w:t>
      </w:r>
      <w:r>
        <w:rPr>
          <w:b/>
          <w:bCs/>
        </w:rPr>
        <w:t>in two modes</w:t>
      </w:r>
      <w:r>
        <w:t>,</w:t>
      </w:r>
    </w:p>
    <w:p w14:paraId="10764BCE" w14:textId="77777777" w:rsidR="00431357" w:rsidRDefault="00431357" w:rsidP="00431357">
      <w:pPr>
        <w:pStyle w:val="Lista2"/>
      </w:pPr>
      <w:r>
        <w:t>namely</w:t>
      </w:r>
    </w:p>
    <w:p w14:paraId="2546DA15" w14:textId="77777777" w:rsidR="00431357" w:rsidRDefault="00431357" w:rsidP="00431357">
      <w:pPr>
        <w:pStyle w:val="Lista3"/>
        <w:rPr>
          <w:rFonts w:ascii="Arial" w:hAnsi="Arial" w:cs="Arial"/>
          <w:lang w:eastAsia="en-GB"/>
        </w:rPr>
      </w:pPr>
      <w:r>
        <w:rPr>
          <w:lang w:eastAsia="en-GB"/>
        </w:rPr>
        <w:t xml:space="preserve">the “Indian” mode, i.e. to be read before the consonant it is attached to, as in </w:t>
      </w:r>
      <w:r>
        <w:rPr>
          <w:rStyle w:val="ForeignBalineseScript"/>
        </w:rPr>
        <w:t>ᬲᬯᬃ</w:t>
      </w:r>
      <w:r>
        <w:rPr>
          <w:lang w:eastAsia="en-GB"/>
        </w:rPr>
        <w:t xml:space="preserve"> </w:t>
      </w:r>
      <w:r>
        <w:rPr>
          <w:i/>
          <w:iCs/>
          <w:lang w:eastAsia="en-GB"/>
        </w:rPr>
        <w:t>sarva</w:t>
      </w:r>
      <w:r>
        <w:rPr>
          <w:rFonts w:cs="Arial"/>
          <w:lang w:eastAsia="en-GB"/>
        </w:rPr>
        <w:t>; and</w:t>
      </w:r>
    </w:p>
    <w:p w14:paraId="2A290C9B" w14:textId="77777777" w:rsidR="00431357" w:rsidRDefault="00431357" w:rsidP="00431357">
      <w:pPr>
        <w:pStyle w:val="Lista3"/>
        <w:rPr>
          <w:rFonts w:ascii="Arial" w:hAnsi="Arial"/>
          <w:lang w:eastAsia="en-GB"/>
        </w:rPr>
      </w:pPr>
      <w:r>
        <w:rPr>
          <w:lang w:eastAsia="en-GB"/>
        </w:rPr>
        <w:t xml:space="preserve">the “Indonesian” mode, i.e. to be read after the rest of the </w:t>
      </w:r>
      <w:r>
        <w:rPr>
          <w:i/>
          <w:iCs/>
          <w:lang w:eastAsia="en-GB"/>
        </w:rPr>
        <w:t>akṣara</w:t>
      </w:r>
      <w:r>
        <w:rPr>
          <w:lang w:eastAsia="en-GB"/>
        </w:rPr>
        <w:t xml:space="preserve"> it is attached to, as in </w:t>
      </w:r>
      <w:r>
        <w:rPr>
          <w:rStyle w:val="ForeignBalineseScript"/>
        </w:rPr>
        <w:t>ᬲᬫᬃ</w:t>
      </w:r>
      <w:r>
        <w:rPr>
          <w:rFonts w:cs="Gentium Plus"/>
          <w:lang w:eastAsia="en-GB"/>
        </w:rPr>
        <w:t xml:space="preserve"> </w:t>
      </w:r>
      <w:r>
        <w:rPr>
          <w:rFonts w:cs="Gentium Plus"/>
          <w:i/>
          <w:iCs/>
          <w:lang w:eastAsia="en-GB"/>
        </w:rPr>
        <w:t>samar</w:t>
      </w:r>
      <w:r>
        <w:rPr>
          <w:rFonts w:cs="Gentium Plus"/>
          <w:lang w:eastAsia="en-GB"/>
        </w:rPr>
        <w:t> </w:t>
      </w:r>
    </w:p>
    <w:p w14:paraId="03D559E6" w14:textId="77777777" w:rsidR="00431357" w:rsidRDefault="00431357" w:rsidP="00431357">
      <w:pPr>
        <w:pStyle w:val="Lista2"/>
      </w:pPr>
      <w:r>
        <w:t>then this fact must be noted in your commentary to the text, including a specification of which mode is the default (dominant) one for that text</w:t>
      </w:r>
    </w:p>
    <w:p w14:paraId="2AE679E3" w14:textId="77777777" w:rsidR="00431357" w:rsidRDefault="00431357" w:rsidP="00431357">
      <w:pPr>
        <w:pStyle w:val="Lista2"/>
      </w:pPr>
      <w:r>
        <w:t xml:space="preserve">in addition, you may optionally use an = sign between the transliterated </w:t>
      </w:r>
      <w:r>
        <w:rPr>
          <w:i/>
          <w:iCs/>
        </w:rPr>
        <w:t>r</w:t>
      </w:r>
      <w:r>
        <w:t xml:space="preserve"> and the other characters transliterating the same </w:t>
      </w:r>
      <w:r>
        <w:rPr>
          <w:rStyle w:val="Foreign"/>
        </w:rPr>
        <w:t>akṣara</w:t>
      </w:r>
      <w:r>
        <w:t xml:space="preserve"> in instances of the non-default mode, i.e.</w:t>
      </w:r>
    </w:p>
    <w:p w14:paraId="66DECF2E" w14:textId="77777777" w:rsidR="00431357" w:rsidRDefault="00431357" w:rsidP="00431357">
      <w:pPr>
        <w:pStyle w:val="Lista"/>
      </w:pPr>
      <w:r>
        <w:t xml:space="preserve">the representation of the “Indonesian” (versus “Indian”) positioning of the </w:t>
      </w:r>
      <w:r>
        <w:rPr>
          <w:rStyle w:val="Foreign"/>
        </w:rPr>
        <w:t>r</w:t>
      </w:r>
      <w:r>
        <w:t xml:space="preserve"> marker is handled via markup</w:t>
      </w:r>
    </w:p>
    <w:p w14:paraId="0CBF1020" w14:textId="77777777" w:rsidR="00431357" w:rsidRDefault="00431357" w:rsidP="00431357">
      <w:pPr>
        <w:pStyle w:val="Lista2"/>
      </w:pPr>
      <w:r>
        <w:t>thus, even in strict transliteration, transcribe the text in the order the script components were meant to be pronounced, i.e.</w:t>
      </w:r>
    </w:p>
    <w:p w14:paraId="18DA4B22" w14:textId="77777777" w:rsidR="00431357" w:rsidRDefault="00431357" w:rsidP="00431357">
      <w:pPr>
        <w:pStyle w:val="Lista3"/>
        <w:rPr>
          <w:rStyle w:val="Foreign"/>
        </w:rPr>
      </w:pPr>
      <w:r>
        <w:rPr>
          <w:noProof/>
        </w:rPr>
        <w:drawing>
          <wp:anchor distT="0" distB="0" distL="114300" distR="114300" simplePos="0" relativeHeight="251675648" behindDoc="0" locked="0" layoutInCell="1" allowOverlap="0" wp14:anchorId="1E0F8F8C" wp14:editId="5602B830">
            <wp:simplePos x="0" y="0"/>
            <wp:positionH relativeFrom="margin">
              <wp:align>right</wp:align>
            </wp:positionH>
            <wp:positionV relativeFrom="paragraph">
              <wp:posOffset>7620</wp:posOffset>
            </wp:positionV>
            <wp:extent cx="1307465" cy="473710"/>
            <wp:effectExtent l="0" t="0" r="6985" b="2540"/>
            <wp:wrapSquare wrapText="bothSides"/>
            <wp:docPr id="311939785" name="Kép 311939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0746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if the “Indonesian” mode is dominant, transliterate </w:t>
      </w:r>
      <w:r>
        <w:rPr>
          <w:rStyle w:val="ForeignBalineseScript"/>
        </w:rPr>
        <w:t>ᬲᬯᬃ</w:t>
      </w:r>
      <w:r>
        <w:t xml:space="preserve"> as </w:t>
      </w:r>
      <w:r>
        <w:rPr>
          <w:rStyle w:val="Foreign"/>
        </w:rPr>
        <w:t>sar=va</w:t>
      </w:r>
    </w:p>
    <w:p w14:paraId="098110FA" w14:textId="77777777" w:rsidR="00431357" w:rsidRDefault="00431357" w:rsidP="00431357">
      <w:pPr>
        <w:pStyle w:val="Lista3"/>
      </w:pPr>
      <w:r>
        <w:t xml:space="preserve">if the “Indian” mode is dominant, transliterate </w:t>
      </w:r>
      <w:r>
        <w:rPr>
          <w:rStyle w:val="ForeignBalineseScript"/>
        </w:rPr>
        <w:t>ᬲᬫᬃ</w:t>
      </w:r>
      <w:r>
        <w:t xml:space="preserve"> as </w:t>
      </w:r>
      <w:r>
        <w:rPr>
          <w:rStyle w:val="Foreign"/>
        </w:rPr>
        <w:t>sama=r</w:t>
      </w:r>
    </w:p>
    <w:p w14:paraId="3774EE15" w14:textId="77777777" w:rsidR="00431357" w:rsidRDefault="00431357" w:rsidP="00431357">
      <w:pPr>
        <w:pStyle w:val="Lista3"/>
      </w:pPr>
      <w:r>
        <w:t xml:space="preserve">e.g. </w:t>
      </w:r>
      <w:r>
        <w:rPr>
          <w:rStyle w:val="Foreign"/>
        </w:rPr>
        <w:t>Ina=rpaṇakan·</w:t>
      </w:r>
      <w:r>
        <w:t xml:space="preserve"> for the example on the right</w:t>
      </w:r>
    </w:p>
    <w:p w14:paraId="1BDE7C5D" w14:textId="77777777" w:rsidR="00431357" w:rsidRDefault="00431357" w:rsidP="00431357">
      <w:pPr>
        <w:pStyle w:val="Lista2"/>
      </w:pPr>
      <w:r>
        <w:t xml:space="preserve">for the sake of explicitness you may also choose to use the above notation redundantly for all occurrences of a superscript </w:t>
      </w:r>
      <w:r>
        <w:rPr>
          <w:i/>
          <w:iCs/>
        </w:rPr>
        <w:t>r</w:t>
      </w:r>
      <w:r>
        <w:t>, not only for ones that deviate from the default</w:t>
      </w:r>
    </w:p>
    <w:p w14:paraId="4155C25E" w14:textId="77777777" w:rsidR="00431357" w:rsidRDefault="00431357" w:rsidP="00431357">
      <w:pPr>
        <w:pStyle w:val="Cmsor2"/>
        <w:numPr>
          <w:ilvl w:val="1"/>
          <w:numId w:val="3"/>
        </w:numPr>
      </w:pPr>
      <w:bookmarkStart w:id="268" w:name="_Toc200963317"/>
      <w:r>
        <w:t xml:space="preserve">Graphetic oddities and </w:t>
      </w:r>
      <w:r>
        <w:rPr>
          <w:rStyle w:val="Foreign"/>
        </w:rPr>
        <w:t>akṣara</w:t>
      </w:r>
      <w:r>
        <w:t xml:space="preserve"> composition</w:t>
      </w:r>
      <w:bookmarkEnd w:id="268"/>
    </w:p>
    <w:p w14:paraId="120E6E09" w14:textId="77777777" w:rsidR="00431357" w:rsidRDefault="00431357" w:rsidP="00431357">
      <w:pPr>
        <w:pStyle w:val="Lista"/>
      </w:pPr>
      <w:r>
        <w:t>ideally, transliteration would be concerned with graphemes alone, and disregard the choice of allograph used in a particular instance to represent a particular grapheme</w:t>
      </w:r>
    </w:p>
    <w:p w14:paraId="4EA01999" w14:textId="77777777" w:rsidR="00431357" w:rsidRDefault="00431357" w:rsidP="00431357">
      <w:pPr>
        <w:pStyle w:val="Lista2"/>
      </w:pPr>
      <w:r>
        <w:t xml:space="preserve">however, we find that it may be important for our research interests to preserve in the transliterated text some alternative ways of representing the same character or character combination </w:t>
      </w:r>
    </w:p>
    <w:p w14:paraId="6F02E39D" w14:textId="77777777" w:rsidR="00431357" w:rsidRDefault="00431357" w:rsidP="00431357">
      <w:pPr>
        <w:pStyle w:val="Lista"/>
      </w:pPr>
      <w:r>
        <w:t>for this reason, in strict transliteration we shall employ some mandatory distinctions set out in the following subsections</w:t>
      </w:r>
    </w:p>
    <w:p w14:paraId="5CE2E07D" w14:textId="77777777" w:rsidR="00431357" w:rsidRDefault="00431357" w:rsidP="00431357">
      <w:pPr>
        <w:pStyle w:val="Lista"/>
      </w:pPr>
      <w:r>
        <w:t>certain further distinctions set out in the following subsections may be optionally made using markup or a shorthand notation that will be auto-converted to markup</w:t>
      </w:r>
    </w:p>
    <w:p w14:paraId="06CB0F54" w14:textId="77777777" w:rsidR="00431357" w:rsidRDefault="00431357" w:rsidP="00431357">
      <w:pPr>
        <w:pStyle w:val="Lista"/>
      </w:pPr>
      <w:r>
        <w:t>other potentially interesting allographs – for instance the use of two alternative glyphs within the same inscription for the same simplex character, or different ways in which a vowel marker is attached to a consonant – will need to be described in your metadata, and will not be directly represented in the transliteration or the markup</w:t>
      </w:r>
      <w:r>
        <w:rPr>
          <w:rStyle w:val="Lbjegyzet-hivatkozs"/>
        </w:rPr>
        <w:footnoteReference w:id="86"/>
      </w:r>
    </w:p>
    <w:p w14:paraId="3717BCEB" w14:textId="77777777" w:rsidR="00431357" w:rsidRDefault="00431357" w:rsidP="00431357">
      <w:pPr>
        <w:pStyle w:val="Lista"/>
      </w:pPr>
      <w:r>
        <w:lastRenderedPageBreak/>
        <w:t>in order to highlight certain formations that deviate from the standard glyph composition for any particular language and writing system, our transliteration scheme permits the use of the dedicated character = (equals sign), in the specific cases set out below</w:t>
      </w:r>
    </w:p>
    <w:p w14:paraId="24B74E14" w14:textId="77777777" w:rsidR="00431357" w:rsidRDefault="00431357" w:rsidP="00431357">
      <w:pPr>
        <w:pStyle w:val="Lista2"/>
      </w:pPr>
      <w:r>
        <w:t>this notation is optional, but if you do employ it anywhere within an edition, please attempt to use it consistently throughout that edition wherever applicable</w:t>
      </w:r>
    </w:p>
    <w:p w14:paraId="273B0C6A" w14:textId="77777777" w:rsidR="00431357" w:rsidRDefault="00431357" w:rsidP="00431357">
      <w:pPr>
        <w:pStyle w:val="Lista"/>
      </w:pPr>
      <w:r>
        <w:t>the = sign will be ignored by search and processing software, but serve as a marker that something strange is going on in the text here, and may be used as a starting point for future analysis or harvesting of such cases</w:t>
      </w:r>
    </w:p>
    <w:p w14:paraId="1F580C5C" w14:textId="77777777" w:rsidR="00431357" w:rsidRDefault="00431357" w:rsidP="00431357">
      <w:pPr>
        <w:pStyle w:val="Lista"/>
      </w:pPr>
      <w:r>
        <w:t xml:space="preserve">should you need to add an editorial space or hyphen between such characters, put it </w:t>
      </w:r>
      <w:r>
        <w:rPr>
          <w:i/>
          <w:iCs/>
        </w:rPr>
        <w:t>after</w:t>
      </w:r>
      <w:r>
        <w:t xml:space="preserve"> the = sign</w:t>
      </w:r>
    </w:p>
    <w:p w14:paraId="0FDEF4B3" w14:textId="77777777" w:rsidR="00431357" w:rsidRDefault="00431357" w:rsidP="00431357">
      <w:pPr>
        <w:pStyle w:val="Lista2"/>
      </w:pPr>
      <w:r>
        <w:t xml:space="preserve">e.g. </w:t>
      </w:r>
      <w:r>
        <w:rPr>
          <w:rStyle w:val="Foreign"/>
        </w:rPr>
        <w:t>…k= ka…</w:t>
      </w:r>
      <w:r>
        <w:t xml:space="preserve"> (for a single </w:t>
      </w:r>
      <w:r>
        <w:rPr>
          <w:rStyle w:val="Foreign"/>
        </w:rPr>
        <w:t>akṣara</w:t>
      </w:r>
      <w:r>
        <w:t xml:space="preserve"> at a word boundary) and </w:t>
      </w:r>
      <w:r>
        <w:rPr>
          <w:rStyle w:val="Foreign"/>
        </w:rPr>
        <w:t>…k=-ka…</w:t>
      </w:r>
      <w:r>
        <w:t xml:space="preserve"> (for a single </w:t>
      </w:r>
      <w:r>
        <w:rPr>
          <w:rStyle w:val="Foreign"/>
        </w:rPr>
        <w:t>akṣara</w:t>
      </w:r>
      <w:r>
        <w:t xml:space="preserve"> at the boundary between two elements of a compound word)</w:t>
      </w:r>
    </w:p>
    <w:p w14:paraId="775E313E" w14:textId="77777777" w:rsidR="00431357" w:rsidRDefault="00431357" w:rsidP="00431357">
      <w:pPr>
        <w:pStyle w:val="Lista"/>
      </w:pPr>
      <w:r>
        <w:t>this notation will be auto-converted to markup (EGD §4.1.1)</w:t>
      </w:r>
    </w:p>
    <w:p w14:paraId="73941CE5" w14:textId="77777777" w:rsidR="00431357" w:rsidRDefault="00431357" w:rsidP="00431357">
      <w:pPr>
        <w:pStyle w:val="Cmsor3"/>
        <w:numPr>
          <w:ilvl w:val="2"/>
          <w:numId w:val="3"/>
        </w:numPr>
      </w:pPr>
      <w:bookmarkStart w:id="269" w:name="_Ref162445252"/>
      <w:bookmarkStart w:id="270" w:name="_Toc199757570"/>
      <w:bookmarkStart w:id="271" w:name="_Toc200963318"/>
      <w:r>
        <w:t xml:space="preserve">Multiple vowel markers within an </w:t>
      </w:r>
      <w:r>
        <w:rPr>
          <w:rStyle w:val="Foreign"/>
        </w:rPr>
        <w:t>akṣara</w:t>
      </w:r>
      <w:bookmarkEnd w:id="269"/>
      <w:bookmarkEnd w:id="270"/>
      <w:bookmarkEnd w:id="271"/>
    </w:p>
    <w:p w14:paraId="14256352" w14:textId="77777777" w:rsidR="00431357" w:rsidRDefault="00431357" w:rsidP="00431357">
      <w:pPr>
        <w:pStyle w:val="Lista"/>
        <w:rPr>
          <w:rFonts w:eastAsia="Tahoma"/>
        </w:rPr>
      </w:pPr>
      <w:r>
        <w:rPr>
          <w:rFonts w:eastAsia="Tahoma"/>
        </w:rPr>
        <w:t>multiple vowel markers may be used deliberately in the original</w:t>
      </w:r>
    </w:p>
    <w:p w14:paraId="79600A71" w14:textId="5A0CE963" w:rsidR="00431357" w:rsidRDefault="00431357" w:rsidP="00431357">
      <w:pPr>
        <w:pStyle w:val="Lista2"/>
        <w:rPr>
          <w:rFonts w:eastAsia="Tahoma"/>
        </w:rPr>
      </w:pPr>
      <w:r>
        <w:rPr>
          <w:rFonts w:eastAsia="Tahoma"/>
        </w:rPr>
        <w:t>to represent a particular phoneme or modification (§</w:t>
      </w:r>
      <w:r>
        <w:rPr>
          <w:rFonts w:eastAsia="Tahoma"/>
        </w:rPr>
        <w:fldChar w:fldCharType="begin"/>
      </w:r>
      <w:r>
        <w:rPr>
          <w:rFonts w:eastAsia="Tahoma"/>
        </w:rPr>
        <w:instrText xml:space="preserve"> REF _Ref15558434 \r \h </w:instrText>
      </w:r>
      <w:r>
        <w:rPr>
          <w:rFonts w:eastAsia="Tahoma"/>
        </w:rPr>
      </w:r>
      <w:r>
        <w:rPr>
          <w:rFonts w:eastAsia="Tahoma"/>
        </w:rPr>
        <w:fldChar w:fldCharType="separate"/>
      </w:r>
      <w:r w:rsidR="00CA5448">
        <w:rPr>
          <w:rFonts w:eastAsia="Tahoma"/>
        </w:rPr>
        <w:t>4.7.1</w:t>
      </w:r>
      <w:r>
        <w:rPr>
          <w:rFonts w:eastAsia="Tahoma"/>
        </w:rPr>
        <w:fldChar w:fldCharType="end"/>
      </w:r>
      <w:r>
        <w:rPr>
          <w:rFonts w:eastAsia="Tahoma"/>
        </w:rPr>
        <w:t>)</w:t>
      </w:r>
    </w:p>
    <w:p w14:paraId="747D8017" w14:textId="77777777" w:rsidR="00431357" w:rsidRDefault="00431357" w:rsidP="00431357">
      <w:pPr>
        <w:pStyle w:val="Lista2"/>
        <w:rPr>
          <w:rFonts w:eastAsia="Tahoma"/>
        </w:rPr>
      </w:pPr>
      <w:r>
        <w:rPr>
          <w:rFonts w:eastAsia="Tahoma"/>
        </w:rPr>
        <w:t xml:space="preserve">to mark segments as deleted (this belongs in the domain of markup, not that of transliteration; see </w:t>
      </w:r>
      <w:r>
        <w:t xml:space="preserve">EGD </w:t>
      </w:r>
      <w:r>
        <w:rPr>
          <w:rFonts w:eastAsia="Tahoma"/>
        </w:rPr>
        <w:t>§4.5.1)</w:t>
      </w:r>
    </w:p>
    <w:p w14:paraId="0DA7FA0E" w14:textId="77777777" w:rsidR="00431357" w:rsidRDefault="00431357" w:rsidP="00431357">
      <w:pPr>
        <w:pStyle w:val="Lista2"/>
        <w:rPr>
          <w:rFonts w:eastAsia="Tahoma"/>
        </w:rPr>
      </w:pPr>
      <w:r>
        <w:rPr>
          <w:rFonts w:eastAsia="Tahoma"/>
        </w:rPr>
        <w:t>if you encounter multiple vowel markers that appear to be used deliberately for a purpose other than the above, please contact us to discuss how best to represent them</w:t>
      </w:r>
    </w:p>
    <w:p w14:paraId="00309CC5" w14:textId="77777777" w:rsidR="00431357" w:rsidRDefault="00431357" w:rsidP="00431357">
      <w:pPr>
        <w:pStyle w:val="Lista"/>
      </w:pPr>
      <w:r>
        <w:rPr>
          <w:rFonts w:eastAsia="Tahoma"/>
        </w:rPr>
        <w:t>other appearances of multiple vowel marks are likely to be cases where the scribe erroneously engraved more than one explicit vowel mark, neither of which appears to be deliberately cancelled</w:t>
      </w:r>
    </w:p>
    <w:p w14:paraId="63FACF16" w14:textId="77777777" w:rsidR="00431357" w:rsidRDefault="00431357" w:rsidP="00431357">
      <w:pPr>
        <w:pStyle w:val="Lista2"/>
        <w:rPr>
          <w:rFonts w:eastAsia="Tahoma"/>
        </w:rPr>
      </w:pPr>
      <w:r>
        <w:rPr>
          <w:rFonts w:eastAsia="Tahoma"/>
        </w:rPr>
        <w:t xml:space="preserve">if one of these vowels is expected in the context and the other is not, it is acceptable and preferable to encode this as a premodern correction as per </w:t>
      </w:r>
      <w:r>
        <w:t>EGD</w:t>
      </w:r>
      <w:r>
        <w:rPr>
          <w:rFonts w:eastAsia="Tahoma"/>
        </w:rPr>
        <w:t xml:space="preserve"> §4.5.3</w:t>
      </w:r>
    </w:p>
    <w:p w14:paraId="27E76E90" w14:textId="77777777" w:rsidR="00431357" w:rsidRDefault="00431357" w:rsidP="00431357">
      <w:pPr>
        <w:pStyle w:val="Lista2"/>
        <w:rPr>
          <w:rFonts w:eastAsia="Tahoma"/>
        </w:rPr>
      </w:pPr>
      <w:r>
        <w:t>in other cases, which we expect to be very rare, transliterate all vowels in an order you deem suitable</w:t>
      </w:r>
    </w:p>
    <w:p w14:paraId="74895DEE" w14:textId="24D7AEE7" w:rsidR="00431357" w:rsidRDefault="00431357" w:rsidP="00431357">
      <w:pPr>
        <w:pStyle w:val="Lista3"/>
        <w:rPr>
          <w:rFonts w:eastAsia="Tahoma"/>
        </w:rPr>
      </w:pPr>
      <w:r>
        <w:t xml:space="preserve">the fact that the transliterated vowels are lowercase indicates in our system that none of them are independent vowel </w:t>
      </w:r>
      <w:r>
        <w:rPr>
          <w:rStyle w:val="Foreign"/>
        </w:rPr>
        <w:t>akṣara</w:t>
      </w:r>
      <w:r>
        <w:t>s (cf. §</w:t>
      </w:r>
      <w:r>
        <w:fldChar w:fldCharType="begin"/>
      </w:r>
      <w:r>
        <w:instrText xml:space="preserve"> REF _Ref15558380 \r \h </w:instrText>
      </w:r>
      <w:r>
        <w:fldChar w:fldCharType="separate"/>
      </w:r>
      <w:r w:rsidR="00CA5448">
        <w:t>3.7</w:t>
      </w:r>
      <w:r>
        <w:fldChar w:fldCharType="end"/>
      </w:r>
      <w:r>
        <w:t>)</w:t>
      </w:r>
    </w:p>
    <w:p w14:paraId="54E56893" w14:textId="77777777" w:rsidR="00431357" w:rsidRDefault="00431357" w:rsidP="00431357">
      <w:pPr>
        <w:pStyle w:val="Lista3"/>
        <w:rPr>
          <w:rFonts w:eastAsia="Tahoma"/>
        </w:rPr>
      </w:pPr>
      <w:r>
        <w:rPr>
          <w:rFonts w:eastAsia="Tahoma"/>
          <w:noProof/>
        </w:rPr>
        <w:drawing>
          <wp:anchor distT="0" distB="0" distL="114300" distR="114300" simplePos="0" relativeHeight="251667456" behindDoc="1" locked="0" layoutInCell="1" allowOverlap="1" wp14:anchorId="4160EA78" wp14:editId="07071E75">
            <wp:simplePos x="0" y="0"/>
            <wp:positionH relativeFrom="margin">
              <wp:align>right</wp:align>
            </wp:positionH>
            <wp:positionV relativeFrom="paragraph">
              <wp:posOffset>0</wp:posOffset>
            </wp:positionV>
            <wp:extent cx="302400" cy="428400"/>
            <wp:effectExtent l="0" t="0" r="2540" b="0"/>
            <wp:wrapTight wrapText="bothSides">
              <wp:wrapPolygon edited="0">
                <wp:start x="0" y="0"/>
                <wp:lineTo x="0" y="20190"/>
                <wp:lineTo x="20420" y="20190"/>
                <wp:lineTo x="20420" y="0"/>
                <wp:lineTo x="0" y="0"/>
              </wp:wrapPolygon>
            </wp:wrapTight>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2400" cy="42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ahoma"/>
        </w:rPr>
        <w:t xml:space="preserve">nonetheless, the unusual fact that multiple vowel markers are present in a single </w:t>
      </w:r>
      <w:r>
        <w:rPr>
          <w:rStyle w:val="Foreign"/>
          <w:rFonts w:eastAsia="Tahoma"/>
        </w:rPr>
        <w:t>akṣara</w:t>
      </w:r>
      <w:r>
        <w:rPr>
          <w:rFonts w:eastAsia="Tahoma"/>
        </w:rPr>
        <w:t xml:space="preserve"> may optionally be made explicit using an = (equals) sign between the transliterated vowels belonging to a single </w:t>
      </w:r>
      <w:r>
        <w:rPr>
          <w:rStyle w:val="Foreign"/>
        </w:rPr>
        <w:t>akṣara</w:t>
      </w:r>
      <w:r>
        <w:t xml:space="preserve">, e.g. </w:t>
      </w:r>
      <w:r>
        <w:rPr>
          <w:rStyle w:val="Foreign"/>
        </w:rPr>
        <w:t>du=ā</w:t>
      </w:r>
      <w:r>
        <w:t xml:space="preserve"> for the glyph shown on the right (which is probably an engraving mistake for </w:t>
      </w:r>
      <w:r>
        <w:rPr>
          <w:rStyle w:val="Foreign"/>
        </w:rPr>
        <w:t>ddhā</w:t>
      </w:r>
      <w:r>
        <w:t>)</w:t>
      </w:r>
    </w:p>
    <w:p w14:paraId="7FE9A5A4" w14:textId="77777777" w:rsidR="00431357" w:rsidRDefault="00431357" w:rsidP="00431357">
      <w:pPr>
        <w:pStyle w:val="Lista"/>
      </w:pPr>
      <w:r>
        <w:rPr>
          <w:noProof/>
        </w:rPr>
        <w:drawing>
          <wp:anchor distT="0" distB="0" distL="114300" distR="114300" simplePos="0" relativeHeight="251670528" behindDoc="0" locked="0" layoutInCell="1" allowOverlap="1" wp14:anchorId="02132021" wp14:editId="32C43774">
            <wp:simplePos x="0" y="0"/>
            <wp:positionH relativeFrom="column">
              <wp:posOffset>5749748</wp:posOffset>
            </wp:positionH>
            <wp:positionV relativeFrom="paragraph">
              <wp:posOffset>97536</wp:posOffset>
            </wp:positionV>
            <wp:extent cx="412115" cy="751840"/>
            <wp:effectExtent l="0" t="0" r="6985" b="0"/>
            <wp:wrapSquare wrapText="bothSides"/>
            <wp:docPr id="198468781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211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as a special case, when the vowel markers </w:t>
      </w:r>
      <w:r>
        <w:rPr>
          <w:rStyle w:val="Foreign"/>
        </w:rPr>
        <w:t>r̥</w:t>
      </w:r>
      <w:r>
        <w:t xml:space="preserve"> and </w:t>
      </w:r>
      <w:r>
        <w:rPr>
          <w:rStyle w:val="Foreign"/>
        </w:rPr>
        <w:t>i</w:t>
      </w:r>
      <w:r>
        <w:t xml:space="preserve"> are used in conjunction to represent the sonant /</w:t>
      </w:r>
      <w:r>
        <w:rPr>
          <w:rStyle w:val="Foreign"/>
        </w:rPr>
        <w:t>r̥/</w:t>
      </w:r>
      <w:r>
        <w:t xml:space="preserve"> phoneme </w:t>
      </w:r>
    </w:p>
    <w:p w14:paraId="41848767" w14:textId="77777777" w:rsidR="00431357" w:rsidRDefault="00431357" w:rsidP="00431357">
      <w:pPr>
        <w:pStyle w:val="Lista2"/>
      </w:pPr>
      <w:r>
        <w:t xml:space="preserve">if the </w:t>
      </w:r>
      <w:r>
        <w:rPr>
          <w:rStyle w:val="Foreign"/>
        </w:rPr>
        <w:t>r̥</w:t>
      </w:r>
      <w:r>
        <w:t xml:space="preserve"> component is clearly distinguishable from a subscript consonantal </w:t>
      </w:r>
      <w:r>
        <w:rPr>
          <w:rStyle w:val="Foreign"/>
        </w:rPr>
        <w:t>r</w:t>
      </w:r>
      <w:r>
        <w:t xml:space="preserve"> (as in the character </w:t>
      </w:r>
      <w:r>
        <w:rPr>
          <w:rStyle w:val="Foreign"/>
        </w:rPr>
        <w:t>mr̥i</w:t>
      </w:r>
      <w:r>
        <w:t xml:space="preserve"> on the right), transliterate the combination as </w:t>
      </w:r>
      <w:r>
        <w:rPr>
          <w:rStyle w:val="Foreign"/>
        </w:rPr>
        <w:t>r̥i</w:t>
      </w:r>
      <w:r>
        <w:t xml:space="preserve"> (optionally, </w:t>
      </w:r>
      <w:r>
        <w:rPr>
          <w:rStyle w:val="Foreign"/>
        </w:rPr>
        <w:t>r̥=i</w:t>
      </w:r>
      <w:r>
        <w:t>)</w:t>
      </w:r>
    </w:p>
    <w:p w14:paraId="144B59F4" w14:textId="77777777" w:rsidR="00431357" w:rsidRDefault="00431357" w:rsidP="00431357">
      <w:pPr>
        <w:pStyle w:val="Lista2"/>
      </w:pPr>
      <w:r>
        <w:t xml:space="preserve">otherwise, transliterate as </w:t>
      </w:r>
      <w:r>
        <w:rPr>
          <w:rStyle w:val="Foreign"/>
        </w:rPr>
        <w:t>ri</w:t>
      </w:r>
    </w:p>
    <w:p w14:paraId="29C6AFD2" w14:textId="77777777" w:rsidR="00431357" w:rsidRDefault="00431357" w:rsidP="00431357">
      <w:pPr>
        <w:pStyle w:val="Lista2"/>
      </w:pPr>
      <w:r>
        <w:t xml:space="preserve">in your digital edition, either </w:t>
      </w:r>
      <w:r>
        <w:rPr>
          <w:rStyle w:val="Foreign"/>
        </w:rPr>
        <w:t>r̥i</w:t>
      </w:r>
      <w:r>
        <w:t xml:space="preserve"> or </w:t>
      </w:r>
      <w:r>
        <w:rPr>
          <w:rStyle w:val="Foreign"/>
        </w:rPr>
        <w:t>ri</w:t>
      </w:r>
      <w:r>
        <w:t xml:space="preserve"> should be emended to </w:t>
      </w:r>
      <w:r>
        <w:rPr>
          <w:rStyle w:val="Foreign"/>
        </w:rPr>
        <w:t>r̥</w:t>
      </w:r>
      <w:r>
        <w:t xml:space="preserve"> (by means of normalisation or correction as applicable, see EGD §6.1.1)</w:t>
      </w:r>
    </w:p>
    <w:p w14:paraId="4653DE62" w14:textId="77777777" w:rsidR="00431357" w:rsidRDefault="00431357" w:rsidP="00431357">
      <w:pPr>
        <w:pStyle w:val="Cmsor2"/>
        <w:numPr>
          <w:ilvl w:val="1"/>
          <w:numId w:val="3"/>
        </w:numPr>
      </w:pPr>
      <w:bookmarkStart w:id="272" w:name="_Toc200963319"/>
      <w:bookmarkStart w:id="273" w:name="_Ref23844494"/>
      <w:r>
        <w:t>When the materiality of the support interferes</w:t>
      </w:r>
      <w:bookmarkEnd w:id="272"/>
    </w:p>
    <w:p w14:paraId="1A87404D" w14:textId="77777777" w:rsidR="00431357" w:rsidRDefault="00431357" w:rsidP="00431357">
      <w:pPr>
        <w:pStyle w:val="Cmsor3"/>
        <w:numPr>
          <w:ilvl w:val="2"/>
          <w:numId w:val="3"/>
        </w:numPr>
      </w:pPr>
      <w:bookmarkStart w:id="274" w:name="_Toc200963320"/>
      <w:r>
        <w:t>Legibility problems</w:t>
      </w:r>
      <w:bookmarkEnd w:id="274"/>
    </w:p>
    <w:p w14:paraId="51BA96A0" w14:textId="77777777" w:rsidR="00431357" w:rsidRDefault="00431357" w:rsidP="00431357">
      <w:pPr>
        <w:pStyle w:val="Lista"/>
      </w:pPr>
      <w:r>
        <w:t>TODO: perhaps in this section, add instructions on C and V or another solution for partially extant akṣaras</w:t>
      </w:r>
    </w:p>
    <w:p w14:paraId="7E314AFE" w14:textId="77777777" w:rsidR="00431357" w:rsidRDefault="00431357" w:rsidP="00431357">
      <w:pPr>
        <w:pStyle w:val="Cmsor3"/>
        <w:numPr>
          <w:ilvl w:val="2"/>
          <w:numId w:val="3"/>
        </w:numPr>
      </w:pPr>
      <w:bookmarkStart w:id="275" w:name="_Toc200963321"/>
      <w:r>
        <w:t>Complex characters split by an intervening feature</w:t>
      </w:r>
      <w:bookmarkEnd w:id="273"/>
      <w:bookmarkEnd w:id="275"/>
    </w:p>
    <w:p w14:paraId="4416EE6E" w14:textId="7F9277A8" w:rsidR="00431357" w:rsidRDefault="00431357" w:rsidP="00431357">
      <w:pPr>
        <w:pStyle w:val="Jegyzetszveg"/>
      </w:pPr>
      <w:r>
        <w:t xml:space="preserve">@possibly add </w:t>
      </w:r>
      <w:hyperlink r:id="rId34" w:history="1">
        <w:r>
          <w:rPr>
            <w:rStyle w:val="Hiperhivatkozs"/>
          </w:rPr>
          <w:t>https://github.com/erc-dharma/project-documentation/issues/284</w:t>
        </w:r>
      </w:hyperlink>
      <w:r>
        <w:t xml:space="preserve"> about the consonant body itself broken across lines</w:t>
      </w:r>
    </w:p>
    <w:p w14:paraId="3EC5CB0D" w14:textId="77777777" w:rsidR="00431357" w:rsidRDefault="00431357" w:rsidP="00431357">
      <w:pPr>
        <w:pStyle w:val="Lista"/>
      </w:pPr>
      <w:r>
        <w:rPr>
          <w:noProof/>
        </w:rPr>
        <w:lastRenderedPageBreak/>
        <w:drawing>
          <wp:anchor distT="0" distB="0" distL="114300" distR="114300" simplePos="0" relativeHeight="251668480" behindDoc="0" locked="0" layoutInCell="1" allowOverlap="1" wp14:anchorId="2C903017" wp14:editId="3291AFC2">
            <wp:simplePos x="0" y="0"/>
            <wp:positionH relativeFrom="margin">
              <wp:align>right</wp:align>
            </wp:positionH>
            <wp:positionV relativeFrom="paragraph">
              <wp:posOffset>6096</wp:posOffset>
            </wp:positionV>
            <wp:extent cx="810000" cy="712800"/>
            <wp:effectExtent l="0" t="0" r="9525" b="0"/>
            <wp:wrapSquare wrapText="bothSides"/>
            <wp:docPr id="648564544" name="Kép 6">
              <a:extLst xmlns:a="http://schemas.openxmlformats.org/drawingml/2006/main">
                <a:ext uri="{FF2B5EF4-FFF2-40B4-BE49-F238E27FC236}">
                  <a16:creationId xmlns:a16="http://schemas.microsoft.com/office/drawing/2014/main" id="{7F5075BA-FAEC-4986-8D6F-788DE1F3C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6">
                      <a:extLst>
                        <a:ext uri="{FF2B5EF4-FFF2-40B4-BE49-F238E27FC236}">
                          <a16:creationId xmlns:a16="http://schemas.microsoft.com/office/drawing/2014/main" id="{7F5075BA-FAEC-4986-8D6F-788DE1F3C7A3}"/>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0000" cy="712800"/>
                    </a:xfrm>
                    <a:prstGeom prst="rect">
                      <a:avLst/>
                    </a:prstGeom>
                  </pic:spPr>
                </pic:pic>
              </a:graphicData>
            </a:graphic>
            <wp14:sizeRelH relativeFrom="page">
              <wp14:pctWidth>0</wp14:pctWidth>
            </wp14:sizeRelH>
            <wp14:sizeRelV relativeFrom="page">
              <wp14:pctHeight>0</wp14:pctHeight>
            </wp14:sizeRelV>
          </wp:anchor>
        </w:drawing>
      </w:r>
      <w:r>
        <w:t xml:space="preserve">certain glyph components are treated as separable in some scripts, such as the prescript and postscript vowel markers in Tamil </w:t>
      </w:r>
      <w:r>
        <w:rPr>
          <w:rStyle w:val="ForeignTamilScript"/>
          <w:rFonts w:hint="cs"/>
          <w:cs/>
        </w:rPr>
        <w:t>கொ</w:t>
      </w:r>
      <w:r>
        <w:t xml:space="preserve"> </w:t>
      </w:r>
      <w:r>
        <w:rPr>
          <w:i/>
          <w:iCs/>
        </w:rPr>
        <w:t>ko</w:t>
      </w:r>
      <w:r>
        <w:t xml:space="preserve"> or the </w:t>
      </w:r>
      <w:r>
        <w:rPr>
          <w:rStyle w:val="Foreign"/>
        </w:rPr>
        <w:t>pr̥ṣṭhamātrā e</w:t>
      </w:r>
      <w:r>
        <w:t xml:space="preserve"> in varieties of Nagari (as in the images to the right)</w:t>
      </w:r>
      <w:r>
        <w:rPr>
          <w:noProof/>
        </w:rPr>
        <w:t xml:space="preserve"> </w:t>
      </w:r>
    </w:p>
    <w:p w14:paraId="450B8A70" w14:textId="77777777" w:rsidR="00431357" w:rsidRDefault="00431357" w:rsidP="00431357">
      <w:pPr>
        <w:pStyle w:val="Lista"/>
      </w:pPr>
      <w:r>
        <w:rPr>
          <w:noProof/>
        </w:rPr>
        <w:drawing>
          <wp:anchor distT="0" distB="0" distL="114300" distR="114300" simplePos="0" relativeHeight="251669504" behindDoc="0" locked="0" layoutInCell="1" allowOverlap="1" wp14:anchorId="1A10714E" wp14:editId="03D79049">
            <wp:simplePos x="0" y="0"/>
            <wp:positionH relativeFrom="margin">
              <wp:align>right</wp:align>
            </wp:positionH>
            <wp:positionV relativeFrom="paragraph">
              <wp:posOffset>12802</wp:posOffset>
            </wp:positionV>
            <wp:extent cx="478800" cy="712800"/>
            <wp:effectExtent l="0" t="0" r="0" b="0"/>
            <wp:wrapSquare wrapText="bothSides"/>
            <wp:docPr id="989945146" name="Kép 4">
              <a:extLst xmlns:a="http://schemas.openxmlformats.org/drawingml/2006/main">
                <a:ext uri="{FF2B5EF4-FFF2-40B4-BE49-F238E27FC236}">
                  <a16:creationId xmlns:a16="http://schemas.microsoft.com/office/drawing/2014/main" id="{14147FEE-F1A8-4415-B903-FAC8662CD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a:extLst>
                        <a:ext uri="{FF2B5EF4-FFF2-40B4-BE49-F238E27FC236}">
                          <a16:creationId xmlns:a16="http://schemas.microsoft.com/office/drawing/2014/main" id="{14147FEE-F1A8-4415-B903-FAC8662CD126}"/>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8800" cy="712800"/>
                    </a:xfrm>
                    <a:prstGeom prst="rect">
                      <a:avLst/>
                    </a:prstGeom>
                  </pic:spPr>
                </pic:pic>
              </a:graphicData>
            </a:graphic>
            <wp14:sizeRelH relativeFrom="page">
              <wp14:pctWidth>0</wp14:pctWidth>
            </wp14:sizeRelH>
            <wp14:sizeRelV relativeFrom="page">
              <wp14:pctHeight>0</wp14:pctHeight>
            </wp14:sizeRelV>
          </wp:anchor>
        </w:drawing>
      </w:r>
      <w:r>
        <w:t xml:space="preserve">while the separation of a postscript </w:t>
      </w:r>
      <w:r>
        <w:rPr>
          <w:i/>
          <w:iCs/>
        </w:rPr>
        <w:t>ā</w:t>
      </w:r>
      <w:r>
        <w:t xml:space="preserve"> marker from its consonant could be represented accurately in transliteration, separations involving prescript markers are impossible to duplicate due to the non-linear nature of the original script</w:t>
      </w:r>
    </w:p>
    <w:p w14:paraId="66CAC6EC" w14:textId="77777777" w:rsidR="00431357" w:rsidRDefault="00431357" w:rsidP="00431357">
      <w:pPr>
        <w:pStyle w:val="Lista"/>
      </w:pPr>
      <w:r>
        <w:t xml:space="preserve">we therefore introduce two </w:t>
      </w:r>
      <w:r>
        <w:rPr>
          <w:i/>
          <w:iCs/>
        </w:rPr>
        <w:t>placeholder characters</w:t>
      </w:r>
      <w:r>
        <w:t xml:space="preserve"> into our transliteration scheme:</w:t>
      </w:r>
    </w:p>
    <w:p w14:paraId="0C3E3C94" w14:textId="77777777" w:rsidR="00431357" w:rsidRDefault="00431357" w:rsidP="00431357">
      <w:pPr>
        <w:pStyle w:val="Lista2"/>
      </w:pPr>
      <w:r>
        <w:t xml:space="preserve">⌈ (left ceiling, </w:t>
      </w:r>
      <w:r>
        <w:rPr>
          <w:rStyle w:val="Code"/>
        </w:rPr>
        <w:t>U+2308</w:t>
      </w:r>
      <w:r>
        <w:t>) to represent a prescript component split off from the following original character</w:t>
      </w:r>
    </w:p>
    <w:p w14:paraId="4AA6C25F" w14:textId="77777777" w:rsidR="00431357" w:rsidRDefault="00431357" w:rsidP="00431357">
      <w:pPr>
        <w:pStyle w:val="Lista2"/>
      </w:pPr>
      <w:r>
        <w:t xml:space="preserve">⌉ (right ceiling, </w:t>
      </w:r>
      <w:r>
        <w:rPr>
          <w:rStyle w:val="Code"/>
        </w:rPr>
        <w:t>U+2309</w:t>
      </w:r>
      <w:r>
        <w:t>) to represent a postscript component split off from the preceding original character</w:t>
      </w:r>
    </w:p>
    <w:p w14:paraId="7A7B90B9" w14:textId="77777777" w:rsidR="00431357" w:rsidRDefault="00431357" w:rsidP="00431357">
      <w:pPr>
        <w:pStyle w:val="Lista2"/>
      </w:pPr>
      <w:r>
        <w:t>if you have difficulty entering these characters, you can instead use [[ and ]] respectively, which will be automatically converted to the above special characters</w:t>
      </w:r>
    </w:p>
    <w:p w14:paraId="716BFDB8" w14:textId="77777777" w:rsidR="00431357" w:rsidRDefault="00431357" w:rsidP="00431357">
      <w:pPr>
        <w:pStyle w:val="Lista"/>
      </w:pPr>
      <w:r>
        <w:t>in transliteration, put all of the transliterated characters belonging to the split original character on that side of the interruption where the consonant body is located, and add the applicable placeholder character on the other side of the interruption, thus:</w:t>
      </w:r>
    </w:p>
    <w:p w14:paraId="56F16711" w14:textId="77777777" w:rsidR="00431357" w:rsidRDefault="00431357" w:rsidP="00431357">
      <w:pPr>
        <w:pStyle w:val="Lista2"/>
      </w:pPr>
      <w:r>
        <w:rPr>
          <w:noProof/>
        </w:rPr>
        <w:drawing>
          <wp:anchor distT="0" distB="0" distL="114300" distR="114300" simplePos="0" relativeHeight="251671552" behindDoc="0" locked="0" layoutInCell="1" allowOverlap="1" wp14:anchorId="7FC6F6EA" wp14:editId="72DC431A">
            <wp:simplePos x="0" y="0"/>
            <wp:positionH relativeFrom="column">
              <wp:posOffset>4348734</wp:posOffset>
            </wp:positionH>
            <wp:positionV relativeFrom="paragraph">
              <wp:posOffset>155144</wp:posOffset>
            </wp:positionV>
            <wp:extent cx="2056130" cy="1141095"/>
            <wp:effectExtent l="0" t="0" r="1270" b="1905"/>
            <wp:wrapSquare wrapText="bothSides"/>
            <wp:docPr id="119516902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613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ForeignTamilScript"/>
          <w:rFonts w:hint="cs"/>
          <w:cs/>
        </w:rPr>
        <w:t>க</w:t>
      </w:r>
      <w:r>
        <w:rPr>
          <w:rStyle w:val="ForeignTamilScript"/>
        </w:rPr>
        <w:t>&lt;&gt;</w:t>
      </w:r>
      <w:r>
        <w:rPr>
          <w:rStyle w:val="ForeignTamilScript"/>
          <w:cs/>
        </w:rPr>
        <w:t>ா</w:t>
      </w:r>
      <w:r>
        <w:rPr>
          <w:lang w:bidi="ta-IN"/>
        </w:rPr>
        <w:t xml:space="preserve"> as </w:t>
      </w:r>
      <w:r>
        <w:rPr>
          <w:rStyle w:val="Foreign"/>
        </w:rPr>
        <w:t>kā</w:t>
      </w:r>
      <w:r>
        <w:t>&lt;&gt;</w:t>
      </w:r>
      <w:r>
        <w:rPr>
          <w:rStyle w:val="Foreign"/>
        </w:rPr>
        <w:t>⌉</w:t>
      </w:r>
    </w:p>
    <w:p w14:paraId="060BCE52" w14:textId="77777777" w:rsidR="00431357" w:rsidRDefault="00431357" w:rsidP="00431357">
      <w:pPr>
        <w:pStyle w:val="Lista2"/>
      </w:pPr>
      <w:r>
        <w:rPr>
          <w:rStyle w:val="ForeignTamilScript"/>
          <w:cs/>
        </w:rPr>
        <w:t>ெ</w:t>
      </w:r>
      <w:r>
        <w:rPr>
          <w:rStyle w:val="ForeignTamilScript"/>
        </w:rPr>
        <w:t>&lt;&gt;</w:t>
      </w:r>
      <w:r>
        <w:rPr>
          <w:rStyle w:val="ForeignTamilScript"/>
          <w:rFonts w:hint="cs"/>
          <w:cs/>
        </w:rPr>
        <w:t>க</w:t>
      </w:r>
      <w:r>
        <w:rPr>
          <w:lang w:bidi="ta-IN"/>
        </w:rPr>
        <w:t xml:space="preserve"> as </w:t>
      </w:r>
      <w:r>
        <w:rPr>
          <w:rStyle w:val="Foreign"/>
        </w:rPr>
        <w:t>⌈</w:t>
      </w:r>
      <w:r>
        <w:t>&lt;&gt;</w:t>
      </w:r>
      <w:r>
        <w:rPr>
          <w:rStyle w:val="Foreign"/>
        </w:rPr>
        <w:t>ke</w:t>
      </w:r>
    </w:p>
    <w:p w14:paraId="0DF6DCC9" w14:textId="77777777" w:rsidR="00431357" w:rsidRDefault="00431357" w:rsidP="00431357">
      <w:pPr>
        <w:pStyle w:val="Lista2"/>
      </w:pPr>
      <w:r>
        <w:rPr>
          <w:rStyle w:val="ForeignTamilScript"/>
          <w:rFonts w:hint="cs"/>
          <w:cs/>
        </w:rPr>
        <w:t>கெ</w:t>
      </w:r>
      <w:r>
        <w:rPr>
          <w:rStyle w:val="ForeignTamilScript"/>
        </w:rPr>
        <w:t>&lt;&gt;</w:t>
      </w:r>
      <w:r>
        <w:rPr>
          <w:rStyle w:val="ForeignTamilScript"/>
          <w:cs/>
        </w:rPr>
        <w:t>ா</w:t>
      </w:r>
      <w:r>
        <w:rPr>
          <w:lang w:bidi="ta-IN"/>
        </w:rPr>
        <w:t xml:space="preserve"> as </w:t>
      </w:r>
      <w:r>
        <w:rPr>
          <w:rStyle w:val="Foreign"/>
        </w:rPr>
        <w:t>ko</w:t>
      </w:r>
      <w:r>
        <w:t>&lt;&gt;</w:t>
      </w:r>
      <w:r>
        <w:rPr>
          <w:rStyle w:val="Foreign"/>
        </w:rPr>
        <w:t>⌉</w:t>
      </w:r>
      <w:r>
        <w:t xml:space="preserve"> (likewise for split </w:t>
      </w:r>
      <w:r>
        <w:rPr>
          <w:rStyle w:val="Foreign"/>
        </w:rPr>
        <w:t>au</w:t>
      </w:r>
      <w:r>
        <w:t>)</w:t>
      </w:r>
    </w:p>
    <w:p w14:paraId="5280B8F3" w14:textId="77777777" w:rsidR="00431357" w:rsidRDefault="00431357" w:rsidP="00431357">
      <w:pPr>
        <w:pStyle w:val="Lista2"/>
      </w:pPr>
      <w:r>
        <w:rPr>
          <w:rStyle w:val="ForeignTamilScript"/>
          <w:cs/>
        </w:rPr>
        <w:t>ெ</w:t>
      </w:r>
      <w:r>
        <w:rPr>
          <w:rStyle w:val="ForeignTamilScript"/>
        </w:rPr>
        <w:t>&lt;&gt;</w:t>
      </w:r>
      <w:r>
        <w:rPr>
          <w:rStyle w:val="ForeignTamilScript"/>
          <w:rFonts w:hint="cs"/>
          <w:cs/>
        </w:rPr>
        <w:t>கா</w:t>
      </w:r>
      <w:r>
        <w:rPr>
          <w:cs/>
          <w:lang w:bidi="ta-IN"/>
        </w:rPr>
        <w:t xml:space="preserve"> </w:t>
      </w:r>
      <w:r>
        <w:rPr>
          <w:lang w:bidi="ta-IN"/>
        </w:rPr>
        <w:t xml:space="preserve">as </w:t>
      </w:r>
      <w:r>
        <w:rPr>
          <w:rStyle w:val="Foreign"/>
        </w:rPr>
        <w:t>⌈</w:t>
      </w:r>
      <w:r>
        <w:t>&lt;&gt;</w:t>
      </w:r>
      <w:r>
        <w:rPr>
          <w:rStyle w:val="Foreign"/>
        </w:rPr>
        <w:t>ko</w:t>
      </w:r>
      <w:r>
        <w:t xml:space="preserve"> (likewise for split </w:t>
      </w:r>
      <w:r>
        <w:rPr>
          <w:rStyle w:val="Foreign"/>
        </w:rPr>
        <w:t>au</w:t>
      </w:r>
      <w:r>
        <w:t>)</w:t>
      </w:r>
    </w:p>
    <w:p w14:paraId="2F442961" w14:textId="77777777" w:rsidR="00431357" w:rsidRDefault="00431357" w:rsidP="00431357">
      <w:pPr>
        <w:pStyle w:val="Lista"/>
      </w:pPr>
      <w:r>
        <w:t>in the above examples, ignore the dotted circle representing the body associated with dependent vowel signs</w:t>
      </w:r>
    </w:p>
    <w:p w14:paraId="64F445AD" w14:textId="77777777" w:rsidR="00431357" w:rsidRDefault="00431357" w:rsidP="00431357">
      <w:pPr>
        <w:pStyle w:val="Lista"/>
      </w:pPr>
      <w:r>
        <w:t>in the above examples, &lt;&gt; represents the interruption, which must be encoded appropriately (or, if you are only creating an e-text for later markup, clearly indicated in the transliteration) as follows:</w:t>
      </w:r>
    </w:p>
    <w:p w14:paraId="0A21FD14" w14:textId="77777777" w:rsidR="00431357" w:rsidRDefault="00431357" w:rsidP="00431357">
      <w:pPr>
        <w:pStyle w:val="Lista2"/>
      </w:pPr>
      <w:r>
        <w:t>line break: EGD §3.2.1 (if you are not using XML tags, start a new line in the e-text)</w:t>
      </w:r>
    </w:p>
    <w:p w14:paraId="54F6AC13" w14:textId="250468F3" w:rsidR="00431357" w:rsidRDefault="00431357" w:rsidP="00431357">
      <w:pPr>
        <w:pStyle w:val="Lista2"/>
      </w:pPr>
      <w:r>
        <w:t>space imposed by a physical feature of the support: EGD §4.3.5 to §4.3.8 (if you are not using XML tags, use an _ character as per TG §</w:t>
      </w:r>
      <w:r>
        <w:fldChar w:fldCharType="begin"/>
      </w:r>
      <w:r>
        <w:instrText xml:space="preserve"> REF _Ref22719364 \r \h </w:instrText>
      </w:r>
      <w:r>
        <w:fldChar w:fldCharType="separate"/>
      </w:r>
      <w:r w:rsidR="00CA5448">
        <w:t>5.2.3</w:t>
      </w:r>
      <w:r>
        <w:fldChar w:fldCharType="end"/>
      </w:r>
      <w:r>
        <w:t>)</w:t>
      </w:r>
    </w:p>
    <w:p w14:paraId="16343D81" w14:textId="77777777" w:rsidR="00431357" w:rsidRDefault="00431357" w:rsidP="00431357">
      <w:pPr>
        <w:pStyle w:val="Lista3"/>
      </w:pPr>
      <w:r>
        <w:t xml:space="preserve">e.g. </w:t>
      </w:r>
      <w:r>
        <w:rPr>
          <w:i/>
          <w:iCs/>
        </w:rPr>
        <w:t>A⌈_horātri</w:t>
      </w:r>
      <w:r>
        <w:t xml:space="preserve"> for the second line in the above copper-plate image</w:t>
      </w:r>
    </w:p>
    <w:p w14:paraId="6D284737" w14:textId="77777777" w:rsidR="00431357" w:rsidRDefault="00431357" w:rsidP="00431357">
      <w:pPr>
        <w:pStyle w:val="Lista"/>
      </w:pPr>
      <w:r>
        <w:t>if you encounter a character with a split-off part other than a prescript or postscript vowel marker, please contact us to discuss its most suitable representation</w:t>
      </w:r>
    </w:p>
    <w:p w14:paraId="3D410284" w14:textId="77777777" w:rsidR="00431357" w:rsidRDefault="00431357" w:rsidP="00431357">
      <w:pPr>
        <w:pStyle w:val="Lista"/>
      </w:pPr>
      <w:r>
        <w:t xml:space="preserve">see also EGD §4.1.4 about encoding lacunae and reading difficulties in combination with split characters, including in particular situations where an original glyph (component) may be either the Tamil postscript vowel marker </w:t>
      </w:r>
      <w:r>
        <w:rPr>
          <w:rStyle w:val="Foreign"/>
        </w:rPr>
        <w:t>kāl</w:t>
      </w:r>
      <w:r>
        <w:t xml:space="preserve"> (</w:t>
      </w:r>
      <w:r>
        <w:rPr>
          <w:rStyle w:val="ForeignTamilScript"/>
          <w:cs/>
        </w:rPr>
        <w:t>ா</w:t>
      </w:r>
      <w:r>
        <w:rPr>
          <w:rStyle w:val="ForeignTamilScript"/>
        </w:rPr>
        <w:t>)</w:t>
      </w:r>
      <w:r>
        <w:t xml:space="preserve"> or the character </w:t>
      </w:r>
      <w:r>
        <w:rPr>
          <w:rStyle w:val="Foreign"/>
        </w:rPr>
        <w:t>ra</w:t>
      </w:r>
      <w:r>
        <w:t xml:space="preserve"> (</w:t>
      </w:r>
      <w:r>
        <w:rPr>
          <w:rStyle w:val="ForeignTamilScript"/>
          <w:rFonts w:hint="eastAsia"/>
          <w:cs/>
        </w:rPr>
        <w:t>ர</w:t>
      </w:r>
      <w:r>
        <w:t>)</w:t>
      </w:r>
    </w:p>
    <w:p w14:paraId="020A4D69" w14:textId="77777777" w:rsidR="00431357" w:rsidRDefault="00431357" w:rsidP="00431357">
      <w:pPr>
        <w:pStyle w:val="Lista"/>
      </w:pPr>
      <w:r>
        <w:t xml:space="preserve">the use of these placeholder characters is </w:t>
      </w:r>
      <w:r>
        <w:rPr>
          <w:b/>
          <w:bCs/>
        </w:rPr>
        <w:t>optional, but strongly recommended</w:t>
      </w:r>
      <w:r>
        <w:t xml:space="preserve"> in all cases where you have access to the original or a surrogate</w:t>
      </w:r>
    </w:p>
    <w:p w14:paraId="6048653F" w14:textId="77777777" w:rsidR="00431357" w:rsidRDefault="00431357" w:rsidP="00431357">
      <w:pPr>
        <w:pStyle w:val="Lista2"/>
      </w:pPr>
      <w:r>
        <w:t xml:space="preserve">if you only have access to a printed edition or choose not to employ placeholder characters, you should still put all your transliterated characters pertaining to a single </w:t>
      </w:r>
      <w:r>
        <w:rPr>
          <w:rStyle w:val="Foreign"/>
        </w:rPr>
        <w:t>akṣara</w:t>
      </w:r>
      <w:r>
        <w:t xml:space="preserve"> on one side of the interruption, i.e. avoid transliterations such as </w:t>
      </w:r>
      <w:r>
        <w:rPr>
          <w:rStyle w:val="Foreign"/>
        </w:rPr>
        <w:t>k&lt;&gt;ā</w:t>
      </w:r>
      <w:r>
        <w:t xml:space="preserve">, </w:t>
      </w:r>
      <w:r>
        <w:rPr>
          <w:rStyle w:val="Foreign"/>
        </w:rPr>
        <w:t>k&lt;&gt;e</w:t>
      </w:r>
      <w:r>
        <w:t xml:space="preserve">, </w:t>
      </w:r>
      <w:r>
        <w:rPr>
          <w:rStyle w:val="Foreign"/>
        </w:rPr>
        <w:t>k&lt;&gt;o</w:t>
      </w:r>
    </w:p>
    <w:p w14:paraId="54611341" w14:textId="77777777" w:rsidR="00431357" w:rsidRDefault="00431357" w:rsidP="00431357">
      <w:pPr>
        <w:pStyle w:val="Cmsor1"/>
        <w:numPr>
          <w:ilvl w:val="0"/>
          <w:numId w:val="3"/>
        </w:numPr>
      </w:pPr>
      <w:bookmarkStart w:id="276" w:name="_Toc200963322"/>
      <w:r>
        <w:lastRenderedPageBreak/>
        <w:t>Transliterating non-alphabetic signs</w:t>
      </w:r>
      <w:bookmarkEnd w:id="266"/>
      <w:bookmarkEnd w:id="267"/>
      <w:bookmarkEnd w:id="276"/>
    </w:p>
    <w:p w14:paraId="2B2C8EA3" w14:textId="77777777" w:rsidR="00431357" w:rsidRDefault="00431357" w:rsidP="00431357">
      <w:pPr>
        <w:pStyle w:val="Cmsor2"/>
        <w:numPr>
          <w:ilvl w:val="1"/>
          <w:numId w:val="3"/>
        </w:numPr>
      </w:pPr>
      <w:bookmarkStart w:id="277" w:name="_lskh4nb1o2vy" w:colFirst="0" w:colLast="0"/>
      <w:bookmarkStart w:id="278" w:name="_Toc17811442"/>
      <w:bookmarkStart w:id="279" w:name="_Toc17811497"/>
      <w:bookmarkStart w:id="280" w:name="_Ref199858079"/>
      <w:bookmarkStart w:id="281" w:name="_Toc200963323"/>
      <w:bookmarkEnd w:id="277"/>
      <w:r>
        <w:t>Numer</w:t>
      </w:r>
      <w:bookmarkEnd w:id="278"/>
      <w:bookmarkEnd w:id="279"/>
      <w:r>
        <w:t>ic signs</w:t>
      </w:r>
      <w:bookmarkEnd w:id="280"/>
      <w:bookmarkEnd w:id="281"/>
    </w:p>
    <w:p w14:paraId="6768DDE0" w14:textId="77777777" w:rsidR="00431357" w:rsidRDefault="00431357" w:rsidP="00431357">
      <w:pPr>
        <w:pStyle w:val="Lista"/>
      </w:pPr>
      <w:r>
        <w:t xml:space="preserve">numbers written in </w:t>
      </w:r>
      <w:r>
        <w:rPr>
          <w:b/>
          <w:bCs/>
        </w:rPr>
        <w:t>decimal place-value notation</w:t>
      </w:r>
      <w:r>
        <w:t xml:space="preserve"> in the original shall be transliterated straightforwardly (e.g. 876), since each transliterated character corresponds here to one original character</w:t>
      </w:r>
    </w:p>
    <w:p w14:paraId="3D14D256" w14:textId="337541C8" w:rsidR="00431357" w:rsidRDefault="00431357" w:rsidP="00431357">
      <w:pPr>
        <w:pStyle w:val="Lista"/>
      </w:pPr>
      <w:r>
        <w:t>however, original ciphers which cannot be represented in transliteration by a single character (i.e. an Arabic digit for integers between 0 and 9, or a common vulgar fraction sign as per §</w:t>
      </w:r>
      <w:r>
        <w:fldChar w:fldCharType="begin"/>
      </w:r>
      <w:r>
        <w:instrText xml:space="preserve"> REF _Ref23770948 \r \h </w:instrText>
      </w:r>
      <w:r>
        <w:fldChar w:fldCharType="separate"/>
      </w:r>
      <w:r w:rsidR="00CA5448">
        <w:t>5.1.2</w:t>
      </w:r>
      <w:r>
        <w:fldChar w:fldCharType="end"/>
      </w:r>
      <w:r>
        <w:t xml:space="preserve"> below) require markup to indicate the fact that several transliterated characters together represent a single original character</w:t>
      </w:r>
    </w:p>
    <w:p w14:paraId="62D5FFA9" w14:textId="77777777" w:rsidR="00431357" w:rsidRDefault="00431357" w:rsidP="00431357">
      <w:pPr>
        <w:pStyle w:val="Lista2"/>
      </w:pPr>
      <w:r>
        <w:t>this markup is ideally in the form of XML tags as per EGD §4.2.2</w:t>
      </w:r>
    </w:p>
    <w:p w14:paraId="46BDEF1B" w14:textId="77777777" w:rsidR="00431357" w:rsidRDefault="00431357" w:rsidP="00431357">
      <w:pPr>
        <w:pStyle w:val="Lista2"/>
      </w:pPr>
      <w:r>
        <w:t>but to simplify your work, especially if you are creating an e-text that will not (or not immediately) be marked up in XML, you may take advantage of the following shorthand markup method, which will be automatically converted to the proper XML markup</w:t>
      </w:r>
      <w:r>
        <w:rPr>
          <w:rStyle w:val="Lbjegyzet-hivatkozs"/>
        </w:rPr>
        <w:footnoteReference w:id="87"/>
      </w:r>
    </w:p>
    <w:p w14:paraId="7F8AAA2F" w14:textId="77777777" w:rsidR="00431357" w:rsidRDefault="00431357" w:rsidP="00431357">
      <w:pPr>
        <w:pStyle w:val="Lista"/>
      </w:pPr>
      <w:r>
        <w:t>for integers 10 and above, written as a single original character,</w:t>
      </w:r>
    </w:p>
    <w:p w14:paraId="05AFC2F1" w14:textId="77777777" w:rsidR="00431357" w:rsidRDefault="00431357" w:rsidP="00431357">
      <w:pPr>
        <w:pStyle w:val="Lista2"/>
      </w:pPr>
      <w:r>
        <w:t>type a + sign after each transliterated number sequence of two or more Arabic numerals that represents a single numeric sign in the original</w:t>
      </w:r>
      <w:r>
        <w:rPr>
          <w:rStyle w:val="Lbjegyzet-hivatkozs"/>
        </w:rPr>
        <w:footnoteReference w:id="88"/>
      </w:r>
    </w:p>
    <w:p w14:paraId="42D64063" w14:textId="77777777" w:rsidR="00431357" w:rsidRDefault="00431357" w:rsidP="00431357">
      <w:pPr>
        <w:pStyle w:val="Lista3"/>
        <w:rPr>
          <w:lang w:eastAsia="en-GB"/>
        </w:rPr>
      </w:pPr>
      <w:r>
        <w:rPr>
          <w:lang w:eastAsia="en-GB"/>
        </w:rPr>
        <w:t>arguably, most Indic numerals in the 100s range could be viewed as combinations of several characters rather than as a single character, but we foresee no useful purpose that such a complex distinction could serve and therefore treat all these Indic numerals as single characters (with distinguishable components)</w:t>
      </w:r>
    </w:p>
    <w:p w14:paraId="3070EF95" w14:textId="77777777" w:rsidR="00431357" w:rsidRDefault="00431357" w:rsidP="00431357">
      <w:pPr>
        <w:pStyle w:val="Lista2"/>
        <w:rPr>
          <w:lang w:eastAsia="en-GB"/>
        </w:rPr>
      </w:pPr>
      <w:r>
        <w:rPr>
          <w:lang w:eastAsia="en-GB"/>
        </w:rPr>
        <w:t>for example:</w:t>
      </w:r>
    </w:p>
    <w:p w14:paraId="77A3E3E5" w14:textId="77777777" w:rsidR="00431357" w:rsidRDefault="00431357" w:rsidP="00431357">
      <w:pPr>
        <w:pStyle w:val="Lista4"/>
      </w:pPr>
      <w:r>
        <w:t xml:space="preserve">10+ means “10” written as a character for 10, e.g. Brahmi </w:t>
      </w:r>
      <w:r>
        <w:rPr>
          <w:rStyle w:val="ForeignBrahmiScript"/>
        </w:rPr>
        <w:t>𑁛</w:t>
      </w:r>
    </w:p>
    <w:p w14:paraId="656AADF1" w14:textId="77777777" w:rsidR="00431357" w:rsidRDefault="00431357" w:rsidP="00431357">
      <w:pPr>
        <w:pStyle w:val="Lista4"/>
      </w:pPr>
      <w:r>
        <w:t xml:space="preserve">10+ 2 means “12” written as a character for 10 followed by one for 2, e.g. Brahmi </w:t>
      </w:r>
      <w:r>
        <w:rPr>
          <w:rStyle w:val="ForeignBrahmiScript"/>
        </w:rPr>
        <w:t>𑁛𑁓</w:t>
      </w:r>
    </w:p>
    <w:p w14:paraId="489FEA2A" w14:textId="77777777" w:rsidR="00431357" w:rsidRDefault="00431357" w:rsidP="00431357">
      <w:pPr>
        <w:pStyle w:val="Lista4"/>
      </w:pPr>
      <w:r>
        <w:t xml:space="preserve">80+ 10+ means “90” written as a character for 80 followed by one for 10, e.g. Brahmi </w:t>
      </w:r>
      <w:r>
        <w:rPr>
          <w:rStyle w:val="ForeignBrahmiScript"/>
        </w:rPr>
        <w:t>𑁢𑁛</w:t>
      </w:r>
    </w:p>
    <w:p w14:paraId="39E73183" w14:textId="77777777" w:rsidR="00431357" w:rsidRDefault="00431357" w:rsidP="00431357">
      <w:pPr>
        <w:pStyle w:val="Lista4"/>
      </w:pPr>
      <w:r>
        <w:t>300+ 50+ 2 means “352” written as a character for 300, one for 50, and one for 2</w:t>
      </w:r>
    </w:p>
    <w:p w14:paraId="756349C6" w14:textId="77777777" w:rsidR="00431357" w:rsidRDefault="00431357" w:rsidP="00431357">
      <w:pPr>
        <w:pStyle w:val="Lista4"/>
      </w:pPr>
      <w:r>
        <w:t>1000+ 8 100+ 3 10+ means “1830” written in Tamil notation as 1000 (plus) 8 (times) 100 (plus) 3 (times) 10</w:t>
      </w:r>
    </w:p>
    <w:p w14:paraId="7D12334D" w14:textId="77777777" w:rsidR="00431357" w:rsidRDefault="00431357" w:rsidP="00431357">
      <w:pPr>
        <w:pStyle w:val="Lista2"/>
      </w:pPr>
      <w:r>
        <w:t xml:space="preserve">note that though this shorthand notation resembles the notation of older printed publications such as </w:t>
      </w:r>
      <w:r>
        <w:rPr>
          <w:rStyle w:val="Foreign"/>
        </w:rPr>
        <w:t>Epigraphia Indica</w:t>
      </w:r>
      <w:r>
        <w:t>, which used a + sign to indicate numerals inscribed in an additive system, in our shorthand + must mark the end of every sequence of two or more Arabic numerals that transliterate a single numeric sign in the original</w:t>
      </w:r>
    </w:p>
    <w:p w14:paraId="3E471346" w14:textId="77777777" w:rsidR="00431357" w:rsidRDefault="00431357" w:rsidP="00431357">
      <w:pPr>
        <w:pStyle w:val="Lista3"/>
      </w:pPr>
      <w:r>
        <w:t>thus, in our shorthand a final + sign is required in cases such as the following</w:t>
      </w:r>
    </w:p>
    <w:p w14:paraId="47BB3979" w14:textId="77777777" w:rsidR="00431357" w:rsidRDefault="00431357" w:rsidP="00431357">
      <w:pPr>
        <w:pStyle w:val="Lista4"/>
        <w:rPr>
          <w:rFonts w:eastAsia="Arial"/>
        </w:rPr>
      </w:pPr>
      <w:r>
        <w:t>10+ (rather than 10) – “10” written as a character for 10</w:t>
      </w:r>
    </w:p>
    <w:p w14:paraId="7498B703" w14:textId="77777777" w:rsidR="00431357" w:rsidRDefault="00431357" w:rsidP="00431357">
      <w:pPr>
        <w:pStyle w:val="Lista4"/>
      </w:pPr>
      <w:r>
        <w:t>300+50+ (rather than 300+50) – “350” written a character for 300 and one for 50</w:t>
      </w:r>
    </w:p>
    <w:p w14:paraId="21B1E90D" w14:textId="77777777" w:rsidR="00431357" w:rsidRDefault="00431357" w:rsidP="00431357">
      <w:pPr>
        <w:pStyle w:val="Cmsor3"/>
        <w:numPr>
          <w:ilvl w:val="2"/>
          <w:numId w:val="3"/>
        </w:numPr>
      </w:pPr>
      <w:bookmarkStart w:id="282" w:name="_Toc199757573"/>
      <w:bookmarkStart w:id="283" w:name="_Toc200963324"/>
      <w:r>
        <w:t>Numbers denoted by bars</w:t>
      </w:r>
      <w:bookmarkEnd w:id="282"/>
      <w:bookmarkEnd w:id="283"/>
    </w:p>
    <w:p w14:paraId="41464E0C" w14:textId="77777777" w:rsidR="00431357" w:rsidRDefault="00431357" w:rsidP="00431357">
      <w:pPr>
        <w:pStyle w:val="Lista"/>
      </w:pPr>
      <w:r>
        <w:rPr>
          <w:noProof/>
        </w:rPr>
        <w:drawing>
          <wp:anchor distT="0" distB="0" distL="114300" distR="114300" simplePos="0" relativeHeight="251662336" behindDoc="0" locked="0" layoutInCell="1" allowOverlap="1" wp14:anchorId="5E2884E6" wp14:editId="45F8BFA0">
            <wp:simplePos x="0" y="0"/>
            <wp:positionH relativeFrom="margin">
              <wp:align>right</wp:align>
            </wp:positionH>
            <wp:positionV relativeFrom="paragraph">
              <wp:posOffset>117577</wp:posOffset>
            </wp:positionV>
            <wp:extent cx="285115" cy="278130"/>
            <wp:effectExtent l="0" t="0" r="635" b="762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51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t>to transliterate numerals represented in Cambodian inscriptions by bars (</w:t>
      </w:r>
      <w:r>
        <w:rPr>
          <w:rStyle w:val="Foreign"/>
        </w:rPr>
        <w:t>daṇḍa</w:t>
      </w:r>
      <w:r>
        <w:t>) instead of numeric signs (as in the image, showing the number 3):</w:t>
      </w:r>
    </w:p>
    <w:p w14:paraId="412CF049" w14:textId="77777777" w:rsidR="00431357" w:rsidRDefault="00431357" w:rsidP="00431357">
      <w:pPr>
        <w:pStyle w:val="Lista2"/>
      </w:pPr>
      <w:r>
        <w:t>type as many I characters as there are bars in the original (NB: uppercase i characters, not vertical bars |)</w:t>
      </w:r>
    </w:p>
    <w:p w14:paraId="740AF6C2" w14:textId="77777777" w:rsidR="00431357" w:rsidRDefault="00431357" w:rsidP="00431357">
      <w:pPr>
        <w:pStyle w:val="Lista2"/>
      </w:pPr>
      <w:r>
        <w:t>type a + sign after the last I as shorthand markup</w:t>
      </w:r>
    </w:p>
    <w:p w14:paraId="63A9734D" w14:textId="77777777" w:rsidR="00431357" w:rsidRDefault="00431357" w:rsidP="00431357">
      <w:pPr>
        <w:pStyle w:val="Lista3"/>
        <w:rPr>
          <w:rFonts w:ascii="Arial" w:hAnsi="Arial" w:cs="Arial"/>
          <w:lang w:eastAsia="en-GB"/>
        </w:rPr>
      </w:pPr>
      <w:r>
        <w:rPr>
          <w:lang w:eastAsia="en-GB"/>
        </w:rPr>
        <w:t>note that unlike regular numerals, the + sign must be used in this case even after a single I representing the numeral 1</w:t>
      </w:r>
    </w:p>
    <w:p w14:paraId="76B93081" w14:textId="77777777" w:rsidR="00431357" w:rsidRDefault="00431357" w:rsidP="00431357">
      <w:pPr>
        <w:pStyle w:val="Lista3"/>
        <w:rPr>
          <w:rFonts w:ascii="Arial" w:hAnsi="Arial" w:cs="Arial"/>
          <w:lang w:eastAsia="en-GB"/>
        </w:rPr>
      </w:pPr>
      <w:r>
        <w:rPr>
          <w:lang w:eastAsia="en-GB"/>
        </w:rPr>
        <w:lastRenderedPageBreak/>
        <w:t>this shorthand will be automatically converted to markup indicating that these characters are not alphabetic and constitute a single meaningful character</w:t>
      </w:r>
    </w:p>
    <w:p w14:paraId="3986B568" w14:textId="77777777" w:rsidR="00431357" w:rsidRDefault="00431357" w:rsidP="00431357">
      <w:pPr>
        <w:pStyle w:val="Cmsor3"/>
        <w:numPr>
          <w:ilvl w:val="2"/>
          <w:numId w:val="3"/>
        </w:numPr>
      </w:pPr>
      <w:bookmarkStart w:id="284" w:name="_Ref23770948"/>
      <w:bookmarkStart w:id="285" w:name="_Toc199757574"/>
      <w:bookmarkStart w:id="286" w:name="_Toc200963325"/>
      <w:r>
        <w:t>Fractions</w:t>
      </w:r>
      <w:bookmarkEnd w:id="284"/>
      <w:bookmarkEnd w:id="285"/>
      <w:bookmarkEnd w:id="286"/>
    </w:p>
    <w:p w14:paraId="7FEA2A06" w14:textId="77777777" w:rsidR="00431357" w:rsidRDefault="00431357" w:rsidP="00431357">
      <w:pPr>
        <w:pStyle w:val="Lista"/>
      </w:pPr>
      <w:r>
        <w:t>for any fractional numbers represented in the original by a single character, use one of the following Unicode characters:</w:t>
      </w:r>
    </w:p>
    <w:p w14:paraId="555B20D0" w14:textId="77777777" w:rsidR="00431357" w:rsidRDefault="00431357" w:rsidP="00431357">
      <w:pPr>
        <w:pStyle w:val="Lista2"/>
      </w:pPr>
      <w:r>
        <w:t>½ (</w:t>
      </w:r>
      <w:r>
        <w:rPr>
          <w:rStyle w:val="Code"/>
        </w:rPr>
        <w:t>U+00BD</w:t>
      </w:r>
      <w:r>
        <w:t xml:space="preserve"> Vulgar Fraction One Half)</w:t>
      </w:r>
    </w:p>
    <w:p w14:paraId="2406B67D" w14:textId="77777777" w:rsidR="00431357" w:rsidRDefault="00431357" w:rsidP="00431357">
      <w:pPr>
        <w:pStyle w:val="Lista2"/>
      </w:pPr>
      <w:r>
        <w:rPr>
          <w:rFonts w:cs="Gentium Plus"/>
        </w:rPr>
        <w:t xml:space="preserve">⅓ </w:t>
      </w:r>
      <w:r>
        <w:t>(</w:t>
      </w:r>
      <w:r>
        <w:rPr>
          <w:rStyle w:val="Code"/>
        </w:rPr>
        <w:t>U+2153</w:t>
      </w:r>
      <w:r>
        <w:t xml:space="preserve"> Vulgar Fraction One Third)</w:t>
      </w:r>
    </w:p>
    <w:p w14:paraId="3093949B" w14:textId="77777777" w:rsidR="00431357" w:rsidRDefault="00431357" w:rsidP="00431357">
      <w:pPr>
        <w:pStyle w:val="Lista2"/>
      </w:pPr>
      <w:r>
        <w:rPr>
          <w:rFonts w:cs="Gentium Plus"/>
        </w:rPr>
        <w:t xml:space="preserve">⅔ </w:t>
      </w:r>
      <w:r>
        <w:t>(</w:t>
      </w:r>
      <w:r>
        <w:rPr>
          <w:rStyle w:val="Code"/>
        </w:rPr>
        <w:t>U+2154</w:t>
      </w:r>
      <w:r>
        <w:t xml:space="preserve"> Vulgar Fraction Two Thirds)</w:t>
      </w:r>
    </w:p>
    <w:p w14:paraId="28B8C4D1" w14:textId="77777777" w:rsidR="00431357" w:rsidRDefault="00431357" w:rsidP="00431357">
      <w:pPr>
        <w:pStyle w:val="Lista2"/>
      </w:pPr>
      <w:r>
        <w:rPr>
          <w:rFonts w:cs="Gentium Plus"/>
        </w:rPr>
        <w:t xml:space="preserve">¼ </w:t>
      </w:r>
      <w:r>
        <w:t>(</w:t>
      </w:r>
      <w:r>
        <w:rPr>
          <w:rStyle w:val="Code"/>
        </w:rPr>
        <w:t>U+00BC</w:t>
      </w:r>
      <w:r>
        <w:t xml:space="preserve"> Vulgar Fraction One Quarter)</w:t>
      </w:r>
    </w:p>
    <w:p w14:paraId="53635CD7" w14:textId="77777777" w:rsidR="00431357" w:rsidRDefault="00431357" w:rsidP="00431357">
      <w:pPr>
        <w:pStyle w:val="Lista2"/>
      </w:pPr>
      <w:r>
        <w:rPr>
          <w:rFonts w:cs="Gentium Plus"/>
        </w:rPr>
        <w:t xml:space="preserve">¾ </w:t>
      </w:r>
      <w:r>
        <w:t>(</w:t>
      </w:r>
      <w:r>
        <w:rPr>
          <w:rStyle w:val="Code"/>
        </w:rPr>
        <w:t>U+00BE</w:t>
      </w:r>
      <w:r>
        <w:t xml:space="preserve"> Vulgar Fraction Three Quarters)</w:t>
      </w:r>
    </w:p>
    <w:p w14:paraId="25ED98EC" w14:textId="77777777" w:rsidR="00431357" w:rsidRDefault="00431357" w:rsidP="00431357">
      <w:pPr>
        <w:pStyle w:val="Lista"/>
      </w:pPr>
      <w:r>
        <w:rPr>
          <w:noProof/>
        </w:rPr>
        <w:drawing>
          <wp:anchor distT="0" distB="0" distL="114300" distR="114300" simplePos="0" relativeHeight="251659264" behindDoc="0" locked="0" layoutInCell="1" allowOverlap="1" wp14:anchorId="56145429" wp14:editId="64ED9DA2">
            <wp:simplePos x="0" y="0"/>
            <wp:positionH relativeFrom="margin">
              <wp:posOffset>5753100</wp:posOffset>
            </wp:positionH>
            <wp:positionV relativeFrom="paragraph">
              <wp:posOffset>227491</wp:posOffset>
            </wp:positionV>
            <wp:extent cx="367030" cy="457200"/>
            <wp:effectExtent l="0" t="0" r="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03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should you encounter fraction signs not covered by the above,</w:t>
      </w:r>
      <w:r>
        <w:rPr>
          <w:rStyle w:val="Lbjegyzet-hivatkozs"/>
        </w:rPr>
        <w:footnoteReference w:id="89"/>
      </w:r>
      <w:r>
        <w:t xml:space="preserve"> transliterate them as a common fraction using a slash and add a + sign after the denominator as shorthand markup</w:t>
      </w:r>
    </w:p>
    <w:p w14:paraId="27105008" w14:textId="77777777" w:rsidR="00431357" w:rsidRDefault="00431357" w:rsidP="00431357">
      <w:pPr>
        <w:pStyle w:val="Lista2"/>
      </w:pPr>
      <w:r>
        <w:t>e.g. 1/8+ to transliterate a numeral sign meaning “one eighth”</w:t>
      </w:r>
    </w:p>
    <w:p w14:paraId="37DB0285" w14:textId="77777777" w:rsidR="00431357" w:rsidRDefault="00431357" w:rsidP="00431357">
      <w:pPr>
        <w:pStyle w:val="Lista2"/>
      </w:pPr>
      <w:r>
        <w:t xml:space="preserve">this shorthand will be automatically converted to markup as per EGD §4.2.2 </w:t>
      </w:r>
    </w:p>
    <w:p w14:paraId="67FC8A52" w14:textId="77777777" w:rsidR="00431357" w:rsidRDefault="00431357" w:rsidP="00431357">
      <w:pPr>
        <w:pStyle w:val="Lista"/>
      </w:pPr>
      <w:r>
        <w:rPr>
          <w:noProof/>
        </w:rPr>
        <w:drawing>
          <wp:anchor distT="0" distB="0" distL="114300" distR="114300" simplePos="0" relativeHeight="251661312" behindDoc="0" locked="0" layoutInCell="1" allowOverlap="1" wp14:anchorId="0AC5298B" wp14:editId="48D77D3B">
            <wp:simplePos x="0" y="0"/>
            <wp:positionH relativeFrom="margin">
              <wp:align>right</wp:align>
            </wp:positionH>
            <wp:positionV relativeFrom="paragraph">
              <wp:posOffset>65405</wp:posOffset>
            </wp:positionV>
            <wp:extent cx="691200" cy="46440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1200" cy="464400"/>
                    </a:xfrm>
                    <a:prstGeom prst="rect">
                      <a:avLst/>
                    </a:prstGeom>
                    <a:noFill/>
                    <a:ln>
                      <a:noFill/>
                    </a:ln>
                  </pic:spPr>
                </pic:pic>
              </a:graphicData>
            </a:graphic>
            <wp14:sizeRelH relativeFrom="page">
              <wp14:pctWidth>0</wp14:pctWidth>
            </wp14:sizeRelH>
            <wp14:sizeRelV relativeFrom="page">
              <wp14:pctHeight>0</wp14:pctHeight>
            </wp14:sizeRelV>
          </wp:anchor>
        </w:drawing>
      </w:r>
      <w:r>
        <w:t>the Khmer fraction sign in the shape of a cross (with a single or a double bar, see the images) shall always be transliterated as ½ (</w:t>
      </w:r>
      <w:r>
        <w:rPr>
          <w:rStyle w:val="Code"/>
        </w:rPr>
        <w:t>U+00BD</w:t>
      </w:r>
      <w:r>
        <w:t xml:space="preserve"> Vulgar Fraction One Half)</w:t>
      </w:r>
    </w:p>
    <w:p w14:paraId="5E535C1B" w14:textId="77777777" w:rsidR="00431357" w:rsidRDefault="00431357" w:rsidP="00431357">
      <w:pPr>
        <w:pStyle w:val="Cmsor2"/>
        <w:numPr>
          <w:ilvl w:val="1"/>
          <w:numId w:val="3"/>
        </w:numPr>
      </w:pPr>
      <w:bookmarkStart w:id="287" w:name="_fxkp7m4gvcim" w:colFirst="0" w:colLast="0"/>
      <w:bookmarkStart w:id="288" w:name="_Ref40886489"/>
      <w:bookmarkStart w:id="289" w:name="_Ref40887370"/>
      <w:bookmarkStart w:id="290" w:name="_Toc200963326"/>
      <w:bookmarkStart w:id="291" w:name="_Toc17811443"/>
      <w:bookmarkStart w:id="292" w:name="_Toc17811498"/>
      <w:bookmarkStart w:id="293" w:name="_Ref24531259"/>
      <w:bookmarkEnd w:id="287"/>
      <w:r>
        <w:t>Symbols</w:t>
      </w:r>
      <w:bookmarkEnd w:id="288"/>
      <w:bookmarkEnd w:id="289"/>
      <w:bookmarkEnd w:id="290"/>
    </w:p>
    <w:p w14:paraId="3F015C5D" w14:textId="77777777" w:rsidR="00431357" w:rsidRDefault="00431357" w:rsidP="00431357">
      <w:pPr>
        <w:pStyle w:val="Lista"/>
      </w:pPr>
      <w:r>
        <w:t>@avagraha here?</w:t>
      </w:r>
    </w:p>
    <w:p w14:paraId="792CA365" w14:textId="228969D7" w:rsidR="00C00EF3" w:rsidRDefault="00C00EF3" w:rsidP="00431357">
      <w:pPr>
        <w:pStyle w:val="Lista"/>
      </w:pPr>
      <w:r>
        <w:t>@abbreviation markers should definitely be moved here</w:t>
      </w:r>
    </w:p>
    <w:p w14:paraId="32412C7C" w14:textId="77777777" w:rsidR="00431357" w:rsidRDefault="00431357" w:rsidP="00431357">
      <w:pPr>
        <w:pStyle w:val="Lista"/>
      </w:pPr>
      <w:r>
        <w:t>in the terms of this Guide, “</w:t>
      </w:r>
      <w:r>
        <w:rPr>
          <w:b/>
          <w:bCs/>
        </w:rPr>
        <w:t>symbol</w:t>
      </w:r>
      <w:r>
        <w:t>” is an umbrella term for all non-alphanumeric characters</w:t>
      </w:r>
    </w:p>
    <w:p w14:paraId="09545C94" w14:textId="77777777" w:rsidR="00431357" w:rsidRDefault="00431357" w:rsidP="00431357">
      <w:pPr>
        <w:pStyle w:val="Lista"/>
      </w:pPr>
      <w:bookmarkStart w:id="294" w:name="_Ref15562528"/>
      <w:bookmarkStart w:id="295" w:name="_Toc17811445"/>
      <w:bookmarkStart w:id="296" w:name="_Toc17811500"/>
      <w:r>
        <w:t>we consider the diversity of non-alphanumeric symbols used in inscriptions to deserve preservation and investigation, but acknowledge the challenges of representing them in a machine-actionable scheme of manageable complexity, and therefore provide a combination of methods for handling them at different levels:</w:t>
      </w:r>
    </w:p>
    <w:p w14:paraId="047050D8" w14:textId="77777777" w:rsidR="00431357" w:rsidRDefault="00431357" w:rsidP="00431357">
      <w:pPr>
        <w:pStyle w:val="Lista2"/>
      </w:pPr>
      <w:r>
        <w:t>1. at the level of transliteration, symbols of a definite function (punctuation signs and space fillers) shall be represented by a dedicated character, but symbols whose function is not so straightforward (“miscellaneous symbols”) shall have no representation on this level, only on that of XML markup</w:t>
      </w:r>
    </w:p>
    <w:p w14:paraId="63DA0EFC" w14:textId="77777777" w:rsidR="00431357" w:rsidRDefault="00431357" w:rsidP="00431357">
      <w:pPr>
        <w:pStyle w:val="Lista2"/>
      </w:pPr>
      <w:r>
        <w:t>2. at the level of XML encoding, all symbols shall be encoded with a relatively simple classification of their shapes, for which see EGD §4.2.3</w:t>
      </w:r>
    </w:p>
    <w:p w14:paraId="3F7DD34E" w14:textId="77777777" w:rsidR="00431357" w:rsidRDefault="00431357" w:rsidP="00431357">
      <w:pPr>
        <w:pStyle w:val="Lista2"/>
      </w:pPr>
      <w:r>
        <w:t>3. at the level of human-readable metadata, symbols may (and generally should) be described in any detail that you deem appropriate, in the handDesc section of the TEI header (EGD §11.2.1)</w:t>
      </w:r>
    </w:p>
    <w:p w14:paraId="5920378B" w14:textId="77777777" w:rsidR="00431357" w:rsidRDefault="00431357" w:rsidP="00431357">
      <w:pPr>
        <w:pStyle w:val="Lista"/>
      </w:pPr>
      <w:r>
        <w:t xml:space="preserve">as an intermediate step between levels 1 and 2 above, the following subsections recommend the use of </w:t>
      </w:r>
      <w:r>
        <w:rPr>
          <w:b/>
          <w:bCs/>
        </w:rPr>
        <w:t>shorthand markup</w:t>
      </w:r>
      <w:r>
        <w:t xml:space="preserve"> for certain symbols</w:t>
      </w:r>
    </w:p>
    <w:p w14:paraId="43FFB207" w14:textId="77777777" w:rsidR="00431357" w:rsidRDefault="00431357" w:rsidP="00431357">
      <w:pPr>
        <w:pStyle w:val="Lista2"/>
      </w:pPr>
      <w:r>
        <w:t>we may opt later on to devise automatic conversion of this shorthand to XML markup, but it seems likely at present that we will not do so</w:t>
      </w:r>
    </w:p>
    <w:p w14:paraId="435D8AEA" w14:textId="77777777" w:rsidR="00431357" w:rsidRDefault="00431357" w:rsidP="00431357">
      <w:pPr>
        <w:pStyle w:val="Lista2"/>
      </w:pPr>
      <w:r>
        <w:t>thus, if you use the shorthand suggested here, please be prepared that you may have to replace it with XML markup yourself, and keep notes with a more accurate description of your punctuation signs than that afforded by the shorthand scheme</w:t>
      </w:r>
    </w:p>
    <w:p w14:paraId="76A6FAB6" w14:textId="77777777" w:rsidR="00431357" w:rsidRDefault="00431357" w:rsidP="00431357">
      <w:pPr>
        <w:pStyle w:val="Cmsor3"/>
        <w:numPr>
          <w:ilvl w:val="2"/>
          <w:numId w:val="3"/>
        </w:numPr>
      </w:pPr>
      <w:bookmarkStart w:id="297" w:name="_Toc199757575"/>
      <w:bookmarkStart w:id="298" w:name="_Ref199858162"/>
      <w:bookmarkStart w:id="299" w:name="_Toc200963327"/>
      <w:bookmarkEnd w:id="291"/>
      <w:bookmarkEnd w:id="292"/>
      <w:bookmarkEnd w:id="294"/>
      <w:bookmarkEnd w:id="295"/>
      <w:bookmarkEnd w:id="296"/>
      <w:r>
        <w:t>Punctuation signs</w:t>
      </w:r>
      <w:bookmarkEnd w:id="293"/>
      <w:bookmarkEnd w:id="297"/>
      <w:bookmarkEnd w:id="298"/>
      <w:bookmarkEnd w:id="299"/>
    </w:p>
    <w:p w14:paraId="7EED11CC" w14:textId="77777777" w:rsidR="00431357" w:rsidRDefault="00431357" w:rsidP="00431357">
      <w:pPr>
        <w:pStyle w:val="Lista"/>
      </w:pPr>
      <w:r>
        <w:t>in the terms of this Guide, “</w:t>
      </w:r>
      <w:r>
        <w:rPr>
          <w:b/>
          <w:bCs/>
        </w:rPr>
        <w:t>punctuation sign</w:t>
      </w:r>
      <w:r>
        <w:t>” is used in a sense restricted to symbols employed in the original for syntactic or metrical segmentation into relatively small units, similar in function to a modern comma, full stop, question mark, exclamation mark, colon or semicolon</w:t>
      </w:r>
    </w:p>
    <w:p w14:paraId="67D0BEB6" w14:textId="77777777" w:rsidR="00431357" w:rsidRDefault="00431357" w:rsidP="00431357">
      <w:pPr>
        <w:pStyle w:val="Lista2"/>
      </w:pPr>
      <w:r>
        <w:t xml:space="preserve">the scope of punctuation signs </w:t>
      </w:r>
      <w:r>
        <w:rPr>
          <w:b/>
          <w:bCs/>
        </w:rPr>
        <w:t>primarily includes</w:t>
      </w:r>
      <w:r>
        <w:t xml:space="preserve"> symbols</w:t>
      </w:r>
    </w:p>
    <w:p w14:paraId="4E3132D8" w14:textId="77777777" w:rsidR="00431357" w:rsidRDefault="00431357" w:rsidP="00431357">
      <w:pPr>
        <w:pStyle w:val="Lista3"/>
      </w:pPr>
      <w:r>
        <w:lastRenderedPageBreak/>
        <w:t>whose shape is derived from the small and originally simple non-figural marks used widely for punctuation in our scripts, e.g. vertical bars, dots, circles and dashes</w:t>
      </w:r>
    </w:p>
    <w:p w14:paraId="5078636E" w14:textId="77777777" w:rsidR="00431357" w:rsidRDefault="00431357" w:rsidP="00431357">
      <w:pPr>
        <w:pStyle w:val="Lista3"/>
      </w:pPr>
      <w:r>
        <w:t>whose primary function is to segment the text into sentences, clauses, list items or metrical units</w:t>
      </w:r>
    </w:p>
    <w:p w14:paraId="358B606F" w14:textId="77777777" w:rsidR="00431357" w:rsidRDefault="00431357" w:rsidP="00431357">
      <w:pPr>
        <w:pStyle w:val="Lista3"/>
      </w:pPr>
      <w:r>
        <w:t>which occur repeatedly in the body of a single text</w:t>
      </w:r>
    </w:p>
    <w:p w14:paraId="3EFF4443" w14:textId="77777777" w:rsidR="00431357" w:rsidRDefault="00431357" w:rsidP="00431357">
      <w:pPr>
        <w:pStyle w:val="Lista2"/>
      </w:pPr>
      <w:r>
        <w:t xml:space="preserve">the scope of punctuation signs </w:t>
      </w:r>
      <w:r>
        <w:rPr>
          <w:b/>
          <w:bCs/>
        </w:rPr>
        <w:t>does not normally include</w:t>
      </w:r>
      <w:r>
        <w:t xml:space="preserve"> symbols</w:t>
      </w:r>
    </w:p>
    <w:p w14:paraId="61EA922F" w14:textId="77777777" w:rsidR="00431357" w:rsidRDefault="00431357" w:rsidP="00431357">
      <w:pPr>
        <w:pStyle w:val="Lista3"/>
      </w:pPr>
      <w:r>
        <w:t>whose shape is figural or complexly ornamental, and is not derived from one of the simple basic shapes used for punctuation</w:t>
      </w:r>
    </w:p>
    <w:p w14:paraId="7EF6F8BA" w14:textId="77777777" w:rsidR="00431357" w:rsidRDefault="00431357" w:rsidP="00431357">
      <w:pPr>
        <w:pStyle w:val="Lista3"/>
      </w:pPr>
      <w:r>
        <w:t>whose primary function is to mark the beginning or end of an entire inscription or a major section thereof, and/or to express auspiciousness</w:t>
      </w:r>
    </w:p>
    <w:p w14:paraId="63B0E7BC" w14:textId="77777777" w:rsidR="00431357" w:rsidRDefault="00431357" w:rsidP="00431357">
      <w:pPr>
        <w:pStyle w:val="Lista3"/>
      </w:pPr>
      <w:r>
        <w:t>which occur only once per text or once per major section of text</w:t>
      </w:r>
    </w:p>
    <w:p w14:paraId="14B7145B" w14:textId="77777777" w:rsidR="00431357" w:rsidRDefault="00431357" w:rsidP="00431357">
      <w:pPr>
        <w:pStyle w:val="Lista"/>
      </w:pPr>
      <w:r>
        <w:rPr>
          <w:rFonts w:eastAsia="Gentium"/>
          <w:b/>
          <w:bCs/>
        </w:rPr>
        <w:t>original punctuation</w:t>
      </w:r>
      <w:r>
        <w:rPr>
          <w:rFonts w:eastAsia="Gentium"/>
        </w:rPr>
        <w:t xml:space="preserve"> must always be transliterated, but you should </w:t>
      </w:r>
      <w:r>
        <w:rPr>
          <w:b/>
          <w:bCs/>
        </w:rPr>
        <w:t>never add punctuation signs</w:t>
      </w:r>
      <w:r>
        <w:t xml:space="preserve"> not already present in the original</w:t>
      </w:r>
    </w:p>
    <w:p w14:paraId="4E94A09A" w14:textId="77777777" w:rsidR="00431357" w:rsidRDefault="00431357" w:rsidP="00431357">
      <w:pPr>
        <w:pStyle w:val="Lista2"/>
      </w:pPr>
      <w:r>
        <w:t>editorial punctuation may, however, be supplied using XML markup, see EGD §6.3.6</w:t>
      </w:r>
    </w:p>
    <w:p w14:paraId="36E220F8" w14:textId="49A286EF" w:rsidR="00431357" w:rsidRDefault="00431357" w:rsidP="00431357">
      <w:pPr>
        <w:pStyle w:val="Lista"/>
      </w:pPr>
      <w:r>
        <w:t>as outlined in the introduction to this section (§</w:t>
      </w:r>
      <w:r>
        <w:fldChar w:fldCharType="begin"/>
      </w:r>
      <w:r>
        <w:instrText xml:space="preserve"> REF _Ref40886489 \r \h </w:instrText>
      </w:r>
      <w:r>
        <w:fldChar w:fldCharType="separate"/>
      </w:r>
      <w:r w:rsidR="00CA5448">
        <w:t>5.2</w:t>
      </w:r>
      <w:r>
        <w:fldChar w:fldCharType="end"/>
      </w:r>
      <w:r>
        <w:t>), punctuation signs shall be represented</w:t>
      </w:r>
    </w:p>
    <w:p w14:paraId="1C178896" w14:textId="77777777" w:rsidR="00431357" w:rsidRDefault="00431357" w:rsidP="00431357">
      <w:pPr>
        <w:pStyle w:val="Lista2"/>
      </w:pPr>
      <w:r>
        <w:t>1. at the level of transliteration, by the dedicated character . (full stop, period), which by our convention shall be understood as an abstract punctuation sign without any assertion as to its physical appearance</w:t>
      </w:r>
    </w:p>
    <w:p w14:paraId="4DDFA8B3" w14:textId="77777777" w:rsidR="00431357" w:rsidRDefault="00431357" w:rsidP="00431357">
      <w:pPr>
        <w:pStyle w:val="Lista2"/>
      </w:pPr>
      <w:r>
        <w:t>2. at the level of XML encoding, with a relatively simple classification of their shapes</w:t>
      </w:r>
    </w:p>
    <w:p w14:paraId="1857BC70" w14:textId="77777777" w:rsidR="00431357" w:rsidRDefault="00431357" w:rsidP="00431357">
      <w:pPr>
        <w:pStyle w:val="Lista2"/>
      </w:pPr>
      <w:r>
        <w:t>3. at the level of human-readable metadata, in additional human-readable detail</w:t>
      </w:r>
    </w:p>
    <w:p w14:paraId="78E4CD41" w14:textId="77777777" w:rsidR="00431357" w:rsidRDefault="00431357" w:rsidP="00431357">
      <w:pPr>
        <w:pStyle w:val="Lista"/>
      </w:pPr>
      <w:r>
        <w:t>as an intermediate step between levels 1 and 2 above, we recommend the use of shorthand markup for the basic forms of common punctuation characters, as follows:</w:t>
      </w:r>
    </w:p>
    <w:p w14:paraId="7CA33C22" w14:textId="77777777" w:rsidR="00431357" w:rsidRDefault="00431357" w:rsidP="00431357">
      <w:pPr>
        <w:pStyle w:val="Lista2"/>
      </w:pPr>
      <w:r>
        <w:t>all of the following shorthand characters should be followed by a space in transliteration, but not preceded by one</w:t>
      </w:r>
    </w:p>
    <w:p w14:paraId="1D46D891" w14:textId="77777777" w:rsidR="00431357" w:rsidRDefault="00431357" w:rsidP="00431357">
      <w:pPr>
        <w:pStyle w:val="Lista2"/>
        <w:rPr>
          <w:rFonts w:eastAsia="Arial"/>
        </w:rPr>
      </w:pPr>
      <w:r>
        <w:t>| (</w:t>
      </w:r>
      <w:r>
        <w:rPr>
          <w:rStyle w:val="Code"/>
        </w:rPr>
        <w:t>U+007C</w:t>
      </w:r>
      <w:r>
        <w:t xml:space="preserve"> Vertical Line): for signs comprised of a single plain vertical bar (corresponding to the symbol token “danda”)</w:t>
      </w:r>
    </w:p>
    <w:p w14:paraId="41EF0206" w14:textId="77777777" w:rsidR="00431357" w:rsidRDefault="00431357" w:rsidP="00431357">
      <w:pPr>
        <w:pStyle w:val="Lista3"/>
      </w:pPr>
      <w:r>
        <w:rPr>
          <w:rFonts w:eastAsia="Arial"/>
        </w:rPr>
        <w:t xml:space="preserve">when transliterating two or more iterations of single vertical lines, make sure you add a space between them to differentiate them from double </w:t>
      </w:r>
      <w:r>
        <w:rPr>
          <w:rStyle w:val="Foreign"/>
          <w:rFonts w:eastAsia="Arial"/>
        </w:rPr>
        <w:t>daṇḍa</w:t>
      </w:r>
      <w:r>
        <w:rPr>
          <w:rFonts w:eastAsia="Arial"/>
        </w:rPr>
        <w:t>s</w:t>
      </w:r>
    </w:p>
    <w:p w14:paraId="092D87BC" w14:textId="77777777" w:rsidR="00431357" w:rsidRDefault="00431357" w:rsidP="00431357">
      <w:pPr>
        <w:pStyle w:val="Lista2"/>
        <w:rPr>
          <w:rFonts w:eastAsia="Arial"/>
        </w:rPr>
      </w:pPr>
      <w:r>
        <w:t>|| (</w:t>
      </w:r>
      <w:r>
        <w:rPr>
          <w:rStyle w:val="Code"/>
        </w:rPr>
        <w:t>U+007C</w:t>
      </w:r>
      <w:r>
        <w:t xml:space="preserve"> Vertical Line, twice): for signs comprised of a double plain vertical bar (corresponding to the symbol token “ddanda”)</w:t>
      </w:r>
    </w:p>
    <w:p w14:paraId="32BCEBD3" w14:textId="77777777" w:rsidR="00431357" w:rsidRDefault="00431357" w:rsidP="00431357">
      <w:pPr>
        <w:pStyle w:val="Lista2"/>
      </w:pPr>
      <w:r>
        <w:t>/ (regular slash): for signs comprised of a single vertical bar with a hook, crossbar or ornamental addition (corresponding to the symbol token “dandaOrnate”)</w:t>
      </w:r>
    </w:p>
    <w:p w14:paraId="14AFBDCB" w14:textId="77777777" w:rsidR="00431357" w:rsidRDefault="00431357" w:rsidP="00431357">
      <w:pPr>
        <w:pStyle w:val="Lista2"/>
      </w:pPr>
      <w:r>
        <w:t>// (two regular slashes): for signs comprised of a double vertical bar with a hook, crossbar or ornamental addition (corresponding to the symbol token “ddandaOrnate”)</w:t>
      </w:r>
    </w:p>
    <w:p w14:paraId="3510DACE" w14:textId="77777777" w:rsidR="00431357" w:rsidRDefault="00431357" w:rsidP="00431357">
      <w:pPr>
        <w:pStyle w:val="Lista2"/>
      </w:pPr>
      <w:r>
        <w:t xml:space="preserve">, (comma): for short, predominantly vertical and often curved strokes normally floating at or above median height, including half-sized </w:t>
      </w:r>
      <w:r>
        <w:rPr>
          <w:rStyle w:val="Foreign"/>
        </w:rPr>
        <w:t>daṇḍa</w:t>
      </w:r>
      <w:r>
        <w:t xml:space="preserve">s and the raised comma-like sign that is the basic punctuation sign on Java and Bali (modern Balinese </w:t>
      </w:r>
      <w:r>
        <w:rPr>
          <w:rStyle w:val="ForeignBalineseScript"/>
        </w:rPr>
        <w:t>᭞</w:t>
      </w:r>
      <w:r>
        <w:t>) (corresponding to the symbol token “comma”)</w:t>
      </w:r>
    </w:p>
    <w:p w14:paraId="62A6E44E" w14:textId="77777777" w:rsidR="00431357" w:rsidRDefault="00431357" w:rsidP="00431357">
      <w:pPr>
        <w:pStyle w:val="Lista2"/>
      </w:pPr>
      <w:r>
        <w:t>~ (</w:t>
      </w:r>
      <w:r>
        <w:rPr>
          <w:rStyle w:val="Code"/>
        </w:rPr>
        <w:t>U+223C</w:t>
      </w:r>
      <w:r>
        <w:t xml:space="preserve"> Tilde Operator): for signs comprised of a single horizontal dash, plain or with ornamentation (corresponding to the symbol token “dash”)</w:t>
      </w:r>
    </w:p>
    <w:p w14:paraId="37916B83" w14:textId="77777777" w:rsidR="00431357" w:rsidRDefault="00431357" w:rsidP="00431357">
      <w:pPr>
        <w:pStyle w:val="Lista2"/>
      </w:pPr>
      <w:r>
        <w:t>@ (“at” sign) for any punctuation sign that does not easily fall under any of the above categories (such as more or less complex dots and circles)</w:t>
      </w:r>
    </w:p>
    <w:p w14:paraId="60D65EFF" w14:textId="77777777" w:rsidR="00431357" w:rsidRDefault="00431357" w:rsidP="00431357">
      <w:pPr>
        <w:pStyle w:val="Lista3"/>
      </w:pPr>
      <w:r>
        <w:t>the transformation of this character into XML markup will definitely not be automated and will have to be handled by you manually if you use this shorthand</w:t>
      </w:r>
    </w:p>
    <w:p w14:paraId="1B0757BF" w14:textId="77777777" w:rsidR="00431357" w:rsidRDefault="00431357" w:rsidP="00431357">
      <w:pPr>
        <w:pStyle w:val="Cmsor3"/>
        <w:numPr>
          <w:ilvl w:val="2"/>
          <w:numId w:val="3"/>
        </w:numPr>
      </w:pPr>
      <w:bookmarkStart w:id="300" w:name="_118t60ako401" w:colFirst="0" w:colLast="0"/>
      <w:bookmarkStart w:id="301" w:name="_Toc17811444"/>
      <w:bookmarkStart w:id="302" w:name="_Toc17811499"/>
      <w:bookmarkStart w:id="303" w:name="_Toc199757576"/>
      <w:bookmarkStart w:id="304" w:name="_Ref199858237"/>
      <w:bookmarkStart w:id="305" w:name="_Toc200963328"/>
      <w:bookmarkEnd w:id="300"/>
      <w:r>
        <w:t>Space filler signs</w:t>
      </w:r>
      <w:bookmarkEnd w:id="301"/>
      <w:bookmarkEnd w:id="302"/>
      <w:bookmarkEnd w:id="303"/>
      <w:bookmarkEnd w:id="304"/>
      <w:bookmarkEnd w:id="305"/>
    </w:p>
    <w:p w14:paraId="03BDFE93" w14:textId="77777777" w:rsidR="00431357" w:rsidRDefault="00431357" w:rsidP="00431357">
      <w:pPr>
        <w:pStyle w:val="Lista"/>
      </w:pPr>
      <w:r>
        <w:t>in the terms of this Guide, “</w:t>
      </w:r>
      <w:r>
        <w:rPr>
          <w:b/>
          <w:bCs/>
        </w:rPr>
        <w:t>space filler</w:t>
      </w:r>
      <w:r>
        <w:t>” is used in a sense restricted to symbols whose function is clearly and unambiguously to fill up space in a line to the binding-hole or margin</w:t>
      </w:r>
    </w:p>
    <w:p w14:paraId="2ADC0C1E" w14:textId="77777777" w:rsidR="00431357" w:rsidRDefault="00431357" w:rsidP="00431357">
      <w:pPr>
        <w:pStyle w:val="Lista2"/>
      </w:pPr>
      <w:r>
        <w:t>symbols that do not meet this functional criterion shall be encoded as miscellaneous symbols even if they are identical in visual appearance to symbols used as space fillers elsewhere in the document or the corpus</w:t>
      </w:r>
    </w:p>
    <w:p w14:paraId="56C9B603" w14:textId="7ACD581E" w:rsidR="00431357" w:rsidRDefault="00431357" w:rsidP="00431357">
      <w:pPr>
        <w:pStyle w:val="Lista"/>
      </w:pPr>
      <w:r>
        <w:t>as outlined in the introduction to this section (§</w:t>
      </w:r>
      <w:r>
        <w:fldChar w:fldCharType="begin"/>
      </w:r>
      <w:r>
        <w:instrText xml:space="preserve"> REF _Ref40886489 \r \h </w:instrText>
      </w:r>
      <w:r>
        <w:fldChar w:fldCharType="separate"/>
      </w:r>
      <w:r w:rsidR="00CA5448">
        <w:t>5.2</w:t>
      </w:r>
      <w:r>
        <w:fldChar w:fldCharType="end"/>
      </w:r>
      <w:r>
        <w:t>), space fillers shall be represented</w:t>
      </w:r>
    </w:p>
    <w:p w14:paraId="13586623" w14:textId="77777777" w:rsidR="00431357" w:rsidRDefault="00431357" w:rsidP="00431357">
      <w:pPr>
        <w:pStyle w:val="Lista2"/>
      </w:pPr>
      <w:r>
        <w:lastRenderedPageBreak/>
        <w:t>1. at the level of transliteration, by the dedicated character § (</w:t>
      </w:r>
      <w:r>
        <w:rPr>
          <w:rStyle w:val="Code"/>
        </w:rPr>
        <w:t>U+00A7</w:t>
      </w:r>
      <w:r>
        <w:t xml:space="preserve"> Section Sign), which by our convention shall be understood as an abstract space filler without any assertion as to its physical appearance</w:t>
      </w:r>
    </w:p>
    <w:p w14:paraId="41530669" w14:textId="77777777" w:rsidR="00431357" w:rsidRDefault="00431357" w:rsidP="00431357">
      <w:pPr>
        <w:pStyle w:val="Lista2"/>
      </w:pPr>
      <w:r>
        <w:t>2. at the level of XML encoding, with a relatively simple classification of their shapes</w:t>
      </w:r>
    </w:p>
    <w:p w14:paraId="2929BEBE" w14:textId="77777777" w:rsidR="00431357" w:rsidRDefault="00431357" w:rsidP="00431357">
      <w:pPr>
        <w:pStyle w:val="Lista2"/>
      </w:pPr>
      <w:r>
        <w:t>3. at the level of human-readable metadata, in additional human-readable detail</w:t>
      </w:r>
    </w:p>
    <w:p w14:paraId="41873546" w14:textId="77777777" w:rsidR="00431357" w:rsidRDefault="00431357" w:rsidP="00431357">
      <w:pPr>
        <w:pStyle w:val="Lista"/>
      </w:pPr>
      <w:r>
        <w:t>we recommend the use of the following shorthand markup as an intermediate step between levels 1 and 2 above</w:t>
      </w:r>
    </w:p>
    <w:p w14:paraId="7B138562" w14:textId="77777777" w:rsidR="00431357" w:rsidRDefault="00431357" w:rsidP="00431357">
      <w:pPr>
        <w:pStyle w:val="Lista2"/>
      </w:pPr>
      <w:r>
        <w:t>since the use of space fillers is most common within our corpus in Javanese documents, a § character without an XML tag encoding its shape will be understood by default as being of the Javanese form, and will be automatically tagged in XML as having that form</w:t>
      </w:r>
    </w:p>
    <w:p w14:paraId="36F10154" w14:textId="77777777" w:rsidR="00431357" w:rsidRDefault="00431357" w:rsidP="00431357">
      <w:pPr>
        <w:pStyle w:val="Lista2"/>
      </w:pPr>
      <w:r>
        <w:t>fillers for any other shape shall ideally be encoded in XML, but if necessary, you may use the shorthand §abc</w:t>
      </w:r>
    </w:p>
    <w:p w14:paraId="56CCCFC0" w14:textId="77777777" w:rsidR="00431357" w:rsidRDefault="00431357" w:rsidP="00431357">
      <w:pPr>
        <w:pStyle w:val="Lista3"/>
      </w:pPr>
      <w:r>
        <w:t>where “abc” (any sequence of letters, followed by a space) will be converted into a symbol token in the XML tag to be added to the § character</w:t>
      </w:r>
    </w:p>
    <w:p w14:paraId="0A4AE998" w14:textId="77777777" w:rsidR="00431357" w:rsidRDefault="00431357" w:rsidP="00431357">
      <w:pPr>
        <w:pStyle w:val="Cmsor3"/>
        <w:numPr>
          <w:ilvl w:val="2"/>
          <w:numId w:val="3"/>
        </w:numPr>
      </w:pPr>
      <w:bookmarkStart w:id="306" w:name="_qf594d17lij7" w:colFirst="0" w:colLast="0"/>
      <w:bookmarkStart w:id="307" w:name="_3n6j1rqqfqgj" w:colFirst="0" w:colLast="0"/>
      <w:bookmarkStart w:id="308" w:name="_Toc199757577"/>
      <w:bookmarkStart w:id="309" w:name="_Ref199858345"/>
      <w:bookmarkStart w:id="310" w:name="_Toc200963329"/>
      <w:bookmarkStart w:id="311" w:name="_Toc17811446"/>
      <w:bookmarkStart w:id="312" w:name="_Toc17811501"/>
      <w:bookmarkStart w:id="313" w:name="_Ref22719364"/>
      <w:bookmarkEnd w:id="306"/>
      <w:bookmarkEnd w:id="307"/>
      <w:r>
        <w:t>Generic symbols</w:t>
      </w:r>
      <w:bookmarkEnd w:id="308"/>
      <w:bookmarkEnd w:id="309"/>
      <w:bookmarkEnd w:id="310"/>
    </w:p>
    <w:p w14:paraId="76F034D2" w14:textId="77777777" w:rsidR="00431357" w:rsidRDefault="00431357" w:rsidP="00431357">
      <w:pPr>
        <w:pStyle w:val="Lista"/>
      </w:pPr>
      <w:r>
        <w:t>in the terms of this Guide, a “</w:t>
      </w:r>
      <w:r>
        <w:rPr>
          <w:b/>
          <w:bCs/>
        </w:rPr>
        <w:t>generic symbol</w:t>
      </w:r>
      <w:r>
        <w:t>” is any symbol that does not meet the criteria for punctuation signs and space fillers as defined above</w:t>
      </w:r>
    </w:p>
    <w:p w14:paraId="78275CDD" w14:textId="77777777" w:rsidR="00431357" w:rsidRDefault="00431357" w:rsidP="00431357">
      <w:pPr>
        <w:pStyle w:val="Lista"/>
      </w:pPr>
      <w:r>
        <w:t>note that auspicious (</w:t>
      </w:r>
      <w:r>
        <w:rPr>
          <w:rStyle w:val="Foreign"/>
        </w:rPr>
        <w:t>maṅgala</w:t>
      </w:r>
      <w:r>
        <w:t xml:space="preserve">) symbols should never be transliterated as the words </w:t>
      </w:r>
      <w:r>
        <w:rPr>
          <w:rStyle w:val="Foreign"/>
        </w:rPr>
        <w:t>siddham</w:t>
      </w:r>
      <w:r>
        <w:t xml:space="preserve"> or </w:t>
      </w:r>
      <w:r>
        <w:rPr>
          <w:rStyle w:val="Foreign"/>
        </w:rPr>
        <w:t>om̐</w:t>
      </w:r>
    </w:p>
    <w:p w14:paraId="19227ECD" w14:textId="378B025D" w:rsidR="00431357" w:rsidRDefault="00431357" w:rsidP="00431357">
      <w:pPr>
        <w:pStyle w:val="Lista"/>
      </w:pPr>
      <w:r>
        <w:t>as outlined in the introduction to this section (§</w:t>
      </w:r>
      <w:r>
        <w:fldChar w:fldCharType="begin"/>
      </w:r>
      <w:r>
        <w:instrText xml:space="preserve"> REF _Ref40886489 \r \h </w:instrText>
      </w:r>
      <w:r>
        <w:fldChar w:fldCharType="separate"/>
      </w:r>
      <w:r w:rsidR="00CA5448">
        <w:t>5.2</w:t>
      </w:r>
      <w:r>
        <w:fldChar w:fldCharType="end"/>
      </w:r>
      <w:r>
        <w:t>), generic symbols shall not be represented at the level of transliteration and should ideally always be handled in XML markup (supplemented by human-readable description)</w:t>
      </w:r>
    </w:p>
    <w:p w14:paraId="5B674355" w14:textId="77777777" w:rsidR="00431357" w:rsidRDefault="00431357" w:rsidP="00431357">
      <w:pPr>
        <w:pStyle w:val="Lista2"/>
      </w:pPr>
      <w:r>
        <w:t>the essential feature of the relevant XML markup is the use of symbol tokens (EGD §4.2.3)</w:t>
      </w:r>
    </w:p>
    <w:p w14:paraId="238EEAF3" w14:textId="77777777" w:rsidR="00431357" w:rsidRDefault="00431357" w:rsidP="00431357">
      <w:pPr>
        <w:pStyle w:val="Lista"/>
      </w:pPr>
      <w:r>
        <w:t>to simplify your work, especially when you are creating an e-text that will not (yet) be marked up in XML, you may choose either of the following shorthand methods for representing miscellaneous symbols</w:t>
      </w:r>
    </w:p>
    <w:p w14:paraId="3CD8224D" w14:textId="77777777" w:rsidR="00431357" w:rsidRDefault="00431357" w:rsidP="00431357">
      <w:pPr>
        <w:pStyle w:val="Lista2"/>
      </w:pPr>
      <w:r>
        <w:t>as tokens, using $abc</w:t>
      </w:r>
    </w:p>
    <w:p w14:paraId="4AA8BC63" w14:textId="77777777" w:rsidR="00431357" w:rsidRDefault="00431357" w:rsidP="00431357">
      <w:pPr>
        <w:pStyle w:val="Lista3"/>
      </w:pPr>
      <w:r>
        <w:t>where “abc” (any sequence of letters, followed by a space) will be converted into a symbol token in the XML tag representing the symbol</w:t>
      </w:r>
    </w:p>
    <w:p w14:paraId="465008B1" w14:textId="77777777" w:rsidR="00431357" w:rsidRDefault="00431357" w:rsidP="00431357">
      <w:pPr>
        <w:pStyle w:val="Lista2"/>
      </w:pPr>
      <w:r>
        <w:t xml:space="preserve">as dingbats, using any Unicode character approximating the original glyph (e.g. </w:t>
      </w:r>
      <w:r>
        <w:rPr>
          <w:rFonts w:ascii="Segoe UI Symbol" w:hAnsi="Segoe UI Symbol"/>
        </w:rPr>
        <w:t>◊</w:t>
      </w:r>
      <w:r>
        <w:rPr>
          <w:rFonts w:ascii="Segoe UI Symbol" w:eastAsia="SimSun" w:hAnsi="Segoe UI Symbol" w:cs="SimSun"/>
        </w:rPr>
        <w:t>卐</w:t>
      </w:r>
      <w:r>
        <w:rPr>
          <w:rFonts w:ascii="Segoe UI Symbol" w:hAnsi="Segoe UI Symbol" w:cs="Segoe UI Symbol"/>
        </w:rPr>
        <w:t>✤</w:t>
      </w:r>
      <w:r>
        <w:t>)</w:t>
      </w:r>
    </w:p>
    <w:p w14:paraId="076A4944" w14:textId="77777777" w:rsidR="00431357" w:rsidRDefault="00431357" w:rsidP="00431357">
      <w:pPr>
        <w:pStyle w:val="Cmsor3"/>
        <w:numPr>
          <w:ilvl w:val="2"/>
          <w:numId w:val="3"/>
        </w:numPr>
      </w:pPr>
      <w:bookmarkStart w:id="314" w:name="_Toc199757578"/>
      <w:bookmarkStart w:id="315" w:name="_Ref199858306"/>
      <w:bookmarkStart w:id="316" w:name="_Toc200963330"/>
      <w:r>
        <w:t>Space</w:t>
      </w:r>
      <w:bookmarkEnd w:id="311"/>
      <w:bookmarkEnd w:id="312"/>
      <w:bookmarkEnd w:id="313"/>
      <w:bookmarkEnd w:id="314"/>
      <w:bookmarkEnd w:id="315"/>
      <w:bookmarkEnd w:id="316"/>
    </w:p>
    <w:p w14:paraId="13897CD0" w14:textId="77777777" w:rsidR="00431357" w:rsidRDefault="00431357" w:rsidP="00431357">
      <w:pPr>
        <w:pStyle w:val="Lista"/>
      </w:pPr>
      <w:r>
        <w:t>spaces in your text must be encoded in XML as per EGD §4.3</w:t>
      </w:r>
    </w:p>
    <w:p w14:paraId="1C85F980" w14:textId="77777777" w:rsidR="00431357" w:rsidRDefault="00431357" w:rsidP="00431357">
      <w:pPr>
        <w:pStyle w:val="Lista"/>
      </w:pPr>
      <w:r>
        <w:t>to simplify your work, especially when you are creating an e-text that will not (yet) be marked up in XML, you may use the shorthand markup _ (underscore) where an inscription employs an interword space (large enough to be called a space but smaller than the width of two average characters)</w:t>
      </w:r>
    </w:p>
    <w:p w14:paraId="5AC17758" w14:textId="77777777" w:rsidR="00431357" w:rsidRDefault="00431357" w:rsidP="00431357">
      <w:pPr>
        <w:pStyle w:val="Lista2"/>
      </w:pPr>
      <w:r>
        <w:t>it is recommended that you also use a regular space before and after the underscore, but this is not required</w:t>
      </w:r>
    </w:p>
    <w:p w14:paraId="4B0C4E9F" w14:textId="77777777" w:rsidR="00431357" w:rsidRDefault="00431357" w:rsidP="00431357">
      <w:pPr>
        <w:pStyle w:val="Lista"/>
      </w:pPr>
      <w:r>
        <w:t>any other spaces — such as space left blank for filling later, or because of a defect or feature of the material — can only be handled in XML</w:t>
      </w:r>
    </w:p>
    <w:p w14:paraId="323119EE" w14:textId="77777777" w:rsidR="00431357" w:rsidRDefault="00431357" w:rsidP="00431357">
      <w:pPr>
        <w:pStyle w:val="Cmsor1"/>
        <w:numPr>
          <w:ilvl w:val="0"/>
          <w:numId w:val="3"/>
        </w:numPr>
      </w:pPr>
      <w:bookmarkStart w:id="317" w:name="_3znysh7" w:colFirst="0" w:colLast="0"/>
      <w:bookmarkStart w:id="318" w:name="_3vicsiwxvh94" w:colFirst="0" w:colLast="0"/>
      <w:bookmarkStart w:id="319" w:name="_hv2uvfxl0lay" w:colFirst="0" w:colLast="0"/>
      <w:bookmarkStart w:id="320" w:name="_ql9phuu609jo" w:colFirst="0" w:colLast="0"/>
      <w:bookmarkStart w:id="321" w:name="_Toc17811447"/>
      <w:bookmarkStart w:id="322" w:name="_Toc17811502"/>
      <w:bookmarkStart w:id="323" w:name="_Toc200963331"/>
      <w:bookmarkEnd w:id="317"/>
      <w:bookmarkEnd w:id="318"/>
      <w:bookmarkEnd w:id="319"/>
      <w:bookmarkEnd w:id="320"/>
      <w:r>
        <w:lastRenderedPageBreak/>
        <w:t>References</w:t>
      </w:r>
      <w:bookmarkEnd w:id="321"/>
      <w:bookmarkEnd w:id="322"/>
      <w:bookmarkEnd w:id="323"/>
    </w:p>
    <w:p w14:paraId="20BC9615" w14:textId="77777777" w:rsidR="00431357" w:rsidRDefault="00431357" w:rsidP="00431357">
      <w:pPr>
        <w:pStyle w:val="Irodalomjegyzk"/>
      </w:pPr>
      <w:r>
        <w:t>@hard</w:t>
      </w:r>
    </w:p>
    <w:p w14:paraId="7DD65634" w14:textId="77777777" w:rsidR="00431357" w:rsidRDefault="00431357" w:rsidP="00431357">
      <w:pPr>
        <w:pStyle w:val="Irodalomjegyzk"/>
      </w:pPr>
      <w:r>
        <w:t xml:space="preserve">Brookes, Stewart, Peter A. Stokes, Matilda Watson, and Débora Marques de Matos. 2015. ‘The DigiPal Project for European Scripts and Decorations’. In </w:t>
      </w:r>
      <w:r>
        <w:rPr>
          <w:i/>
        </w:rPr>
        <w:t>Writing Europe, 500-1450</w:t>
      </w:r>
      <w:r>
        <w:t>, edited by Aidan Conti, Orietta Da Rold, and Philip Shaw, NED-New edition, 25–58. Texts and Contexts. Boydell and Brewer.</w:t>
      </w:r>
    </w:p>
    <w:p w14:paraId="22B5FA09" w14:textId="77777777" w:rsidR="00431357" w:rsidRDefault="00431357" w:rsidP="00431357">
      <w:pPr>
        <w:pStyle w:val="Irodalomjegyzk"/>
      </w:pPr>
      <w:r>
        <w:t xml:space="preserve">Coulmas, Florian. 2006. </w:t>
      </w:r>
      <w:r>
        <w:rPr>
          <w:i/>
        </w:rPr>
        <w:t>The Blackwell Encyclopedia of Writing Systems</w:t>
      </w:r>
      <w:r>
        <w:t>. 4th ed. Oxford: Blackwell.</w:t>
      </w:r>
    </w:p>
    <w:p w14:paraId="3A45E989" w14:textId="77777777" w:rsidR="00431357" w:rsidRDefault="00431357" w:rsidP="00431357">
      <w:pPr>
        <w:pStyle w:val="Irodalomjegyzk"/>
      </w:pPr>
      <w:r>
        <w:t xml:space="preserve">Damais, Louis-Charles. 1955. ‘II. Etudes d’épigraphie indonésienne, IV : Discussion de la date des inscriptions’. </w:t>
      </w:r>
      <w:r>
        <w:rPr>
          <w:i/>
          <w:iCs/>
        </w:rPr>
        <w:t>Bulletin de l’École française d’Extrême-Orient</w:t>
      </w:r>
      <w:r>
        <w:t xml:space="preserve"> 47 (1): 7–290. https://doi.org/10.3406/befeo.1955.5406.</w:t>
      </w:r>
    </w:p>
    <w:p w14:paraId="271D0470" w14:textId="7BBAACAA" w:rsidR="00431357" w:rsidRDefault="00431357" w:rsidP="00431357">
      <w:pPr>
        <w:pStyle w:val="Irodalomjegyzk"/>
      </w:pPr>
      <w:r>
        <w:t>ISO15919:2001 = International Standard ISO 15919. Information and Documentation — Transliteration of Devanagari and Related Indic Scripts into Latin Characters. Geneva: International Organization for Standardization.</w:t>
      </w:r>
      <w:hyperlink r:id="rId41">
        <w:r>
          <w:t xml:space="preserve"> </w:t>
        </w:r>
      </w:hyperlink>
      <w:hyperlink r:id="rId42">
        <w:r>
          <w:rPr>
            <w:color w:val="1155CC"/>
            <w:u w:val="single"/>
          </w:rPr>
          <w:t>https://www.iso.org/standard/28333.html</w:t>
        </w:r>
      </w:hyperlink>
      <w:r>
        <w:t>.</w:t>
      </w:r>
    </w:p>
    <w:p w14:paraId="1F400419" w14:textId="547ADDF5" w:rsidR="00431357" w:rsidRDefault="00431357" w:rsidP="00431357">
      <w:pPr>
        <w:pStyle w:val="Irodalomjegyzk"/>
      </w:pPr>
      <w:r>
        <w:t xml:space="preserve">ISO/IEC 10646:2017(E) = </w:t>
      </w:r>
      <w:r>
        <w:rPr>
          <w:i/>
        </w:rPr>
        <w:t>International Standard ISO/IEC 10646.  Information Technology — Universal Coded Character Set (UCS)</w:t>
      </w:r>
      <w:r>
        <w:t>. 5th ed. Geneva: International Organization for Standardization.</w:t>
      </w:r>
      <w:hyperlink r:id="rId43">
        <w:r>
          <w:t xml:space="preserve"> </w:t>
        </w:r>
      </w:hyperlink>
      <w:hyperlink r:id="rId44">
        <w:r>
          <w:rPr>
            <w:color w:val="1155CC"/>
            <w:u w:val="single"/>
          </w:rPr>
          <w:t>https://standards.iso.org/ittf/PubliclyAvailableStandards/c069119_ISO_IEC_10646_2017.zip</w:t>
        </w:r>
      </w:hyperlink>
      <w:r>
        <w:t>.</w:t>
      </w:r>
    </w:p>
    <w:p w14:paraId="75E9EA87" w14:textId="77777777" w:rsidR="00431357" w:rsidRDefault="00431357" w:rsidP="00431357">
      <w:pPr>
        <w:pStyle w:val="Irodalomjegyzk"/>
      </w:pPr>
      <w:r>
        <w:t xml:space="preserve">Ollett, Andrew &amp; Sarah Pierce Taylor. forthcoming. </w:t>
      </w:r>
      <w:r>
        <w:rPr>
          <w:i/>
        </w:rPr>
        <w:t>Representing Kannada Text</w:t>
      </w:r>
      <w:r>
        <w:t>. [consulted in a draft stage]</w:t>
      </w:r>
    </w:p>
    <w:p w14:paraId="29D726C5" w14:textId="77777777" w:rsidR="00431357" w:rsidRDefault="00431357" w:rsidP="00431357">
      <w:pPr>
        <w:pStyle w:val="Irodalomjegyzk"/>
      </w:pPr>
      <w:r>
        <w:t>Wellisch, Hans H. 1978. The Conversion of Scripts—Its Nature, History, and Utilization. New York: Wiley.</w:t>
      </w:r>
    </w:p>
    <w:p w14:paraId="3DF7126F" w14:textId="77777777" w:rsidR="00431357" w:rsidRDefault="00431357" w:rsidP="00431357">
      <w:pPr>
        <w:pStyle w:val="Irodalomjegyzk"/>
      </w:pPr>
      <w:r>
        <w:t>@soft</w:t>
      </w:r>
    </w:p>
    <w:p w14:paraId="481680B6" w14:textId="77777777" w:rsidR="005C76DB" w:rsidRPr="005C76DB" w:rsidRDefault="00431357" w:rsidP="005C76DB">
      <w:pPr>
        <w:pStyle w:val="Irodalomjegyzk"/>
        <w:rPr>
          <w:rFonts w:cs="Gentium"/>
        </w:rPr>
      </w:pPr>
      <w:r>
        <w:fldChar w:fldCharType="begin"/>
      </w:r>
      <w:r w:rsidR="005A7DE3">
        <w:instrText xml:space="preserve"> ADDIN ZOTERO_BIBL {"uncited":[],"omitted":[],"custom":[]} CSL_BIBLIOGRAPHY </w:instrText>
      </w:r>
      <w:r>
        <w:fldChar w:fldCharType="separate"/>
      </w:r>
      <w:r w:rsidR="005C76DB" w:rsidRPr="005C76DB">
        <w:rPr>
          <w:rFonts w:cs="Gentium"/>
        </w:rPr>
        <w:t xml:space="preserve">Coulmas, Florian. 2003. </w:t>
      </w:r>
      <w:r w:rsidR="005C76DB" w:rsidRPr="005C76DB">
        <w:rPr>
          <w:rFonts w:cs="Gentium"/>
          <w:i/>
          <w:iCs/>
        </w:rPr>
        <w:t>Writing Systems: An Introduction to Their Linguistic Analysis</w:t>
      </w:r>
      <w:r w:rsidR="005C76DB" w:rsidRPr="005C76DB">
        <w:rPr>
          <w:rFonts w:cs="Gentium"/>
        </w:rPr>
        <w:t>. Cambridge University Press.</w:t>
      </w:r>
    </w:p>
    <w:p w14:paraId="2254977E" w14:textId="77777777" w:rsidR="005C76DB" w:rsidRPr="005C76DB" w:rsidRDefault="005C76DB" w:rsidP="005C76DB">
      <w:pPr>
        <w:pStyle w:val="Irodalomjegyzk"/>
        <w:rPr>
          <w:rFonts w:cs="Gentium"/>
        </w:rPr>
      </w:pPr>
      <w:r w:rsidRPr="005C76DB">
        <w:rPr>
          <w:rFonts w:cs="Gentium"/>
        </w:rPr>
        <w:t xml:space="preserve">———. 2006. </w:t>
      </w:r>
      <w:r w:rsidRPr="005C76DB">
        <w:rPr>
          <w:rFonts w:cs="Gentium"/>
          <w:i/>
          <w:iCs/>
        </w:rPr>
        <w:t>The Blackwell Encyclopedia of Writing Systems</w:t>
      </w:r>
      <w:r w:rsidRPr="005C76DB">
        <w:rPr>
          <w:rFonts w:cs="Gentium"/>
        </w:rPr>
        <w:t>. 4. Oxford: Blackwell.</w:t>
      </w:r>
    </w:p>
    <w:p w14:paraId="22447A4B" w14:textId="77777777" w:rsidR="005C76DB" w:rsidRPr="005C76DB" w:rsidRDefault="005C76DB" w:rsidP="005C76DB">
      <w:pPr>
        <w:pStyle w:val="Irodalomjegyzk"/>
        <w:rPr>
          <w:rFonts w:cs="Gentium"/>
        </w:rPr>
      </w:pPr>
      <w:r w:rsidRPr="005C76DB">
        <w:rPr>
          <w:rFonts w:cs="Gentium"/>
        </w:rPr>
        <w:t xml:space="preserve">Daniels, Peter T. 2018. </w:t>
      </w:r>
      <w:r w:rsidRPr="005C76DB">
        <w:rPr>
          <w:rFonts w:cs="Gentium"/>
          <w:i/>
          <w:iCs/>
        </w:rPr>
        <w:t>An Exploration of Writing</w:t>
      </w:r>
      <w:r w:rsidRPr="005C76DB">
        <w:rPr>
          <w:rFonts w:cs="Gentium"/>
        </w:rPr>
        <w:t>. Sheffield: Equinox.</w:t>
      </w:r>
    </w:p>
    <w:p w14:paraId="38144798" w14:textId="77777777" w:rsidR="005C76DB" w:rsidRPr="005C76DB" w:rsidRDefault="005C76DB" w:rsidP="005C76DB">
      <w:pPr>
        <w:pStyle w:val="Irodalomjegyzk"/>
        <w:rPr>
          <w:rFonts w:cs="Gentium"/>
        </w:rPr>
      </w:pPr>
      <w:r w:rsidRPr="005C76DB">
        <w:rPr>
          <w:rFonts w:cs="Gentium"/>
        </w:rPr>
        <w:t xml:space="preserve">Fedorova, Liudmila. 2013. ‘The Development of Graphic Representation in Abugida Writing: The Akshara’s Grammar’. </w:t>
      </w:r>
      <w:r w:rsidRPr="005C76DB">
        <w:rPr>
          <w:rFonts w:cs="Gentium"/>
          <w:i/>
          <w:iCs/>
        </w:rPr>
        <w:t>Lingua Posnaniensis</w:t>
      </w:r>
      <w:r w:rsidRPr="005C76DB">
        <w:rPr>
          <w:rFonts w:cs="Gentium"/>
        </w:rPr>
        <w:t xml:space="preserve"> 55 (2): 49–66. [DOI: 10.2478/linpo-2013-0013].</w:t>
      </w:r>
    </w:p>
    <w:p w14:paraId="7D0B5C78" w14:textId="77777777" w:rsidR="005C76DB" w:rsidRPr="005C76DB" w:rsidRDefault="005C76DB" w:rsidP="005C76DB">
      <w:pPr>
        <w:pStyle w:val="Irodalomjegyzk"/>
        <w:rPr>
          <w:rFonts w:cs="Gentium"/>
        </w:rPr>
      </w:pPr>
      <w:r w:rsidRPr="005C76DB">
        <w:rPr>
          <w:rFonts w:cs="Gentium"/>
        </w:rPr>
        <w:t xml:space="preserve">Gnanadesikan, Amalia E. 2017. ‘Towards a Typology of Phonemic Scripts’. </w:t>
      </w:r>
      <w:r w:rsidRPr="005C76DB">
        <w:rPr>
          <w:rFonts w:cs="Gentium"/>
          <w:i/>
          <w:iCs/>
        </w:rPr>
        <w:t>Writing Systems Research</w:t>
      </w:r>
      <w:r w:rsidRPr="005C76DB">
        <w:rPr>
          <w:rFonts w:cs="Gentium"/>
        </w:rPr>
        <w:t xml:space="preserve"> 9 (1): 14–35. [DOI: 10.1080/17586801.2017.1308239].</w:t>
      </w:r>
    </w:p>
    <w:p w14:paraId="37E76806" w14:textId="77777777" w:rsidR="005C76DB" w:rsidRPr="005C76DB" w:rsidRDefault="005C76DB" w:rsidP="005C76DB">
      <w:pPr>
        <w:pStyle w:val="Irodalomjegyzk"/>
        <w:rPr>
          <w:rFonts w:cs="Gentium"/>
        </w:rPr>
      </w:pPr>
      <w:r w:rsidRPr="005C76DB">
        <w:rPr>
          <w:rFonts w:cs="Gentium"/>
        </w:rPr>
        <w:t xml:space="preserve">International Organization for Standardization. 2001. </w:t>
      </w:r>
      <w:r w:rsidRPr="005C76DB">
        <w:rPr>
          <w:rFonts w:cs="Gentium"/>
          <w:i/>
          <w:iCs/>
        </w:rPr>
        <w:t>International Standard ISO 15919: Information and Documentation, Transliteration of Devanagari and Related Indic Scripts into Latin Characters = Information et Documentation, Translittération Du Devanagari et Des Écritures Indiennes Liées En Caractères Latins</w:t>
      </w:r>
      <w:r w:rsidRPr="005C76DB">
        <w:rPr>
          <w:rFonts w:cs="Gentium"/>
        </w:rPr>
        <w:t>. Geneva: International Organization for Standardization.</w:t>
      </w:r>
    </w:p>
    <w:p w14:paraId="438E6E8B" w14:textId="77777777" w:rsidR="005C76DB" w:rsidRPr="005C76DB" w:rsidRDefault="005C76DB" w:rsidP="005C76DB">
      <w:pPr>
        <w:pStyle w:val="Irodalomjegyzk"/>
        <w:rPr>
          <w:rFonts w:cs="Gentium"/>
        </w:rPr>
      </w:pPr>
      <w:r w:rsidRPr="005C76DB">
        <w:rPr>
          <w:rFonts w:cs="Gentium"/>
        </w:rPr>
        <w:t xml:space="preserve">ISO/IEC 10646. 2020. </w:t>
      </w:r>
      <w:r w:rsidRPr="005C76DB">
        <w:rPr>
          <w:rFonts w:cs="Gentium"/>
          <w:i/>
          <w:iCs/>
        </w:rPr>
        <w:t>International Standard ISO/IEC 10646.  Information Technology — Universal Coded Character Set (UCS)</w:t>
      </w:r>
      <w:r w:rsidRPr="005C76DB">
        <w:rPr>
          <w:rFonts w:cs="Gentium"/>
        </w:rPr>
        <w:t>. 6. Geneva: ISO. [https://standards.iso.org/ittf/PubliclyAvailableStandards/c076835_ISO_IEC_10646_2020(E).zip].</w:t>
      </w:r>
    </w:p>
    <w:p w14:paraId="4A33A575" w14:textId="77777777" w:rsidR="005C76DB" w:rsidRPr="005C76DB" w:rsidRDefault="005C76DB" w:rsidP="005C76DB">
      <w:pPr>
        <w:pStyle w:val="Irodalomjegyzk"/>
        <w:rPr>
          <w:rFonts w:cs="Gentium"/>
        </w:rPr>
      </w:pPr>
      <w:r w:rsidRPr="005C76DB">
        <w:rPr>
          <w:rFonts w:cs="Gentium"/>
        </w:rPr>
        <w:t xml:space="preserve">Iyengar, Arvind. 2024. ‘The Akshara as a Graphematic Unit’. In </w:t>
      </w:r>
      <w:r w:rsidRPr="005C76DB">
        <w:rPr>
          <w:rFonts w:cs="Gentium"/>
          <w:i/>
          <w:iCs/>
        </w:rPr>
        <w:t>Proceedings: Grapholinguistics in the 21st Century 2022</w:t>
      </w:r>
      <w:r w:rsidRPr="005C76DB">
        <w:rPr>
          <w:rFonts w:cs="Gentium"/>
        </w:rPr>
        <w:t>, 419–36. Fluxus Editions. [https://hdl.handle.net/1959.11/63505].</w:t>
      </w:r>
    </w:p>
    <w:p w14:paraId="3A5F66FA" w14:textId="77777777" w:rsidR="005C76DB" w:rsidRPr="005C76DB" w:rsidRDefault="005C76DB" w:rsidP="005C76DB">
      <w:pPr>
        <w:pStyle w:val="Irodalomjegyzk"/>
        <w:rPr>
          <w:rFonts w:cs="Gentium"/>
        </w:rPr>
      </w:pPr>
      <w:r w:rsidRPr="005C76DB">
        <w:rPr>
          <w:rFonts w:cs="Gentium"/>
        </w:rPr>
        <w:t xml:space="preserve">Meletis, Dimitrios. 2019. ‘The Grapheme as a Universal Basic Unit of Writing’. </w:t>
      </w:r>
      <w:r w:rsidRPr="005C76DB">
        <w:rPr>
          <w:rFonts w:cs="Gentium"/>
          <w:i/>
          <w:iCs/>
        </w:rPr>
        <w:t>Writing Systems Research</w:t>
      </w:r>
      <w:r w:rsidRPr="005C76DB">
        <w:rPr>
          <w:rFonts w:cs="Gentium"/>
        </w:rPr>
        <w:t xml:space="preserve"> 11 (1): 26–49. [DOI: 10.1080/17586801.2019.1697412].</w:t>
      </w:r>
    </w:p>
    <w:p w14:paraId="78FE46C1" w14:textId="77777777" w:rsidR="005C76DB" w:rsidRPr="005C76DB" w:rsidRDefault="005C76DB" w:rsidP="005C76DB">
      <w:pPr>
        <w:pStyle w:val="Irodalomjegyzk"/>
        <w:rPr>
          <w:rFonts w:cs="Gentium"/>
        </w:rPr>
      </w:pPr>
      <w:r w:rsidRPr="005C76DB">
        <w:rPr>
          <w:rFonts w:cs="Gentium"/>
        </w:rPr>
        <w:t xml:space="preserve">———. 2020a. </w:t>
      </w:r>
      <w:r w:rsidRPr="005C76DB">
        <w:rPr>
          <w:rFonts w:cs="Gentium"/>
          <w:i/>
          <w:iCs/>
        </w:rPr>
        <w:t>The Nature of Writing: A Theory of Grapholinguistics</w:t>
      </w:r>
      <w:r w:rsidRPr="005C76DB">
        <w:rPr>
          <w:rFonts w:cs="Gentium"/>
        </w:rPr>
        <w:t>. Grapholinguistics and Its Applications 3. Brest: Fluxus Editions. [DOI: 10.36824/2020-meletis].</w:t>
      </w:r>
    </w:p>
    <w:p w14:paraId="4DED5452" w14:textId="77777777" w:rsidR="005C76DB" w:rsidRPr="005C76DB" w:rsidRDefault="005C76DB" w:rsidP="005C76DB">
      <w:pPr>
        <w:pStyle w:val="Irodalomjegyzk"/>
        <w:rPr>
          <w:rFonts w:cs="Gentium"/>
        </w:rPr>
      </w:pPr>
      <w:r w:rsidRPr="005C76DB">
        <w:rPr>
          <w:rFonts w:cs="Gentium"/>
        </w:rPr>
        <w:t xml:space="preserve">———. 2020b. ‘Types of Allography’. </w:t>
      </w:r>
      <w:r w:rsidRPr="005C76DB">
        <w:rPr>
          <w:rFonts w:cs="Gentium"/>
          <w:i/>
          <w:iCs/>
        </w:rPr>
        <w:t>Open Linguistics</w:t>
      </w:r>
      <w:r w:rsidRPr="005C76DB">
        <w:rPr>
          <w:rFonts w:cs="Gentium"/>
        </w:rPr>
        <w:t xml:space="preserve"> 6 (1): 249–66. [DOI: 10.1515/opli-2020-0006].</w:t>
      </w:r>
    </w:p>
    <w:p w14:paraId="24C8B185" w14:textId="77777777" w:rsidR="005C76DB" w:rsidRPr="005C76DB" w:rsidRDefault="005C76DB" w:rsidP="005C76DB">
      <w:pPr>
        <w:pStyle w:val="Irodalomjegyzk"/>
        <w:rPr>
          <w:rFonts w:cs="Gentium"/>
        </w:rPr>
      </w:pPr>
      <w:r w:rsidRPr="005C76DB">
        <w:rPr>
          <w:rFonts w:cs="Gentium"/>
        </w:rPr>
        <w:t xml:space="preserve">Meletis, Dimitrios &amp; Christa Dürscheid. 2022. </w:t>
      </w:r>
      <w:r w:rsidRPr="005C76DB">
        <w:rPr>
          <w:rFonts w:cs="Gentium"/>
          <w:i/>
          <w:iCs/>
        </w:rPr>
        <w:t>Writing Systems and Their Use: An Overview of Grapholinguistics</w:t>
      </w:r>
      <w:r w:rsidRPr="005C76DB">
        <w:rPr>
          <w:rFonts w:cs="Gentium"/>
        </w:rPr>
        <w:t>. De Gruyter Mouton. [DOI: 10.1515/9783110757835].</w:t>
      </w:r>
    </w:p>
    <w:p w14:paraId="424F0C17" w14:textId="77777777" w:rsidR="005C76DB" w:rsidRPr="005C76DB" w:rsidRDefault="005C76DB" w:rsidP="005C76DB">
      <w:pPr>
        <w:pStyle w:val="Irodalomjegyzk"/>
        <w:rPr>
          <w:rFonts w:cs="Gentium"/>
        </w:rPr>
      </w:pPr>
      <w:r w:rsidRPr="005C76DB">
        <w:rPr>
          <w:rFonts w:cs="Gentium"/>
        </w:rPr>
        <w:t xml:space="preserve">Neef, Martin. 2015. ‘Writing Systems as Modular Objects: Proposals for Theory Design in Grapholinguistics’. </w:t>
      </w:r>
      <w:r w:rsidRPr="005C76DB">
        <w:rPr>
          <w:rFonts w:cs="Gentium"/>
          <w:i/>
          <w:iCs/>
        </w:rPr>
        <w:t>Open Linguistics</w:t>
      </w:r>
      <w:r w:rsidRPr="005C76DB">
        <w:rPr>
          <w:rFonts w:cs="Gentium"/>
        </w:rPr>
        <w:t xml:space="preserve"> 1 (1). [DOI: 10.1515/opli-2015-0026].</w:t>
      </w:r>
    </w:p>
    <w:p w14:paraId="6D8FA0D9" w14:textId="77777777" w:rsidR="005C76DB" w:rsidRPr="005C76DB" w:rsidRDefault="005C76DB" w:rsidP="005C76DB">
      <w:pPr>
        <w:pStyle w:val="Irodalomjegyzk"/>
        <w:rPr>
          <w:rFonts w:cs="Gentium"/>
        </w:rPr>
      </w:pPr>
      <w:r w:rsidRPr="005C76DB">
        <w:rPr>
          <w:rFonts w:cs="Gentium"/>
        </w:rPr>
        <w:t xml:space="preserve">Nöth, Winfried. 1990. </w:t>
      </w:r>
      <w:r w:rsidRPr="005C76DB">
        <w:rPr>
          <w:rFonts w:cs="Gentium"/>
          <w:i/>
          <w:iCs/>
        </w:rPr>
        <w:t>Handbook of Semiotics</w:t>
      </w:r>
      <w:r w:rsidRPr="005C76DB">
        <w:rPr>
          <w:rFonts w:cs="Gentium"/>
        </w:rPr>
        <w:t>. Advances in Semiotics. Bloomington: Indiana University Press.</w:t>
      </w:r>
    </w:p>
    <w:p w14:paraId="3A1AA483" w14:textId="77777777" w:rsidR="005C76DB" w:rsidRPr="005C76DB" w:rsidRDefault="005C76DB" w:rsidP="005C76DB">
      <w:pPr>
        <w:pStyle w:val="Irodalomjegyzk"/>
        <w:rPr>
          <w:rFonts w:cs="Gentium"/>
        </w:rPr>
      </w:pPr>
      <w:r w:rsidRPr="005C76DB">
        <w:rPr>
          <w:rFonts w:cs="Gentium"/>
        </w:rPr>
        <w:t>Ollett, Andrew &amp; Sarah Pierce Taylor. forthcoming. ‘Representing Kannada Text’.</w:t>
      </w:r>
    </w:p>
    <w:p w14:paraId="2B25FCD9" w14:textId="77777777" w:rsidR="005C76DB" w:rsidRPr="005C76DB" w:rsidRDefault="005C76DB" w:rsidP="005C76DB">
      <w:pPr>
        <w:pStyle w:val="Irodalomjegyzk"/>
        <w:rPr>
          <w:rFonts w:cs="Gentium"/>
        </w:rPr>
      </w:pPr>
      <w:r w:rsidRPr="005C76DB">
        <w:rPr>
          <w:rFonts w:cs="Gentium"/>
        </w:rPr>
        <w:t xml:space="preserve">Salomon, Richard. 1998. </w:t>
      </w:r>
      <w:r w:rsidRPr="005C76DB">
        <w:rPr>
          <w:rFonts w:cs="Gentium"/>
          <w:i/>
          <w:iCs/>
        </w:rPr>
        <w:t>Indian Epigraphy: A Guide to the Study of Inscriptions in Sanskrit, Prakrit, and the Other Indo-Aryan Languages</w:t>
      </w:r>
      <w:r w:rsidRPr="005C76DB">
        <w:rPr>
          <w:rFonts w:cs="Gentium"/>
        </w:rPr>
        <w:t>. South Asia Research. New York: Oxford University Press. [http://archive.org/details/indianepigraphyg0000salo].</w:t>
      </w:r>
    </w:p>
    <w:p w14:paraId="6B61E0B4" w14:textId="77777777" w:rsidR="005C76DB" w:rsidRPr="005C76DB" w:rsidRDefault="005C76DB" w:rsidP="005C76DB">
      <w:pPr>
        <w:pStyle w:val="Irodalomjegyzk"/>
        <w:rPr>
          <w:rFonts w:cs="Gentium"/>
        </w:rPr>
      </w:pPr>
      <w:r w:rsidRPr="005C76DB">
        <w:rPr>
          <w:rFonts w:cs="Gentium"/>
        </w:rPr>
        <w:lastRenderedPageBreak/>
        <w:t xml:space="preserve">———. 2003. ‘Writing Systems of the Indo-Aryan Languages’. In </w:t>
      </w:r>
      <w:r w:rsidRPr="005C76DB">
        <w:rPr>
          <w:rFonts w:cs="Gentium"/>
          <w:i/>
          <w:iCs/>
        </w:rPr>
        <w:t>The Indo-Aryan Languages</w:t>
      </w:r>
      <w:r w:rsidRPr="005C76DB">
        <w:rPr>
          <w:rFonts w:cs="Gentium"/>
        </w:rPr>
        <w:t>, edited by George Cardona and Dhanesh Jain, 75–114. Routledge Language Family Series. Oxford: Routledge.</w:t>
      </w:r>
    </w:p>
    <w:p w14:paraId="24F64B5C" w14:textId="77777777" w:rsidR="005C76DB" w:rsidRPr="005C76DB" w:rsidRDefault="005C76DB" w:rsidP="005C76DB">
      <w:pPr>
        <w:pStyle w:val="Irodalomjegyzk"/>
        <w:rPr>
          <w:rFonts w:cs="Gentium"/>
        </w:rPr>
      </w:pPr>
      <w:r w:rsidRPr="005C76DB">
        <w:rPr>
          <w:rFonts w:cs="Gentium"/>
        </w:rPr>
        <w:t xml:space="preserve">Weingarten, Rüdiger. 2013. ‘Comparative Graphematics’. In </w:t>
      </w:r>
      <w:r w:rsidRPr="005C76DB">
        <w:rPr>
          <w:rFonts w:cs="Gentium"/>
          <w:i/>
          <w:iCs/>
        </w:rPr>
        <w:t>Typology of Writing Systems</w:t>
      </w:r>
      <w:r w:rsidRPr="005C76DB">
        <w:rPr>
          <w:rFonts w:cs="Gentium"/>
        </w:rPr>
        <w:t>, edited by Susanne R. Borgwaldt and Terry Joyce, 13–39. Benjamins Current Topics 51. Amsterdam: John Benjamins.</w:t>
      </w:r>
    </w:p>
    <w:p w14:paraId="17B5C68A" w14:textId="77777777" w:rsidR="005C76DB" w:rsidRPr="005C76DB" w:rsidRDefault="005C76DB" w:rsidP="005C76DB">
      <w:pPr>
        <w:pStyle w:val="Irodalomjegyzk"/>
        <w:rPr>
          <w:rFonts w:cs="Gentium"/>
        </w:rPr>
      </w:pPr>
      <w:r w:rsidRPr="005C76DB">
        <w:rPr>
          <w:rFonts w:cs="Gentium"/>
        </w:rPr>
        <w:t xml:space="preserve">Wellisch, Hans H. 1978. </w:t>
      </w:r>
      <w:r w:rsidRPr="005C76DB">
        <w:rPr>
          <w:rFonts w:cs="Gentium"/>
          <w:i/>
          <w:iCs/>
        </w:rPr>
        <w:t>The Conversion of Scripts—Its Nature, History, and Utilization</w:t>
      </w:r>
      <w:r w:rsidRPr="005C76DB">
        <w:rPr>
          <w:rFonts w:cs="Gentium"/>
        </w:rPr>
        <w:t>. New York: Wiley.</w:t>
      </w:r>
    </w:p>
    <w:p w14:paraId="338E65DD" w14:textId="77777777" w:rsidR="005C76DB" w:rsidRPr="005C76DB" w:rsidRDefault="005C76DB" w:rsidP="005C76DB">
      <w:pPr>
        <w:pStyle w:val="Irodalomjegyzk"/>
        <w:rPr>
          <w:rFonts w:cs="Gentium"/>
        </w:rPr>
      </w:pPr>
      <w:r w:rsidRPr="005C76DB">
        <w:rPr>
          <w:rFonts w:cs="Gentium"/>
        </w:rPr>
        <w:t>Wikipedia. 2025a. ‘International Alphabet of Sanskrit Transliteration’. Wikipedia. [https://en.wikipedia.org/w/index.php?title=International_Alphabet_of_Sanskrit_Transliteration&amp;oldid=1270629261].</w:t>
      </w:r>
    </w:p>
    <w:p w14:paraId="78E69EEE" w14:textId="77777777" w:rsidR="005C76DB" w:rsidRPr="005C76DB" w:rsidRDefault="005C76DB" w:rsidP="005C76DB">
      <w:pPr>
        <w:pStyle w:val="Irodalomjegyzk"/>
        <w:rPr>
          <w:rFonts w:cs="Gentium"/>
        </w:rPr>
      </w:pPr>
      <w:r w:rsidRPr="005C76DB">
        <w:rPr>
          <w:rFonts w:cs="Gentium"/>
        </w:rPr>
        <w:t>———. 2025b. ‘ISO 15919’. Wikipedia. [https://en.wikipedia.org/w/index.php?title=ISO_15919&amp;oldid=1292297131].</w:t>
      </w:r>
    </w:p>
    <w:p w14:paraId="38F329C1" w14:textId="4743B605" w:rsidR="007F36CC" w:rsidRDefault="00431357" w:rsidP="00431357">
      <w:pPr>
        <w:pStyle w:val="Irodalomjegyzk"/>
      </w:pPr>
      <w:r>
        <w:fldChar w:fldCharType="end"/>
      </w:r>
    </w:p>
    <w:sectPr w:rsidR="007F36CC">
      <w:footerReference w:type="even" r:id="rId45"/>
      <w:footerReference w:type="default" r:id="rId46"/>
      <w:pgSz w:w="11906" w:h="16838" w:code="9"/>
      <w:pgMar w:top="1134" w:right="1134" w:bottom="1134"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EA94A" w14:textId="77777777" w:rsidR="0024145F" w:rsidRDefault="0024145F">
      <w:pPr>
        <w:spacing w:line="240" w:lineRule="auto"/>
      </w:pPr>
      <w:r>
        <w:separator/>
      </w:r>
    </w:p>
  </w:endnote>
  <w:endnote w:type="continuationSeparator" w:id="0">
    <w:p w14:paraId="7DB612D8" w14:textId="77777777" w:rsidR="0024145F" w:rsidRDefault="00241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ntium Plus">
    <w:altName w:val="Segoe UI Historic"/>
    <w:panose1 w:val="02000503060000020004"/>
    <w:charset w:val="00"/>
    <w:family w:val="auto"/>
    <w:pitch w:val="variable"/>
    <w:sig w:usb0="E00003FF" w:usb1="5200E1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ro Devanagari Sanskrit">
    <w:altName w:val="Mangal"/>
    <w:panose1 w:val="020000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rty Sanskrit">
    <w:altName w:val="Mangal"/>
    <w:panose1 w:val="00000000000000000000"/>
    <w:charset w:val="00"/>
    <w:family w:val="modern"/>
    <w:notTrueType/>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ro Kannada">
    <w:panose1 w:val="02000000000000000000"/>
    <w:charset w:val="00"/>
    <w:family w:val="auto"/>
    <w:pitch w:val="variable"/>
    <w:sig w:usb0="A040806F" w:usb1="0000200A" w:usb2="00000000" w:usb3="00000000" w:csb0="00000001" w:csb1="00000000"/>
  </w:font>
  <w:font w:name="Tiro Tamil">
    <w:altName w:val="Mangal"/>
    <w:panose1 w:val="02000000000000000000"/>
    <w:charset w:val="00"/>
    <w:family w:val="auto"/>
    <w:pitch w:val="variable"/>
    <w:sig w:usb0="A010806F" w:usb1="0000200A" w:usb2="00000000" w:usb3="00000000" w:csb0="00000001" w:csb1="00000000"/>
  </w:font>
  <w:font w:name="Noto Sans Balinese">
    <w:altName w:val="Calibri"/>
    <w:charset w:val="00"/>
    <w:family w:val="swiss"/>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Segoe UI Historic">
    <w:panose1 w:val="020B0502040204020203"/>
    <w:charset w:val="00"/>
    <w:family w:val="swiss"/>
    <w:pitch w:val="variable"/>
    <w:sig w:usb0="800001EF" w:usb1="02000002" w:usb2="0060C080" w:usb3="00000000" w:csb0="00000001" w:csb1="00000000"/>
  </w:font>
  <w:font w:name="DaunPenh">
    <w:charset w:val="00"/>
    <w:family w:val="auto"/>
    <w:pitch w:val="variable"/>
    <w:sig w:usb0="80000003" w:usb1="00000000" w:usb2="00010000" w:usb3="00000000" w:csb0="00000001" w:csb1="00000000"/>
  </w:font>
  <w:font w:name="Cardo">
    <w:panose1 w:val="02020600000000000000"/>
    <w:charset w:val="00"/>
    <w:family w:val="roman"/>
    <w:pitch w:val="variable"/>
    <w:sig w:usb0="E40008FF" w:usb1="5201E0FB" w:usb2="04608000" w:usb3="00000000" w:csb0="000000BB"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Uttara">
    <w:panose1 w:val="02000000000000000000"/>
    <w:charset w:val="00"/>
    <w:family w:val="auto"/>
    <w:pitch w:val="variable"/>
    <w:sig w:usb0="A00082EF" w:usb1="5000214B" w:usb2="00000000" w:usb3="00000000" w:csb0="00000197" w:csb1="00000000"/>
  </w:font>
  <w:font w:name="Noto Sans Grantha">
    <w:charset w:val="00"/>
    <w:family w:val="swiss"/>
    <w:pitch w:val="variable"/>
    <w:sig w:usb0="80108003" w:usb1="02002004" w:usb2="00000000" w:usb3="00000000" w:csb0="00000001" w:csb1="00000000"/>
  </w:font>
  <w:font w:name="Mangal">
    <w:panose1 w:val="02040503050203030202"/>
    <w:charset w:val="00"/>
    <w:family w:val="roman"/>
    <w:pitch w:val="variable"/>
    <w:sig w:usb0="00008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Noto Serif">
    <w:panose1 w:val="02020502060505020204"/>
    <w:charset w:val="00"/>
    <w:family w:val="roman"/>
    <w:pitch w:val="variable"/>
    <w:sig w:usb0="E00002FF" w:usb1="4000201F" w:usb2="08000029" w:usb3="00000000" w:csb0="0000019F" w:csb1="00000000"/>
  </w:font>
  <w:font w:name="Noto Sans">
    <w:panose1 w:val="020B0502040504020204"/>
    <w:charset w:val="00"/>
    <w:family w:val="swiss"/>
    <w:pitch w:val="variable"/>
    <w:sig w:usb0="E00002FF" w:usb1="4000201F" w:usb2="08000029" w:usb3="00000000" w:csb0="0000019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B9717" w14:textId="77777777" w:rsidR="00431357" w:rsidRDefault="00431357">
    <w:pPr>
      <w:pStyle w:val="llb"/>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42DB" w14:textId="77777777" w:rsidR="00431357" w:rsidRDefault="00431357">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883F2" w14:textId="77777777" w:rsidR="007F36CC" w:rsidRDefault="00000000">
    <w:pPr>
      <w:pStyle w:val="llb"/>
    </w:pPr>
    <w:r>
      <w:fldChar w:fldCharType="begin"/>
    </w:r>
    <w:r>
      <w:instrText>PAGE</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42908" w14:textId="77777777" w:rsidR="007F36CC" w:rsidRDefault="00000000">
    <w:pPr>
      <w:jc w:val="right"/>
    </w:pPr>
    <w:r>
      <w:rPr>
        <w:sz w:val="20"/>
        <w:szCs w:val="20"/>
      </w:rPr>
      <w:t xml:space="preserve">      </w:t>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72C2C" w14:textId="77777777" w:rsidR="0024145F" w:rsidRDefault="0024145F">
      <w:pPr>
        <w:spacing w:line="240" w:lineRule="auto"/>
      </w:pPr>
      <w:r>
        <w:separator/>
      </w:r>
    </w:p>
  </w:footnote>
  <w:footnote w:type="continuationSeparator" w:id="0">
    <w:p w14:paraId="2B327D5F" w14:textId="77777777" w:rsidR="0024145F" w:rsidRDefault="0024145F">
      <w:pPr>
        <w:spacing w:line="240" w:lineRule="auto"/>
      </w:pPr>
      <w:r>
        <w:continuationSeparator/>
      </w:r>
    </w:p>
  </w:footnote>
  <w:footnote w:id="1">
    <w:p w14:paraId="0DEC2212" w14:textId="77777777" w:rsidR="00431357" w:rsidRDefault="00431357" w:rsidP="00431357">
      <w:pPr>
        <w:pStyle w:val="Lbjegyzetszveg"/>
        <w:rPr>
          <w:lang w:val="hu-HU"/>
        </w:rPr>
      </w:pPr>
      <w:r>
        <w:rPr>
          <w:rStyle w:val="Lbjegyzet-hivatkozs"/>
        </w:rPr>
        <w:tab/>
      </w:r>
      <w:r>
        <w:rPr>
          <w:rStyle w:val="Lbjegyzet-hivatkozs"/>
        </w:rPr>
        <w:footnoteRef/>
      </w:r>
      <w:r>
        <w:tab/>
        <w:t>Version 2 bears the internal version number 1.1, but since the automatic versioning in the HAL-SHS repository assigned it number 2, we have chosen to adopt that numbering to eliminate future inconsistencies.</w:t>
      </w:r>
    </w:p>
  </w:footnote>
  <w:footnote w:id="2">
    <w:p w14:paraId="36E3B3A7" w14:textId="77777777" w:rsidR="00431357" w:rsidRDefault="00431357" w:rsidP="00431357">
      <w:pPr>
        <w:pStyle w:val="Lbjegyzetszveg"/>
        <w:rPr>
          <w:lang w:val="hu-HU"/>
        </w:rPr>
      </w:pPr>
      <w:r>
        <w:tab/>
      </w:r>
      <w:r>
        <w:rPr>
          <w:rStyle w:val="Lbjegyzet-hivatkozs"/>
        </w:rPr>
        <w:footnoteRef/>
      </w:r>
      <w:r>
        <w:tab/>
        <w:t xml:space="preserve">References to the EGD in this document pertain to EGD version 2, released simultaneously with TG version 4. The acronym EGD stood for Encoding Guide for Diplomatic Editions in the first version. </w:t>
      </w:r>
    </w:p>
  </w:footnote>
  <w:footnote w:id="3">
    <w:p w14:paraId="586FE076" w14:textId="77777777" w:rsidR="00431357" w:rsidRDefault="00431357" w:rsidP="00431357">
      <w:pPr>
        <w:pStyle w:val="Lbjegyzetszveg"/>
      </w:pPr>
      <w:r>
        <w:tab/>
      </w:r>
      <w:r>
        <w:rPr>
          <w:rStyle w:val="Lbjegyzet-hivatkozs"/>
        </w:rPr>
        <w:footnoteRef/>
      </w:r>
      <w:r>
        <w:tab/>
        <w:t xml:space="preserve">See note </w:t>
      </w:r>
      <w:r>
        <w:fldChar w:fldCharType="begin"/>
      </w:r>
      <w:r>
        <w:instrText xml:space="preserve"> NOTEREF _Ref199852369 \h </w:instrText>
      </w:r>
      <w:r>
        <w:fldChar w:fldCharType="separate"/>
      </w:r>
      <w:r>
        <w:t>44</w:t>
      </w:r>
      <w:r>
        <w:fldChar w:fldCharType="end"/>
      </w:r>
      <w:r>
        <w:t xml:space="preserve"> about the concept of a Unicode character.</w:t>
      </w:r>
    </w:p>
  </w:footnote>
  <w:footnote w:id="4">
    <w:p w14:paraId="5703040E" w14:textId="5AF057F8" w:rsidR="00431357" w:rsidRDefault="00431357" w:rsidP="00431357">
      <w:pPr>
        <w:pStyle w:val="Lbjegyzetszveg"/>
      </w:pPr>
      <w:r>
        <w:tab/>
      </w:r>
      <w:r>
        <w:rPr>
          <w:rStyle w:val="Lbjegyzet-hivatkozs"/>
        </w:rPr>
        <w:footnoteRef/>
      </w:r>
      <w:r>
        <w:tab/>
        <w:t xml:space="preserve">With Meletis </w:t>
      </w:r>
      <w:r>
        <w:fldChar w:fldCharType="begin"/>
      </w:r>
      <w:r>
        <w:instrText xml:space="preserve"> ADDIN ZOTERO_ITEM CSL_CITATION {"citationID":"yOhHW6AF","properties":{"formattedCitation":"(2020a, 20)","plainCitation":"(2020a, 20)","noteIndex":4},"citationItems":[{"id":25329,"uris":["http://zotero.org/groups/1633743/items/F5UMNY45"],"itemData":{"id":25329,"type":"book","collection-number":"3","collection-title":"Grapholinguistics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20","label":"page","suppress-author":true}],"schema":"https://github.com/citation-style-language/schema/raw/master/csl-citation.json"} </w:instrText>
      </w:r>
      <w:r>
        <w:fldChar w:fldCharType="separate"/>
      </w:r>
      <w:r>
        <w:rPr>
          <w:rFonts w:cs="Gentium Plus"/>
        </w:rPr>
        <w:t>(2020a, 20)</w:t>
      </w:r>
      <w:r>
        <w:fldChar w:fldCharType="end"/>
      </w:r>
      <w:r>
        <w:t xml:space="preserve">, we thus exclude </w:t>
      </w:r>
      <w:r>
        <w:rPr>
          <w:i/>
          <w:iCs/>
        </w:rPr>
        <w:t>semasiography</w:t>
      </w:r>
      <w:r>
        <w:t xml:space="preserve"> — the graphic representation of </w:t>
      </w:r>
      <w:r>
        <w:rPr>
          <w:i/>
          <w:iCs/>
        </w:rPr>
        <w:t>meaning</w:t>
      </w:r>
      <w:r>
        <w:t xml:space="preserve"> as independent of language — from the scope of writing proper. However, the written texts we are concerned with do include signs which we consider to be semasiographic, q.v. §</w:t>
      </w:r>
      <w:r>
        <w:fldChar w:fldCharType="begin"/>
      </w:r>
      <w:r>
        <w:instrText xml:space="preserve"> REF _Ref199757158 \r \h </w:instrText>
      </w:r>
      <w:r>
        <w:fldChar w:fldCharType="separate"/>
      </w:r>
      <w:r>
        <w:t>2.5.5</w:t>
      </w:r>
      <w:r>
        <w:fldChar w:fldCharType="end"/>
      </w:r>
      <w:r>
        <w:t>.</w:t>
      </w:r>
    </w:p>
  </w:footnote>
  <w:footnote w:id="5">
    <w:p w14:paraId="29BF6A39" w14:textId="525E28C4" w:rsidR="00431357" w:rsidRDefault="00431357" w:rsidP="00431357">
      <w:pPr>
        <w:pStyle w:val="Lbjegyzetszveg"/>
      </w:pPr>
      <w:r>
        <w:tab/>
      </w:r>
      <w:r>
        <w:rPr>
          <w:rStyle w:val="Lbjegyzet-hivatkozs"/>
        </w:rPr>
        <w:footnoteRef/>
      </w:r>
      <w:r>
        <w:tab/>
        <w:t xml:space="preserve">With Weingarten </w:t>
      </w:r>
      <w:r>
        <w:fldChar w:fldCharType="begin"/>
      </w:r>
      <w:r>
        <w:instrText xml:space="preserve"> ADDIN ZOTERO_ITEM CSL_CITATION {"citationID":"MtZFbB7Q","properties":{"formattedCitation":"(2013, 17\\uc0\\u8211{}18)","plainCitation":"(2013, 17–18)","noteIndex":5},"citationItems":[{"id":26543,"uris":["http://zotero.org/groups/1633743/items/3JBU4L3M"],"itemData":{"id":26543,"type":"chapter","abstract":"The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R."},{"family":"Joyce","given":"Terry"}],"accessed":{"date-parts":[["2025",4,10]]},"issued":{"date-parts":[["2013"]]}},"locator":"17-18","label":"page","suppress-author":true}],"schema":"https://github.com/citation-style-language/schema/raw/master/csl-citation.json"} </w:instrText>
      </w:r>
      <w:r>
        <w:fldChar w:fldCharType="separate"/>
      </w:r>
      <w:r>
        <w:rPr>
          <w:rFonts w:cs="Gentium Plus"/>
          <w:kern w:val="0"/>
          <w:szCs w:val="24"/>
        </w:rPr>
        <w:t>(2013, 17–18)</w:t>
      </w:r>
      <w:r>
        <w:fldChar w:fldCharType="end"/>
      </w:r>
      <w:r>
        <w:t xml:space="preserve">, in agreement with Meletis and Dürscheid </w:t>
      </w:r>
      <w:r>
        <w:fldChar w:fldCharType="begin"/>
      </w:r>
      <w:r>
        <w:instrText xml:space="preserve"> ADDIN ZOTERO_ITEM CSL_CITATION {"citationID":"iIMhMypT","properties":{"formattedCitation":"(2022, 65\\uc0\\u8211{}66)","plainCitation":"(2022, 65–66)","noteIndex":5},"citationItems":[{"id":25331,"uris":["http://zotero.org/groups/1633743/items/2FRSBS2M"],"itemData":{"id":25331,"type":"book","abstract":"Grapholinguistics,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65-66","label":"page","suppress-author":true}],"schema":"https://github.com/citation-style-language/schema/raw/master/csl-citation.json"} </w:instrText>
      </w:r>
      <w:r>
        <w:fldChar w:fldCharType="separate"/>
      </w:r>
      <w:r>
        <w:rPr>
          <w:rFonts w:cs="Gentium Plus"/>
          <w:kern w:val="0"/>
          <w:szCs w:val="24"/>
        </w:rPr>
        <w:t>(2022, 65–66)</w:t>
      </w:r>
      <w:r>
        <w:fldChar w:fldCharType="end"/>
      </w:r>
      <w:r>
        <w:t xml:space="preserve"> and essentially reconcilable with Wellisch </w:t>
      </w:r>
      <w:r>
        <w:fldChar w:fldCharType="begin"/>
      </w:r>
      <w:r>
        <w:instrText xml:space="preserve"> ADDIN ZOTERO_ITEM CSL_CITATION {"citationID":"0DIolK6p","properties":{"formattedCitation":"(1978, 15, 13)","plainCitation":"(1978, 15, 13)","noteIndex":5},"citationItems":[{"id":1550,"uris":["http://zotero.org/users/2534519/items/WS2NPWQZ"],"itemData":{"id":1550,"type":"book","abstract":"\"A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H."}],"issued":{"date-parts":[["1978"]]}},"locator":"15, 13","label":"page","suppress-author":true}],"schema":"https://github.com/citation-style-language/schema/raw/master/csl-citation.json"} </w:instrText>
      </w:r>
      <w:r>
        <w:fldChar w:fldCharType="separate"/>
      </w:r>
      <w:r>
        <w:rPr>
          <w:rFonts w:cs="Gentium Plus"/>
        </w:rPr>
        <w:t>(1978, 15, 13)</w:t>
      </w:r>
      <w:r>
        <w:fldChar w:fldCharType="end"/>
      </w:r>
      <w:r>
        <w:t xml:space="preserve">, and Coulmas </w:t>
      </w:r>
      <w:r>
        <w:fldChar w:fldCharType="begin"/>
      </w:r>
      <w:r>
        <w:instrText xml:space="preserve"> ADDIN ZOTERO_ITEM CSL_CITATION {"citationID":"JX7BSX88","properties":{"formattedCitation":"(2003, 35)","plainCitation":"(2003, 35)","noteIndex":5},"citationItems":[{"id":25453,"uris":["http://zotero.org/groups/1633743/items/5G7F9GHA"],"itemData":{"id":25453,"type":"book","ISBN":"978-0-521-78737-6","language":"en","number-of-pages":"294","publisher":"Cambridge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Analysis","title-short":"Coulmas2003_01","author":[{"family":"Coulmas","given":"Florian"}],"issued":{"date-parts":[["2003"]]}},"locator":"35","label":"page","suppress-author":true}],"schema":"https://github.com/citation-style-language/schema/raw/master/csl-citation.json"} </w:instrText>
      </w:r>
      <w:r>
        <w:fldChar w:fldCharType="separate"/>
      </w:r>
      <w:r>
        <w:rPr>
          <w:rFonts w:cs="Gentium Plus"/>
        </w:rPr>
        <w:t>(2003, 35)</w:t>
      </w:r>
      <w:r>
        <w:fldChar w:fldCharType="end"/>
      </w:r>
      <w:r>
        <w:t>.</w:t>
      </w:r>
    </w:p>
  </w:footnote>
  <w:footnote w:id="6">
    <w:p w14:paraId="2F5ADE15" w14:textId="691150E0" w:rsidR="00431357" w:rsidRDefault="00431357" w:rsidP="00431357">
      <w:pPr>
        <w:pStyle w:val="Lbjegyzetszveg"/>
      </w:pPr>
      <w:r>
        <w:tab/>
      </w:r>
      <w:r>
        <w:rPr>
          <w:rStyle w:val="Lbjegyzet-hivatkozs"/>
        </w:rPr>
        <w:footnoteRef/>
      </w:r>
      <w:r>
        <w:tab/>
        <w:t xml:space="preserve">With Weingarten </w:t>
      </w:r>
      <w:r>
        <w:fldChar w:fldCharType="begin"/>
      </w:r>
      <w:r>
        <w:instrText xml:space="preserve"> ADDIN ZOTERO_ITEM CSL_CITATION {"citationID":"OmWh7ikw","properties":{"formattedCitation":"(2013, 18)","plainCitation":"(2013, 18)","noteIndex":6},"citationItems":[{"id":26543,"uris":["http://zotero.org/groups/1633743/items/3JBU4L3M"],"itemData":{"id":26543,"type":"chapter","abstract":"The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R."},{"family":"Joyce","given":"Terry"}],"accessed":{"date-parts":[["2025",4,10]]},"issued":{"date-parts":[["2013"]]}},"locator":"18","label":"page","suppress-author":true}],"schema":"https://github.com/citation-style-language/schema/raw/master/csl-citation.json"} </w:instrText>
      </w:r>
      <w:r>
        <w:fldChar w:fldCharType="separate"/>
      </w:r>
      <w:r>
        <w:rPr>
          <w:rFonts w:cs="Gentium Plus"/>
        </w:rPr>
        <w:t>(2013, 18)</w:t>
      </w:r>
      <w:r>
        <w:fldChar w:fldCharType="end"/>
      </w:r>
      <w:r>
        <w:t xml:space="preserve"> and most recent theorists.</w:t>
      </w:r>
    </w:p>
  </w:footnote>
  <w:footnote w:id="7">
    <w:p w14:paraId="4C068925" w14:textId="77777777" w:rsidR="00431357" w:rsidRDefault="00431357" w:rsidP="00431357">
      <w:pPr>
        <w:pStyle w:val="Lbjegyzetszveg"/>
      </w:pPr>
      <w:r>
        <w:tab/>
      </w:r>
      <w:r>
        <w:rPr>
          <w:rStyle w:val="Lbjegyzet-hivatkozs"/>
        </w:rPr>
        <w:footnoteRef/>
      </w:r>
      <w:r>
        <w:tab/>
        <w:t>Such as that for writing twenty-first century Bronx English on a computer in Arial, or that for writing Shakespearean English by hand in insular minuscule.</w:t>
      </w:r>
    </w:p>
  </w:footnote>
  <w:footnote w:id="8">
    <w:p w14:paraId="31C82F27" w14:textId="42B3D271" w:rsidR="00431357" w:rsidRDefault="00431357" w:rsidP="00431357">
      <w:pPr>
        <w:pStyle w:val="Lbjegyzetszveg"/>
      </w:pPr>
      <w:r>
        <w:tab/>
      </w:r>
      <w:r>
        <w:rPr>
          <w:rStyle w:val="Lbjegyzet-hivatkozs"/>
        </w:rPr>
        <w:footnoteRef/>
      </w:r>
      <w:r>
        <w:tab/>
        <w:t xml:space="preserve">The terms ‘Roman’ and ‘Latin’ are near-synonyms in the context of scripts and writing systems. We prefer ‘Latin’ in reference to the specific script and writing system used in ancient Rome for the Latin language </w:t>
      </w:r>
      <w:r>
        <w:fldChar w:fldCharType="begin"/>
      </w:r>
      <w:r>
        <w:instrText xml:space="preserve"> ADDIN ZOTERO_ITEM CSL_CITATION {"citationID":"GqDBpcOZ","properties":{"formattedCitation":"(Coulmas 2006, 285\\uc0\\u8211{}87, s.v. Latin alphabet)","plainCitation":"(Coulmas 2006, 285–87, s.v. Latin alphabet)","noteIndex":8},"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Systems","title-short":"Coulmas2006_01","author":[{"family":"Coulmas","given":"Florian"}],"issued":{"date-parts":[["2006"]]}},"locator":"285-287, s.v. Latin alphabet","label":"page"}],"schema":"https://github.com/citation-style-language/schema/raw/master/csl-citation.json"} </w:instrText>
      </w:r>
      <w:r>
        <w:fldChar w:fldCharType="separate"/>
      </w:r>
      <w:r>
        <w:rPr>
          <w:rFonts w:cs="Gentium Plus"/>
          <w:kern w:val="0"/>
          <w:szCs w:val="24"/>
        </w:rPr>
        <w:t>(Coulmas 2006, 285–87, s.v. Latin alphabet)</w:t>
      </w:r>
      <w:r>
        <w:fldChar w:fldCharType="end"/>
      </w:r>
      <w:r>
        <w:t xml:space="preserve">, and ‘Roman’ in reference to the broad family of scripts and writing systems derived from the former </w:t>
      </w:r>
      <w:r>
        <w:fldChar w:fldCharType="begin"/>
      </w:r>
      <w:r>
        <w:instrText xml:space="preserve"> ADDIN ZOTERO_ITEM CSL_CITATION {"citationID":"AT0gsyRc","properties":{"formattedCitation":"(ibid. 2006, 438\\uc0\\u8211{}39, s.v. Roman alphabet)","plainCitation":"(ibid. 2006, 438–39, s.v. Roman alphabet)","noteIndex":8},"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Systems","title-short":"Coulmas2006_01","author":[{"family":"Coulmas","given":"Florian"}],"issued":{"date-parts":[["2006"]]}},"locator":"438-439, s.v. Roman alphabet","label":"page","suppress-author":true,"prefix":"ibid."}],"schema":"https://github.com/citation-style-language/schema/raw/master/csl-citation.json"} </w:instrText>
      </w:r>
      <w:r>
        <w:fldChar w:fldCharType="separate"/>
      </w:r>
      <w:r>
        <w:rPr>
          <w:rFonts w:cs="Gentium Plus"/>
          <w:kern w:val="0"/>
          <w:szCs w:val="24"/>
        </w:rPr>
        <w:t>(ibid. 2006, 438–39, s.v. Roman alphabet)</w:t>
      </w:r>
      <w:r>
        <w:fldChar w:fldCharType="end"/>
      </w:r>
      <w:r>
        <w:t>.</w:t>
      </w:r>
    </w:p>
  </w:footnote>
  <w:footnote w:id="9">
    <w:p w14:paraId="67C5B56B" w14:textId="56CF7BD1" w:rsidR="00431357" w:rsidRDefault="00431357" w:rsidP="00431357">
      <w:pPr>
        <w:pStyle w:val="Lbjegyzetszveg"/>
      </w:pPr>
      <w:r>
        <w:tab/>
      </w:r>
      <w:r>
        <w:rPr>
          <w:rStyle w:val="Lbjegyzet-hivatkozs"/>
        </w:rPr>
        <w:footnoteRef/>
      </w:r>
      <w:r>
        <w:tab/>
        <w:t xml:space="preserve">There exist various and not entirely compatible typologies of writing systems. We broadly follow Meletis </w:t>
      </w:r>
      <w:r>
        <w:fldChar w:fldCharType="begin"/>
      </w:r>
      <w:r>
        <w:instrText xml:space="preserve"> ADDIN ZOTERO_ITEM CSL_CITATION {"citationID":"Offz7yM4","properties":{"formattedCitation":"(2020a, 142\\uc0\\u8211{}51)","plainCitation":"(2020a, 142–51)","noteIndex":9},"citationItems":[{"id":25329,"uris":["http://zotero.org/groups/1633743/items/F5UMNY45"],"itemData":{"id":25329,"type":"book","collection-number":"3","collection-title":"Grapholinguistics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142-151","label":"page","suppress-author":true}],"schema":"https://github.com/citation-style-language/schema/raw/master/csl-citation.json"} </w:instrText>
      </w:r>
      <w:r>
        <w:fldChar w:fldCharType="separate"/>
      </w:r>
      <w:r>
        <w:rPr>
          <w:rFonts w:cs="Gentium Plus"/>
          <w:kern w:val="0"/>
          <w:szCs w:val="24"/>
        </w:rPr>
        <w:t>(2020a, 142–51)</w:t>
      </w:r>
      <w:r>
        <w:fldChar w:fldCharType="end"/>
      </w:r>
      <w:r>
        <w:t xml:space="preserve">, q.v. for a discussion of other typologies. For an in-depth study, see e.g. Daniels </w:t>
      </w:r>
      <w:r>
        <w:fldChar w:fldCharType="begin"/>
      </w:r>
      <w:r>
        <w:instrText xml:space="preserve"> ADDIN ZOTERO_ITEM CSL_CITATION {"citationID":"pmpNa9GO","properties":{"formattedCitation":"(2018)","plainCitation":"(2018)","noteIndex":9},"citationItems":[{"id":26517,"uris":["http://zotero.org/groups/1633743/items/QTCJSLAL"],"itemData":{"id":26517,"type":"book","event-place":"Sheffield","publisher":"Equinox","publisher-place":"Sheffield","title":"An exploration of writing","title-short":"Daniels2018_01","author":[{"family":"Daniels","given":"Peter T."}],"issued":{"date-parts":[["2018"]]}},"suppress-author":true}],"schema":"https://github.com/citation-style-language/schema/raw/master/csl-citation.json"} </w:instrText>
      </w:r>
      <w:r>
        <w:fldChar w:fldCharType="separate"/>
      </w:r>
      <w:r>
        <w:rPr>
          <w:rFonts w:cs="Gentium Plus"/>
        </w:rPr>
        <w:t>(2018)</w:t>
      </w:r>
      <w:r>
        <w:fldChar w:fldCharType="end"/>
      </w:r>
      <w:r>
        <w:t>.</w:t>
      </w:r>
    </w:p>
  </w:footnote>
  <w:footnote w:id="10">
    <w:p w14:paraId="26CDCA4D" w14:textId="3C95A3B5" w:rsidR="00431357" w:rsidRDefault="00431357" w:rsidP="00431357">
      <w:pPr>
        <w:pStyle w:val="Lbjegyzetszveg"/>
      </w:pPr>
      <w:r>
        <w:tab/>
      </w:r>
      <w:r>
        <w:rPr>
          <w:rStyle w:val="Lbjegyzet-hivatkozs"/>
        </w:rPr>
        <w:footnoteRef/>
      </w:r>
      <w:r>
        <w:tab/>
        <w:t xml:space="preserve">In addition to </w:t>
      </w:r>
      <w:r>
        <w:rPr>
          <w:i/>
          <w:iCs/>
        </w:rPr>
        <w:t>aksharic</w:t>
      </w:r>
      <w:r>
        <w:t xml:space="preserve"> (with varied spellings), technical terms widely used for such writing systems include </w:t>
      </w:r>
      <w:r>
        <w:rPr>
          <w:i/>
          <w:iCs/>
        </w:rPr>
        <w:t>abugida</w:t>
      </w:r>
      <w:r>
        <w:t xml:space="preserve"> and </w:t>
      </w:r>
      <w:r>
        <w:rPr>
          <w:i/>
          <w:iCs/>
        </w:rPr>
        <w:t>alphasyllabary</w:t>
      </w:r>
      <w:r>
        <w:t xml:space="preserve">. The diverse definitions offered for each of these terms are not altogether compatible. See also note </w:t>
      </w:r>
      <w:r>
        <w:fldChar w:fldCharType="begin"/>
      </w:r>
      <w:r>
        <w:instrText xml:space="preserve"> NOTEREF _Ref198646201 \h </w:instrText>
      </w:r>
      <w:r>
        <w:fldChar w:fldCharType="separate"/>
      </w:r>
      <w:r>
        <w:t>39</w:t>
      </w:r>
      <w:r>
        <w:fldChar w:fldCharType="end"/>
      </w:r>
      <w:r>
        <w:t xml:space="preserve"> below, and see e.g. Gnanadesikan </w:t>
      </w:r>
      <w:r>
        <w:fldChar w:fldCharType="begin"/>
      </w:r>
      <w:r>
        <w:instrText xml:space="preserve"> ADDIN ZOTERO_ITEM CSL_CITATION {"citationID":"n65MoXrI","properties":{"formattedCitation":"(2017)","plainCitation":"(2017)","noteIndex":10},"citationItems":[{"id":26516,"uris":["http://zotero.org/groups/1633743/items/PINAVHJW"],"itemData":{"id":26516,"type":"article-journal","abstract":"This paper focuses on those scripts whose basic grain size is the phoneme or phonological segment, arguing for both the essential unity and the diversity of such scripts. On the one hand, these scripts encode individual phonemes, unlike syllabaries, and should therefore be recognised as constituting a class. On the other hand, they vary in which vowels they represent, if any, and in how the relationship between vowels and consonants is encoded. These dimensions of which segments are represented and how those segments are arranged to form larger phonological structures vary independently of each other. Furthermore, some phonemic scripts also encode featural or moraic information. Thus, a short list of simple one-word names, like alphabet, abjad and abugida, does not capture the full range of segmental scripts or the relationships between them. A typology using more descriptive terms is presented.","container-title":"Writing Systems Research","DOI":"10.1080/17586801.2017.1308239","ISSN":"1758-6801","issue":"1","page":"14-35","title":"Towards a typology of phonemic scripts","title-short":"Gnanadesikan2017_01","volume":"9","author":[{"family":"Gnanadesikan","given":"Amalia E."}],"issued":{"date-parts":[["2017"]]}},"suppress-author":true}],"schema":"https://github.com/citation-style-language/schema/raw/master/csl-citation.json"} </w:instrText>
      </w:r>
      <w:r>
        <w:fldChar w:fldCharType="separate"/>
      </w:r>
      <w:r>
        <w:rPr>
          <w:rFonts w:cs="Gentium Plus"/>
        </w:rPr>
        <w:t>(2017)</w:t>
      </w:r>
      <w:r>
        <w:fldChar w:fldCharType="end"/>
      </w:r>
      <w:r>
        <w:t xml:space="preserve"> for a discussion and an attempt at a clearer typology of phonographic writing systems. She endorses the term </w:t>
      </w:r>
      <w:r>
        <w:rPr>
          <w:i/>
          <w:iCs/>
        </w:rPr>
        <w:t>āksharik</w:t>
      </w:r>
      <w:r>
        <w:t xml:space="preserve">, which we adopt here apart from the spelling, since it fits the system of related terms better  than “akshara script” suggested by Salomon </w:t>
      </w:r>
      <w:r>
        <w:fldChar w:fldCharType="begin"/>
      </w:r>
      <w:r>
        <w:instrText xml:space="preserve"> ADDIN ZOTERO_ITEM CSL_CITATION {"citationID":"1zv6XloY","properties":{"formattedCitation":"(2003, 78)","plainCitation":"(2003, 78)","noteIndex":10},"citationItems":[{"id":26819,"uris":["http://zotero.org/groups/1633743/items/IPZREA89"],"itemData":{"id":26819,"type":"chapter","collection-title":"Routledge Language Family Series","container-title":"The Indo-Aryan languages","event-place":"Oxford","ISBN":"978-0-7007-1130-7","language":"EN","page":"75-114","publisher":"Routledge","publisher-place":"Oxford","title":"Writing systems of the Indo-Aryan languages","author":[{"family":"Salomon","given":"Richard"}],"editor":[{"family":"Cardona","given":"George"},{"family":"Jain","given":"Dhanesh"}],"issued":{"date-parts":[["2003"]]}},"locator":"78","label":"page","suppress-author":true}],"schema":"https://github.com/citation-style-language/schema/raw/master/csl-citation.json"} </w:instrText>
      </w:r>
      <w:r>
        <w:fldChar w:fldCharType="separate"/>
      </w:r>
      <w:r>
        <w:rPr>
          <w:rFonts w:cs="Gentium Plus"/>
        </w:rPr>
        <w:t>(2003, 78)</w:t>
      </w:r>
      <w:r>
        <w:fldChar w:fldCharType="end"/>
      </w:r>
      <w:r>
        <w:t>.</w:t>
      </w:r>
    </w:p>
  </w:footnote>
  <w:footnote w:id="11">
    <w:p w14:paraId="3FD6AC30" w14:textId="5BC3237A" w:rsidR="00431357" w:rsidRDefault="00431357" w:rsidP="00431357">
      <w:pPr>
        <w:pStyle w:val="Lbjegyzetszveg"/>
      </w:pPr>
      <w:r>
        <w:tab/>
      </w:r>
      <w:r>
        <w:rPr>
          <w:rStyle w:val="Lbjegyzet-hivatkozs"/>
        </w:rPr>
        <w:footnoteRef/>
      </w:r>
      <w:r>
        <w:tab/>
        <w:t xml:space="preserve">The inherent vowel may be absent (or optional) in some specific Indic writing systems, notably early Tamil Brāhmī </w:t>
      </w:r>
      <w:r>
        <w:fldChar w:fldCharType="begin"/>
      </w:r>
      <w:r>
        <w:instrText xml:space="preserve"> ADDIN ZOTERO_ITEM CSL_CITATION {"citationID":"zvDmdbl3","properties":{"formattedCitation":"(Salomon 1998, 36; 2003, 104)","plainCitation":"(Salomon 1998, 36; 2003, 104)","noteIndex":11},"citationItems":[{"id":20894,"uris":["http://zotero.org/groups/1633743/items/DP8A4QTZ"],"itemData":{"id":20894,"type":"book","collection-title":"South Asia Research","event-place":"New York","ISBN":"978-0-19-509984-3","language":"English","number-of-pages":"378","publisher":"Oxford University Press","publisher-place":"New York","source":"Internet Archive","title":"Indian epigraphy: A guide to the study of inscriptions in Sanskrit, Prakrit, and the other Indo-Aryan languages","title-short":"Salomon1998_01","URL":"http://archive.org/details/indianepigraphyg0000salo","author":[{"family":"Salomon","given":"Richard"}],"issued":{"date-parts":[["1998"]]}},"locator":"36","label":"page"},{"id":26819,"uris":["http://zotero.org/groups/1633743/items/IPZREA89"],"itemData":{"id":26819,"type":"chapter","collection-title":"Routledge Language Family Series","container-title":"The Indo-Aryan languages","event-place":"Oxford","ISBN":"978-0-7007-1130-7","language":"EN","page":"75-114","publisher":"Routledge","publisher-place":"Oxford","title":"Writing systems of the Indo-Aryan languages","author":[{"family":"Salomon","given":"Richard"}],"editor":[{"family":"Cardona","given":"George"},{"family":"Jain","given":"Dhanesh"}],"issued":{"date-parts":[["2003"]]}},"locator":"104","label":"page"}],"schema":"https://github.com/citation-style-language/schema/raw/master/csl-citation.json"} </w:instrText>
      </w:r>
      <w:r>
        <w:fldChar w:fldCharType="separate"/>
      </w:r>
      <w:r>
        <w:rPr>
          <w:rFonts w:cs="Gentium Plus"/>
        </w:rPr>
        <w:t>(Salomon 1998, 36; 2003, 104)</w:t>
      </w:r>
      <w:r>
        <w:fldChar w:fldCharType="end"/>
      </w:r>
      <w:r>
        <w:t>. The only truly essential feature of an aksharic writing system is that it has dependent signs for postconsonantal vowels.</w:t>
      </w:r>
    </w:p>
  </w:footnote>
  <w:footnote w:id="12">
    <w:p w14:paraId="29987A77" w14:textId="5B4BE070" w:rsidR="00431357" w:rsidRDefault="00431357" w:rsidP="00431357">
      <w:pPr>
        <w:pStyle w:val="Lbjegyzetszveg"/>
      </w:pPr>
      <w:r>
        <w:tab/>
      </w:r>
      <w:r>
        <w:rPr>
          <w:rStyle w:val="Lbjegyzet-hivatkozs"/>
        </w:rPr>
        <w:footnoteRef/>
      </w:r>
      <w:r>
        <w:tab/>
        <w:t xml:space="preserve">The </w:t>
      </w:r>
      <w:r>
        <w:rPr>
          <w:i/>
          <w:iCs/>
        </w:rPr>
        <w:t>graphic syllables</w:t>
      </w:r>
      <w:r>
        <w:t xml:space="preserve"> predominantly represented by the signs of syllabic writing systems do not necessarily correspond to speech syllables; for further discussion, see e.g. Coulmas </w:t>
      </w:r>
      <w:r>
        <w:fldChar w:fldCharType="begin"/>
      </w:r>
      <w:r>
        <w:instrText xml:space="preserve"> ADDIN ZOTERO_ITEM CSL_CITATION {"citationID":"ZVF9WKvz","properties":{"formattedCitation":"(2003, 62\\uc0\\u8211{}66)","plainCitation":"(2003, 62–66)","noteIndex":12},"citationItems":[{"id":25453,"uris":["http://zotero.org/groups/1633743/items/5G7F9GHA"],"itemData":{"id":25453,"type":"book","ISBN":"978-0-521-78737-6","language":"en","number-of-pages":"294","publisher":"Cambridge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Analysis","title-short":"Coulmas2003_01","author":[{"family":"Coulmas","given":"Florian"}],"issued":{"date-parts":[["2003"]]}},"locator":"62-66","label":"page","suppress-author":true}],"schema":"https://github.com/citation-style-language/schema/raw/master/csl-citation.json"} </w:instrText>
      </w:r>
      <w:r>
        <w:fldChar w:fldCharType="separate"/>
      </w:r>
      <w:r>
        <w:rPr>
          <w:rFonts w:cs="Gentium Plus"/>
          <w:kern w:val="0"/>
          <w:szCs w:val="24"/>
        </w:rPr>
        <w:t>(2003, 62–66)</w:t>
      </w:r>
      <w:r>
        <w:fldChar w:fldCharType="end"/>
      </w:r>
      <w:r>
        <w:t xml:space="preserve">; Meletis and Dürscheid </w:t>
      </w:r>
      <w:r>
        <w:fldChar w:fldCharType="begin"/>
      </w:r>
      <w:r>
        <w:instrText xml:space="preserve"> ADDIN ZOTERO_ITEM CSL_CITATION {"citationID":"ZS2ko059","properties":{"formattedCitation":"(2022, 240\\uc0\\u8211{}42)","plainCitation":"(2022, 240–42)","noteIndex":12},"citationItems":[{"id":25331,"uris":["http://zotero.org/groups/1633743/items/2FRSBS2M"],"itemData":{"id":25331,"type":"book","abstract":"Grapholinguistics,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240-242","label":"page","suppress-author":true}],"schema":"https://github.com/citation-style-language/schema/raw/master/csl-citation.json"} </w:instrText>
      </w:r>
      <w:r>
        <w:fldChar w:fldCharType="separate"/>
      </w:r>
      <w:r>
        <w:rPr>
          <w:rFonts w:cs="Gentium Plus"/>
          <w:kern w:val="0"/>
          <w:szCs w:val="24"/>
        </w:rPr>
        <w:t>(2022, 240–42)</w:t>
      </w:r>
      <w:r>
        <w:fldChar w:fldCharType="end"/>
      </w:r>
      <w:r>
        <w:t>.</w:t>
      </w:r>
    </w:p>
  </w:footnote>
  <w:footnote w:id="13">
    <w:p w14:paraId="599EF694" w14:textId="138946D0" w:rsidR="00431357" w:rsidRDefault="00431357" w:rsidP="00431357">
      <w:pPr>
        <w:pStyle w:val="Lbjegyzetszveg"/>
      </w:pPr>
      <w:r>
        <w:tab/>
      </w:r>
      <w:r>
        <w:rPr>
          <w:rStyle w:val="Lbjegyzet-hivatkozs"/>
        </w:rPr>
        <w:footnoteRef/>
      </w:r>
      <w:r>
        <w:tab/>
      </w:r>
      <w:r>
        <w:rPr>
          <w:rFonts w:cs="Gentium Plus"/>
          <w:szCs w:val="24"/>
        </w:rPr>
        <w:t xml:space="preserve">See Meletis and Dürscheid </w:t>
      </w:r>
      <w:r>
        <w:fldChar w:fldCharType="begin"/>
      </w:r>
      <w:r>
        <w:instrText xml:space="preserve"> ADDIN ZOTERO_ITEM CSL_CITATION {"citationID":"5ybT39NK","properties":{"formattedCitation":"(2022, 243\\uc0\\u8211{}49)","plainCitation":"(2022, 243–49)","noteIndex":13},"citationItems":[{"id":25331,"uris":["http://zotero.org/groups/1633743/items/2FRSBS2M"],"itemData":{"id":25331,"type":"book","abstract":"Grapholinguistics,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243-249","label":"page","suppress-author":true}],"schema":"https://github.com/citation-style-language/schema/raw/master/csl-citation.json"} </w:instrText>
      </w:r>
      <w:r>
        <w:fldChar w:fldCharType="separate"/>
      </w:r>
      <w:r>
        <w:rPr>
          <w:rFonts w:cs="Gentium Plus"/>
          <w:kern w:val="0"/>
          <w:szCs w:val="24"/>
        </w:rPr>
        <w:t>(2022, 243–49)</w:t>
      </w:r>
      <w:r>
        <w:fldChar w:fldCharType="end"/>
      </w:r>
      <w:r>
        <w:t xml:space="preserve"> </w:t>
      </w:r>
      <w:r>
        <w:rPr>
          <w:rFonts w:cs="Gentium Plus"/>
          <w:szCs w:val="24"/>
        </w:rPr>
        <w:t>for a discussion</w:t>
      </w:r>
      <w:r>
        <w:t>.</w:t>
      </w:r>
    </w:p>
  </w:footnote>
  <w:footnote w:id="14">
    <w:p w14:paraId="42667351" w14:textId="77777777" w:rsidR="00431357" w:rsidRDefault="00431357" w:rsidP="00431357">
      <w:pPr>
        <w:pStyle w:val="Lbjegyzetszveg"/>
        <w:rPr>
          <w:i/>
          <w:iCs/>
        </w:rPr>
      </w:pPr>
      <w:r>
        <w:tab/>
      </w:r>
      <w:r>
        <w:rPr>
          <w:rStyle w:val="Lbjegyzet-hivatkozs"/>
        </w:rPr>
        <w:footnoteRef/>
      </w:r>
      <w:r>
        <w:tab/>
        <w:t>Expressions such as ‘script conversion’ are often used because of their facility, but conversion is not merely the replacement of the signs of one script (sign inventory) with those of another.</w:t>
      </w:r>
    </w:p>
  </w:footnote>
  <w:footnote w:id="15">
    <w:p w14:paraId="6F62C550" w14:textId="5B87B744" w:rsidR="00431357" w:rsidRDefault="00431357" w:rsidP="00431357">
      <w:pPr>
        <w:pStyle w:val="Lbjegyzetszveg"/>
      </w:pPr>
      <w:r>
        <w:tab/>
      </w:r>
      <w:r>
        <w:rPr>
          <w:rStyle w:val="Lbjegyzet-hivatkozs"/>
        </w:rPr>
        <w:footnoteRef/>
      </w:r>
      <w:r>
        <w:tab/>
        <w:t xml:space="preserve">With Wellisch </w:t>
      </w:r>
      <w:r>
        <w:fldChar w:fldCharType="begin"/>
      </w:r>
      <w:r>
        <w:instrText xml:space="preserve"> ADDIN ZOTERO_ITEM CSL_CITATION {"citationID":"jxjJRP8T","properties":{"formattedCitation":"(1978, 18)","plainCitation":"(1978, 18)","noteIndex":15},"citationItems":[{"id":1550,"uris":["http://zotero.org/users/2534519/items/WS2NPWQZ"],"itemData":{"id":1550,"type":"book","abstract":"\"A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H."}],"issued":{"date-parts":[["1978"]]}},"locator":"18","label":"page","suppress-author":true}],"schema":"https://github.com/citation-style-language/schema/raw/master/csl-citation.json"} </w:instrText>
      </w:r>
      <w:r>
        <w:fldChar w:fldCharType="separate"/>
      </w:r>
      <w:r>
        <w:rPr>
          <w:rFonts w:cs="Gentium Plus"/>
        </w:rPr>
        <w:t>(1978, 18)</w:t>
      </w:r>
      <w:r>
        <w:fldChar w:fldCharType="end"/>
      </w:r>
      <w:r>
        <w:t xml:space="preserve"> and Coulmas </w:t>
      </w:r>
      <w:r>
        <w:fldChar w:fldCharType="begin"/>
      </w:r>
      <w:r>
        <w:instrText xml:space="preserve"> ADDIN ZOTERO_ITEM CSL_CITATION {"citationID":"tPXwnXgu","properties":{"formattedCitation":"(2003, 36)","plainCitation":"(2003, 36)","noteIndex":15},"citationItems":[{"id":25453,"uris":["http://zotero.org/groups/1633743/items/5G7F9GHA"],"itemData":{"id":25453,"type":"book","ISBN":"978-0-521-78737-6","language":"en","number-of-pages":"294","publisher":"Cambridge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Analysis","title-short":"Coulmas2003_01","author":[{"family":"Coulmas","given":"Florian"}],"issued":{"date-parts":[["2003"]]}},"locator":"36","label":"page","suppress-author":true}],"schema":"https://github.com/citation-style-language/schema/raw/master/csl-citation.json"} </w:instrText>
      </w:r>
      <w:r>
        <w:fldChar w:fldCharType="separate"/>
      </w:r>
      <w:r>
        <w:rPr>
          <w:rFonts w:cs="Gentium Plus"/>
        </w:rPr>
        <w:t>(2003, 36)</w:t>
      </w:r>
      <w:r>
        <w:fldChar w:fldCharType="end"/>
      </w:r>
      <w:r>
        <w:t>.</w:t>
      </w:r>
    </w:p>
  </w:footnote>
  <w:footnote w:id="16">
    <w:p w14:paraId="3B387491" w14:textId="77777777" w:rsidR="00431357" w:rsidRDefault="00431357" w:rsidP="00431357">
      <w:pPr>
        <w:pStyle w:val="Lbjegyzetszveg"/>
      </w:pPr>
      <w:r>
        <w:tab/>
      </w:r>
      <w:r>
        <w:rPr>
          <w:rStyle w:val="Lbjegyzet-hivatkozs"/>
        </w:rPr>
        <w:footnoteRef/>
      </w:r>
      <w:r>
        <w:tab/>
        <w:t>Paraphrased at the end of §</w:t>
      </w:r>
      <w:r>
        <w:fldChar w:fldCharType="begin"/>
      </w:r>
      <w:r>
        <w:instrText xml:space="preserve"> REF _Ref199919583 \r \h </w:instrText>
      </w:r>
      <w:r>
        <w:fldChar w:fldCharType="separate"/>
      </w:r>
      <w:r>
        <w:t>3.2.1</w:t>
      </w:r>
      <w:r>
        <w:fldChar w:fldCharType="end"/>
      </w:r>
      <w:r>
        <w:t>; see also §</w:t>
      </w:r>
      <w:r>
        <w:fldChar w:fldCharType="begin"/>
      </w:r>
      <w:r>
        <w:instrText xml:space="preserve"> REF _Ref199919606 \r \h </w:instrText>
      </w:r>
      <w:r>
        <w:fldChar w:fldCharType="separate"/>
      </w:r>
      <w:r>
        <w:t>4.1.1</w:t>
      </w:r>
      <w:r>
        <w:fldChar w:fldCharType="end"/>
      </w:r>
      <w:r>
        <w:t>.</w:t>
      </w:r>
    </w:p>
  </w:footnote>
  <w:footnote w:id="17">
    <w:p w14:paraId="7FDCA4BB" w14:textId="6B1026F0" w:rsidR="00431357" w:rsidRDefault="00431357" w:rsidP="00431357">
      <w:pPr>
        <w:pStyle w:val="Lbjegyzetszveg"/>
      </w:pPr>
      <w:r>
        <w:tab/>
      </w:r>
      <w:r>
        <w:rPr>
          <w:rStyle w:val="Lbjegyzet-hivatkozs"/>
        </w:rPr>
        <w:footnoteRef/>
      </w:r>
      <w:r>
        <w:tab/>
        <w:t xml:space="preserve">See Meletis </w:t>
      </w:r>
      <w:r>
        <w:fldChar w:fldCharType="begin"/>
      </w:r>
      <w:r>
        <w:instrText xml:space="preserve"> ADDIN ZOTERO_ITEM CSL_CITATION {"citationID":"1qe56YNV","properties":{"formattedCitation":"(2019, 27\\uc0\\u8211{}34)","plainCitation":"(2019, 27–34)","noteIndex":17},"citationItems":[{"id":25400,"uris":["http://zotero.org/groups/1633743/items/SI8VKQ4J"],"itemData":{"id":25400,"type":"article-journal","abstract":"The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27-34","label":"page","suppress-author":true}],"schema":"https://github.com/citation-style-language/schema/raw/master/csl-citation.json"} </w:instrText>
      </w:r>
      <w:r>
        <w:fldChar w:fldCharType="separate"/>
      </w:r>
      <w:r>
        <w:rPr>
          <w:rFonts w:cs="Gentium Plus"/>
          <w:kern w:val="0"/>
          <w:szCs w:val="24"/>
        </w:rPr>
        <w:t>(2019, 27–34)</w:t>
      </w:r>
      <w:r>
        <w:fldChar w:fldCharType="end"/>
      </w:r>
      <w:r>
        <w:t xml:space="preserve"> </w:t>
      </w:r>
      <w:r>
        <w:rPr>
          <w:rFonts w:cs="Gentium Plus"/>
        </w:rPr>
        <w:t>for an overview.</w:t>
      </w:r>
    </w:p>
  </w:footnote>
  <w:footnote w:id="18">
    <w:p w14:paraId="4EA893C4" w14:textId="015EA6E4" w:rsidR="00431357" w:rsidRDefault="00431357" w:rsidP="00431357">
      <w:pPr>
        <w:pStyle w:val="Lbjegyzetszveg"/>
      </w:pPr>
      <w:r>
        <w:tab/>
      </w:r>
      <w:r>
        <w:rPr>
          <w:rStyle w:val="Lbjegyzet-hivatkozs"/>
        </w:rPr>
        <w:footnoteRef/>
      </w:r>
      <w:r>
        <w:tab/>
      </w:r>
      <w:r>
        <w:rPr>
          <w:rFonts w:cs="Gentium Plus"/>
        </w:rPr>
        <w:t xml:space="preserve">Notably Daniels </w:t>
      </w:r>
      <w:r>
        <w:fldChar w:fldCharType="begin"/>
      </w:r>
      <w:r>
        <w:instrText xml:space="preserve"> ADDIN ZOTERO_ITEM CSL_CITATION {"citationID":"UwgpHC3L","properties":{"formattedCitation":"(2018, 164\\uc0\\u8211{}71)","plainCitation":"(2018, 164–71)","noteIndex":18},"citationItems":[{"id":26517,"uris":["http://zotero.org/groups/1633743/items/QTCJSLAL"],"itemData":{"id":26517,"type":"book","event-place":"Sheffield","publisher":"Equinox","publisher-place":"Sheffield","title":"An exploration of writing","title-short":"Daniels2018_01","author":[{"family":"Daniels","given":"Peter T."}],"issued":{"date-parts":[["2018"]]}},"locator":"164-171","label":"page","suppress-author":true}],"schema":"https://github.com/citation-style-language/schema/raw/master/csl-citation.json"} </w:instrText>
      </w:r>
      <w:r>
        <w:fldChar w:fldCharType="separate"/>
      </w:r>
      <w:r>
        <w:rPr>
          <w:rFonts w:cs="Gentium Plus"/>
          <w:kern w:val="0"/>
          <w:szCs w:val="24"/>
        </w:rPr>
        <w:t>(2018, 164–71)</w:t>
      </w:r>
      <w:r>
        <w:fldChar w:fldCharType="end"/>
      </w:r>
      <w:r>
        <w:t>.</w:t>
      </w:r>
    </w:p>
  </w:footnote>
  <w:footnote w:id="19">
    <w:p w14:paraId="3439AD88" w14:textId="4C7234CE" w:rsidR="00431357" w:rsidRDefault="00431357" w:rsidP="00431357">
      <w:pPr>
        <w:pStyle w:val="Lbjegyzetszveg"/>
      </w:pPr>
      <w:r>
        <w:tab/>
      </w:r>
      <w:r>
        <w:rPr>
          <w:rStyle w:val="Lbjegyzet-hivatkozs"/>
        </w:rPr>
        <w:footnoteRef/>
      </w:r>
      <w:r>
        <w:tab/>
        <w:t xml:space="preserve">Following Meletis </w:t>
      </w:r>
      <w:r>
        <w:fldChar w:fldCharType="begin"/>
      </w:r>
      <w:r>
        <w:instrText xml:space="preserve"> ADDIN ZOTERO_ITEM CSL_CITATION {"citationID":"aDdNskEl","properties":{"formattedCitation":"(e.g. 2020a, 20\\uc0\\u8211{}28)","plainCitation":"(e.g. 2020a, 20–28)","noteIndex":19},"citationItems":[{"id":25329,"uris":["http://zotero.org/groups/1633743/items/F5UMNY45"],"itemData":{"id":25329,"type":"book","collection-number":"3","collection-title":"Grapholinguistics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20-28","label":"page","suppress-author":true,"prefix":"e.g."}],"schema":"https://github.com/citation-style-language/schema/raw/master/csl-citation.json"} </w:instrText>
      </w:r>
      <w:r>
        <w:fldChar w:fldCharType="separate"/>
      </w:r>
      <w:r>
        <w:rPr>
          <w:rFonts w:cs="Gentium Plus"/>
          <w:kern w:val="0"/>
          <w:szCs w:val="24"/>
        </w:rPr>
        <w:t>(e.g. 2020a, 20–28)</w:t>
      </w:r>
      <w:r>
        <w:fldChar w:fldCharType="end"/>
      </w:r>
      <w:r>
        <w:t xml:space="preserve">, who in turn builds on the work of Neef </w:t>
      </w:r>
      <w:r>
        <w:fldChar w:fldCharType="begin"/>
      </w:r>
      <w:r>
        <w:instrText xml:space="preserve"> ADDIN ZOTERO_ITEM CSL_CITATION {"citationID":"26KhjvyD","properties":{"formattedCitation":"(e.g. 2015)","plainCitation":"(e.g. 2015)","noteIndex":19},"citationItems":[{"id":25465,"uris":["http://zotero.org/groups/1633743/items/QQH4JU5N"],"itemData":{"id":25465,"type":"article-journal","container-title":"Open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abel":"page","suppress-author":true,"prefix":"e.g."}],"schema":"https://github.com/citation-style-language/schema/raw/master/csl-citation.json"} </w:instrText>
      </w:r>
      <w:r>
        <w:fldChar w:fldCharType="separate"/>
      </w:r>
      <w:r>
        <w:rPr>
          <w:rFonts w:cs="Gentium Plus"/>
        </w:rPr>
        <w:t>(e.g. 2015)</w:t>
      </w:r>
      <w:r>
        <w:fldChar w:fldCharType="end"/>
      </w:r>
      <w:r>
        <w:t>.</w:t>
      </w:r>
    </w:p>
  </w:footnote>
  <w:footnote w:id="20">
    <w:p w14:paraId="23C30064" w14:textId="77777777" w:rsidR="00431357" w:rsidRDefault="00431357" w:rsidP="00431357">
      <w:pPr>
        <w:pStyle w:val="Lbjegyzetszveg"/>
      </w:pPr>
      <w:r>
        <w:tab/>
      </w:r>
      <w:r>
        <w:rPr>
          <w:rStyle w:val="Lbjegyzet-hivatkozs"/>
        </w:rPr>
        <w:footnoteRef/>
      </w:r>
      <w:r>
        <w:tab/>
        <w:t>Note that this dichotomy is not quite the same as the anthropological distinction of “emic” and “etic” as an insider and outsider perspective; the point of connection is that “etic” refers to an objective and impartial description of characteristics, while “emic” is concerned with subjective meaning within a system.</w:t>
      </w:r>
    </w:p>
  </w:footnote>
  <w:footnote w:id="21">
    <w:p w14:paraId="0AF2C8D5" w14:textId="77777777" w:rsidR="00431357" w:rsidRDefault="00431357" w:rsidP="00431357">
      <w:pPr>
        <w:pStyle w:val="Lbjegyzetszveg"/>
      </w:pPr>
      <w:r>
        <w:tab/>
      </w:r>
      <w:r>
        <w:rPr>
          <w:rStyle w:val="Lbjegyzet-hivatkozs"/>
        </w:rPr>
        <w:footnoteRef/>
      </w:r>
      <w:r>
        <w:tab/>
        <w:t>On the few occasions where we mention phones, we represent them in the IPA phonetic alphabet. The accurate pronunciation of the IPA signs is not relevant to our discussion.</w:t>
      </w:r>
    </w:p>
  </w:footnote>
  <w:footnote w:id="22">
    <w:p w14:paraId="1F0F5851" w14:textId="77777777" w:rsidR="00431357" w:rsidRDefault="00431357" w:rsidP="00431357">
      <w:pPr>
        <w:pStyle w:val="Lbjegyzetszveg"/>
      </w:pPr>
      <w:r>
        <w:tab/>
      </w:r>
      <w:r>
        <w:rPr>
          <w:rStyle w:val="Lbjegyzet-hivatkozs"/>
        </w:rPr>
        <w:footnoteRef/>
      </w:r>
      <w:r>
        <w:tab/>
        <w:t>The term ‘phonology’ is sometimes used in this specific sense, but this leaves us without a technical term encompassing both phonetics and phonemics.</w:t>
      </w:r>
    </w:p>
  </w:footnote>
  <w:footnote w:id="23">
    <w:p w14:paraId="2ABBD319" w14:textId="77777777" w:rsidR="00431357" w:rsidRDefault="00431357" w:rsidP="00431357">
      <w:pPr>
        <w:pStyle w:val="Lbjegyzetszveg"/>
      </w:pPr>
      <w:r>
        <w:tab/>
      </w:r>
      <w:r>
        <w:rPr>
          <w:rStyle w:val="Lbjegyzet-hivatkozs"/>
        </w:rPr>
        <w:footnoteRef/>
      </w:r>
      <w:r>
        <w:tab/>
        <w:t>We use our transliteration system for the phonemes of source languages where the transliteration intuitively suggests a good approximation of the original phoneme (e.g. /a/). For other source language phonemes and for English, we use IPA (e.g. /ɔ/).</w:t>
      </w:r>
    </w:p>
  </w:footnote>
  <w:footnote w:id="24">
    <w:p w14:paraId="029E3E5A" w14:textId="77777777" w:rsidR="00431357" w:rsidRDefault="00431357" w:rsidP="00431357">
      <w:pPr>
        <w:pStyle w:val="Lbjegyzetszveg"/>
      </w:pPr>
      <w:r>
        <w:tab/>
      </w:r>
      <w:r>
        <w:rPr>
          <w:rStyle w:val="Lbjegyzet-hivatkozs"/>
        </w:rPr>
        <w:footnoteRef/>
      </w:r>
      <w:r>
        <w:tab/>
        <w:t>When the illustration of actual graphic appearance is desired, we use an approximation of the shape concerned. When discussing graphs and graphic units of Indic scripts without needing to (or being able to) illustrate their form, we use transliteration (e.g. |rddhe|, |r|).</w:t>
      </w:r>
    </w:p>
  </w:footnote>
  <w:footnote w:id="25">
    <w:p w14:paraId="0BCAB520" w14:textId="77777777" w:rsidR="00431357" w:rsidRDefault="00431357" w:rsidP="00431357">
      <w:pPr>
        <w:pStyle w:val="Lbjegyzetszveg"/>
      </w:pPr>
      <w:r>
        <w:tab/>
      </w:r>
      <w:r>
        <w:rPr>
          <w:rStyle w:val="Lbjegyzet-hivatkozs"/>
        </w:rPr>
        <w:footnoteRef/>
      </w:r>
      <w:r>
        <w:tab/>
        <w:t>We would intuitively prefer the term ‘graphemics’, but recent theorists overwhelmingly use ‘graphematics’, so we follow suit.</w:t>
      </w:r>
    </w:p>
  </w:footnote>
  <w:footnote w:id="26">
    <w:p w14:paraId="7A934977" w14:textId="6C0D20A3" w:rsidR="00431357" w:rsidRDefault="00431357" w:rsidP="00431357">
      <w:pPr>
        <w:pStyle w:val="Lbjegyzetszveg"/>
      </w:pPr>
      <w:r>
        <w:tab/>
      </w:r>
      <w:r>
        <w:rPr>
          <w:rStyle w:val="Lbjegyzet-hivatkozs"/>
        </w:rPr>
        <w:footnoteRef/>
      </w:r>
      <w:r>
        <w:tab/>
        <w:t xml:space="preserve">Since graphemes are emic concepts and not etic written signs, the symbols used for their notation are arbitrary </w:t>
      </w:r>
      <w:r>
        <w:fldChar w:fldCharType="begin"/>
      </w:r>
      <w:r>
        <w:instrText xml:space="preserve"> ADDIN ZOTERO_ITEM CSL_CITATION {"citationID":"WnjG5LWI","properties":{"formattedCitation":"(cf. Meletis 2020a, 252\\uc0\\u8211{}53, n. 9)","plainCitation":"(cf. Meletis 2020a, 252–53, n. 9)","noteIndex":26},"citationItems":[{"id":25329,"uris":["http://zotero.org/groups/1633743/items/F5UMNY45"],"itemData":{"id":25329,"type":"book","collection-number":"3","collection-title":"Grapholinguistics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Grapholinguistics","title-short":"Meletis2020_01","author":[{"family":"Meletis","given":"Dimitrios"}],"issued":{"date-parts":[["2020"]]}},"locator":"252-253","label":"page","prefix":"cf.","suffix":", n. 9"}],"schema":"https://github.com/citation-style-language/schema/raw/master/csl-citation.json"} </w:instrText>
      </w:r>
      <w:r>
        <w:fldChar w:fldCharType="separate"/>
      </w:r>
      <w:r>
        <w:rPr>
          <w:rFonts w:cs="Gentium Plus"/>
          <w:kern w:val="0"/>
          <w:szCs w:val="24"/>
        </w:rPr>
        <w:t>(cf. Meletis 2020a, 252–53, n. 9)</w:t>
      </w:r>
      <w:r>
        <w:fldChar w:fldCharType="end"/>
      </w:r>
      <w:r>
        <w:t>. In this document, we always represent the graphemes of Indic writing systems in transliterated form.</w:t>
      </w:r>
    </w:p>
  </w:footnote>
  <w:footnote w:id="27">
    <w:p w14:paraId="7F765DF1" w14:textId="01828021" w:rsidR="00431357" w:rsidRDefault="00431357" w:rsidP="00431357">
      <w:pPr>
        <w:pStyle w:val="Lbjegyzetszveg"/>
      </w:pPr>
      <w:r>
        <w:tab/>
      </w:r>
      <w:r>
        <w:rPr>
          <w:rStyle w:val="Lbjegyzet-hivatkozs"/>
        </w:rPr>
        <w:footnoteRef/>
      </w:r>
      <w:r>
        <w:tab/>
        <w:t xml:space="preserve">Generally with Coulmas </w:t>
      </w:r>
      <w:r>
        <w:fldChar w:fldCharType="begin"/>
      </w:r>
      <w:r>
        <w:instrText xml:space="preserve"> ADDIN ZOTERO_ITEM CSL_CITATION {"citationID":"EIgoSlb9","properties":{"formattedCitation":"(2006, 379\\uc0\\u8211{}80, s.v. orthography)","plainCitation":"(2006, 379–80, s.v. orthography)","noteIndex":27},"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Systems","title-short":"Coulmas2006_01","author":[{"family":"Coulmas","given":"Florian"}],"issued":{"date-parts":[["2006"]]}},"locator":"379-380","label":"page","suppress-author":true,"suffix":", s.v. orthography"}],"schema":"https://github.com/citation-style-language/schema/raw/master/csl-citation.json"} </w:instrText>
      </w:r>
      <w:r>
        <w:fldChar w:fldCharType="separate"/>
      </w:r>
      <w:r>
        <w:rPr>
          <w:rFonts w:cs="Gentium Plus"/>
          <w:kern w:val="0"/>
          <w:szCs w:val="24"/>
        </w:rPr>
        <w:t>(2006, 379–80, s.v. orthography)</w:t>
      </w:r>
      <w:r>
        <w:fldChar w:fldCharType="end"/>
      </w:r>
      <w:r>
        <w:t xml:space="preserve">, Neef </w:t>
      </w:r>
      <w:r>
        <w:fldChar w:fldCharType="begin"/>
      </w:r>
      <w:r>
        <w:instrText xml:space="preserve"> ADDIN ZOTERO_ITEM CSL_CITATION {"citationID":"sbwIlDRr","properties":{"formattedCitation":"(2015, 718)","plainCitation":"(2015, 718)","noteIndex":27},"citationItems":[{"id":25465,"uris":["http://zotero.org/groups/1633743/items/QQH4JU5N"],"itemData":{"id":25465,"type":"article-journal","container-title":"Open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718","label":"page","suppress-author":true}],"schema":"https://github.com/citation-style-language/schema/raw/master/csl-citation.json"} </w:instrText>
      </w:r>
      <w:r>
        <w:fldChar w:fldCharType="separate"/>
      </w:r>
      <w:r>
        <w:rPr>
          <w:rFonts w:cs="Gentium Plus"/>
        </w:rPr>
        <w:t>(2015, 718)</w:t>
      </w:r>
      <w:r>
        <w:fldChar w:fldCharType="end"/>
      </w:r>
      <w:r>
        <w:t xml:space="preserve"> and Meletis </w:t>
      </w:r>
      <w:r>
        <w:fldChar w:fldCharType="begin"/>
      </w:r>
      <w:r>
        <w:instrText xml:space="preserve"> ADDIN ZOTERO_ITEM CSL_CITATION {"citationID":"gRddXg22","properties":{"formattedCitation":"(2020a, 28)","plainCitation":"(2020a, 28)","noteIndex":27},"citationItems":[{"id":25329,"uris":["http://zotero.org/groups/1633743/items/F5UMNY45"],"itemData":{"id":25329,"type":"book","collection-number":"3","collection-title":"Grapholinguistics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28","label":"page","suppress-author":true}],"schema":"https://github.com/citation-style-language/schema/raw/master/csl-citation.json"} </w:instrText>
      </w:r>
      <w:r>
        <w:fldChar w:fldCharType="separate"/>
      </w:r>
      <w:r>
        <w:rPr>
          <w:rFonts w:cs="Gentium Plus"/>
        </w:rPr>
        <w:t>(2020a, 28)</w:t>
      </w:r>
      <w:r>
        <w:fldChar w:fldCharType="end"/>
      </w:r>
      <w:r>
        <w:t xml:space="preserve">. Sometimes, especially in less recent literature, ‘orthography’ is largely synonymous with ‘writing system’ as defined here. </w:t>
      </w:r>
    </w:p>
  </w:footnote>
  <w:footnote w:id="28">
    <w:p w14:paraId="7AFEE40D" w14:textId="4175E4B4" w:rsidR="00431357" w:rsidRDefault="00431357" w:rsidP="00431357">
      <w:pPr>
        <w:pStyle w:val="Lbjegyzetszveg"/>
      </w:pPr>
      <w:r>
        <w:rPr>
          <w:rStyle w:val="Lbjegyzet-hivatkozs"/>
        </w:rPr>
        <w:footnoteRef/>
      </w:r>
      <w:r>
        <w:t xml:space="preserve"> Most importantly, we — with Fedorova </w:t>
      </w:r>
      <w:r>
        <w:fldChar w:fldCharType="begin"/>
      </w:r>
      <w:r>
        <w:instrText xml:space="preserve"> ADDIN ZOTERO_ITEM CSL_CITATION {"citationID":"Vwkb27Gm","properties":{"formattedCitation":"(2013, 50)","plainCitation":"(2013, 50)","noteIndex":28},"citationItems":[{"id":25463,"uris":["http://zotero.org/groups/1633743/items/I24PTKV2"],"itemData":{"id":25463,"type":"article-journal","abstract":"Abstract\n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 xml:space="preserve"> and Weingarten </w:t>
      </w:r>
      <w:r>
        <w:fldChar w:fldCharType="begin"/>
      </w:r>
      <w:r>
        <w:instrText xml:space="preserve"> ADDIN ZOTERO_ITEM CSL_CITATION {"citationID":"hXndw01V","properties":{"formattedCitation":"(2013)","plainCitation":"(2013)","noteIndex":28},"citationItems":[{"id":26543,"uris":["http://zotero.org/groups/1633743/items/3JBU4L3M"],"itemData":{"id":26543,"type":"chapter","abstract":"The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R."},{"family":"Joyce","given":"Terry"}],"accessed":{"date-parts":[["2025",4,10]]},"issued":{"date-parts":[["2013"]]}},"suppress-author":true}],"schema":"https://github.com/citation-style-language/schema/raw/master/csl-citation.json"} </w:instrText>
      </w:r>
      <w:r>
        <w:fldChar w:fldCharType="separate"/>
      </w:r>
      <w:r>
        <w:rPr>
          <w:rFonts w:cs="Gentium Plus"/>
        </w:rPr>
        <w:t>(2013)</w:t>
      </w:r>
      <w:r>
        <w:fldChar w:fldCharType="end"/>
      </w:r>
      <w:r>
        <w:t xml:space="preserve">, contra Meletis </w:t>
      </w:r>
      <w:r>
        <w:fldChar w:fldCharType="begin"/>
      </w:r>
      <w:r>
        <w:instrText xml:space="preserve"> ADDIN ZOTERO_ITEM CSL_CITATION {"citationID":"QmbCDpCp","properties":{"formattedCitation":"(e.g. 2019, 35\\uc0\\u8211{}36)","plainCitation":"(e.g. 2019, 35–36)","noteIndex":28},"citationItems":[{"id":25400,"uris":["http://zotero.org/groups/1633743/items/SI8VKQ4J"],"itemData":{"id":25400,"type":"article-journal","abstract":"The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-36","label":"page","suppress-author":true,"prefix":"e.g."}],"schema":"https://github.com/citation-style-language/schema/raw/master/csl-citation.json"} </w:instrText>
      </w:r>
      <w:r>
        <w:fldChar w:fldCharType="separate"/>
      </w:r>
      <w:r>
        <w:rPr>
          <w:rFonts w:cs="Gentium Plus"/>
          <w:kern w:val="0"/>
          <w:szCs w:val="24"/>
        </w:rPr>
        <w:t>(e.g. 2019, 35–36)</w:t>
      </w:r>
      <w:r>
        <w:fldChar w:fldCharType="end"/>
      </w:r>
      <w:r>
        <w:t xml:space="preserve"> — do not require the grapheme to be semantically distinctive. Meletis’s stipulation of semantic distinctiveness seems to be a nod to the so-called analogical or autonomous view according to which writing is a modality of language that is interpretable in itself, without recourse to spoken language (compare note </w:t>
      </w:r>
      <w:r>
        <w:fldChar w:fldCharType="begin"/>
      </w:r>
      <w:r>
        <w:instrText xml:space="preserve"> NOTEREF _Ref198645319 \h </w:instrText>
      </w:r>
      <w:r>
        <w:fldChar w:fldCharType="separate"/>
      </w:r>
      <w:r>
        <w:t>37</w:t>
      </w:r>
      <w:r>
        <w:fldChar w:fldCharType="end"/>
      </w:r>
      <w:r>
        <w:t xml:space="preserve"> below). We find the requirement problematic to begin with, and since it is entirely irreconcilable with the synchronic and diachronic scope of our subject matter, we ignore it hereafter without further discussion.</w:t>
      </w:r>
    </w:p>
  </w:footnote>
  <w:footnote w:id="29">
    <w:p w14:paraId="1F7FD085" w14:textId="1523A160" w:rsidR="00431357" w:rsidRDefault="00431357" w:rsidP="00431357">
      <w:pPr>
        <w:pStyle w:val="Lbjegyzetszveg"/>
      </w:pPr>
      <w:r>
        <w:tab/>
      </w:r>
      <w:r>
        <w:rPr>
          <w:rStyle w:val="Lbjegyzet-hivatkozs"/>
        </w:rPr>
        <w:footnoteRef/>
      </w:r>
      <w:r>
        <w:tab/>
        <w:t xml:space="preserve">With Fedorova </w:t>
      </w:r>
      <w:r>
        <w:fldChar w:fldCharType="begin"/>
      </w:r>
      <w:r>
        <w:instrText xml:space="preserve"> ADDIN ZOTERO_ITEM CSL_CITATION {"citationID":"9Sa2TO1N","properties":{"formattedCitation":"(2013, 50)","plainCitation":"(2013, 50)","noteIndex":29},"citationItems":[{"id":25463,"uris":["http://zotero.org/groups/1633743/items/I24PTKV2"],"itemData":{"id":25463,"type":"article-journal","abstract":"Abstract\n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 xml:space="preserve"> and Meletis </w:t>
      </w:r>
      <w:r>
        <w:fldChar w:fldCharType="begin"/>
      </w:r>
      <w:r>
        <w:instrText xml:space="preserve"> ADDIN ZOTERO_ITEM CSL_CITATION {"citationID":"bThXYg8p","properties":{"formattedCitation":"(e.g. 2019, 35)","plainCitation":"(e.g. 2019, 35)","noteIndex":29},"citationItems":[{"id":25400,"uris":["http://zotero.org/groups/1633743/items/SI8VKQ4J"],"itemData":{"id":25400,"type":"article-journal","abstract":"The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label":"page","suppress-author":true,"prefix":"e.g."}],"schema":"https://github.com/citation-style-language/schema/raw/master/csl-citation.json"} </w:instrText>
      </w:r>
      <w:r>
        <w:fldChar w:fldCharType="separate"/>
      </w:r>
      <w:r>
        <w:rPr>
          <w:rFonts w:cs="Gentium Plus"/>
        </w:rPr>
        <w:t>(e.g. 2019, 35)</w:t>
      </w:r>
      <w:r>
        <w:fldChar w:fldCharType="end"/>
      </w:r>
      <w:r>
        <w:t xml:space="preserve">, contra Weingarten </w:t>
      </w:r>
      <w:r>
        <w:fldChar w:fldCharType="begin"/>
      </w:r>
      <w:r>
        <w:instrText xml:space="preserve"> ADDIN ZOTERO_ITEM CSL_CITATION {"citationID":"wvtQ6GSo","properties":{"formattedCitation":"(2013)","plainCitation":"(2013)","noteIndex":29},"citationItems":[{"id":26543,"uris":["http://zotero.org/groups/1633743/items/3JBU4L3M"],"itemData":{"id":26543,"type":"chapter","abstract":"The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R."},{"family":"Joyce","given":"Terry"}],"accessed":{"date-parts":[["2025",4,10]]},"issued":{"date-parts":[["2013"]]}},"suppress-author":true}],"schema":"https://github.com/citation-style-language/schema/raw/master/csl-citation.json"} </w:instrText>
      </w:r>
      <w:r>
        <w:fldChar w:fldCharType="separate"/>
      </w:r>
      <w:r>
        <w:rPr>
          <w:rFonts w:cs="Gentium Plus"/>
        </w:rPr>
        <w:t>(2013)</w:t>
      </w:r>
      <w:r>
        <w:fldChar w:fldCharType="end"/>
      </w:r>
      <w:r>
        <w:t>.</w:t>
      </w:r>
    </w:p>
  </w:footnote>
  <w:footnote w:id="30">
    <w:p w14:paraId="056F334B" w14:textId="566C79D0" w:rsidR="00431357" w:rsidRDefault="00431357" w:rsidP="00431357">
      <w:pPr>
        <w:pStyle w:val="Lbjegyzetszveg"/>
      </w:pPr>
      <w:r>
        <w:tab/>
      </w:r>
      <w:r>
        <w:rPr>
          <w:rStyle w:val="Lbjegyzet-hivatkozs"/>
        </w:rPr>
        <w:footnoteRef/>
      </w:r>
      <w:r>
        <w:tab/>
        <w:t xml:space="preserve">For the concept of dyadic signs in semiotics, see e.g. Nöth </w:t>
      </w:r>
      <w:r>
        <w:fldChar w:fldCharType="begin"/>
      </w:r>
      <w:r>
        <w:instrText xml:space="preserve"> ADDIN ZOTERO_ITEM CSL_CITATION {"citationID":"F7k4ZNFv","properties":{"formattedCitation":"(1990, 59\\uc0\\u8211{}60)","plainCitation":"(1990, 59–60)","noteIndex":30},"citationItems":[{"id":26535,"uris":["http://zotero.org/groups/1633743/items/VKRWGXLK"],"itemData":{"id":26535,"type":"book","abstract":"xii, 575 p. : 26 cm; Enlarged translation of: Handbuch der Semiotik; Includes indexes; Bibliography: p. [481]-550","collection-title":"Advances in Semiotics","event-place":"Bloomington","ISBN":"978-0-253-34120-4","language":"eng","number-of-pages":"602","publisher":"Indiana University Press","publisher-place":"Bloomington","title":"Handbook of semiotics","title-short":"Noth1990_01","author":[{"family":"Nöth","given":"Winfried"}],"issued":{"date-parts":[["1990"]]}},"locator":"59-60","label":"page","suppress-author":true}],"schema":"https://github.com/citation-style-language/schema/raw/master/csl-citation.json"} </w:instrText>
      </w:r>
      <w:r>
        <w:fldChar w:fldCharType="separate"/>
      </w:r>
      <w:r>
        <w:rPr>
          <w:rFonts w:cs="Gentium Plus"/>
          <w:kern w:val="0"/>
          <w:szCs w:val="24"/>
        </w:rPr>
        <w:t>(1990, 59–60)</w:t>
      </w:r>
      <w:r>
        <w:fldChar w:fldCharType="end"/>
      </w:r>
      <w:r>
        <w:t>.</w:t>
      </w:r>
    </w:p>
  </w:footnote>
  <w:footnote w:id="31">
    <w:p w14:paraId="160F87D6" w14:textId="7536980D" w:rsidR="00431357" w:rsidRDefault="00431357" w:rsidP="00431357">
      <w:pPr>
        <w:pStyle w:val="Lbjegyzetszveg"/>
      </w:pPr>
      <w:r>
        <w:tab/>
      </w:r>
      <w:r>
        <w:rPr>
          <w:rStyle w:val="Lbjegyzet-hivatkozs"/>
        </w:rPr>
        <w:footnoteRef/>
      </w:r>
      <w:r>
        <w:tab/>
        <w:t xml:space="preserve">With, among others, Fedorova </w:t>
      </w:r>
      <w:r>
        <w:fldChar w:fldCharType="begin"/>
      </w:r>
      <w:r>
        <w:instrText xml:space="preserve"> ADDIN ZOTERO_ITEM CSL_CITATION {"citationID":"JIwuq5LN","properties":{"formattedCitation":"(2013, 50)","plainCitation":"(2013, 50)","noteIndex":31},"citationItems":[{"id":25463,"uris":["http://zotero.org/groups/1633743/items/I24PTKV2"],"itemData":{"id":25463,"type":"article-journal","abstract":"Abstract\n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 xml:space="preserve">, Weingarten </w:t>
      </w:r>
      <w:r>
        <w:fldChar w:fldCharType="begin"/>
      </w:r>
      <w:r>
        <w:instrText xml:space="preserve"> ADDIN ZOTERO_ITEM CSL_CITATION {"citationID":"wz7XbD9N","properties":{"formattedCitation":"(2013, 19)","plainCitation":"(2013, 19)","noteIndex":31},"citationItems":[{"id":26543,"uris":["http://zotero.org/groups/1633743/items/3JBU4L3M"],"itemData":{"id":26543,"type":"chapter","abstract":"The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R."},{"family":"Joyce","given":"Terry"}],"accessed":{"date-parts":[["2025",4,10]]},"issued":{"date-parts":[["2013"]]}},"locator":"19","label":"page","suppress-author":true}],"schema":"https://github.com/citation-style-language/schema/raw/master/csl-citation.json"} </w:instrText>
      </w:r>
      <w:r>
        <w:fldChar w:fldCharType="separate"/>
      </w:r>
      <w:r>
        <w:rPr>
          <w:rFonts w:cs="Gentium Plus"/>
        </w:rPr>
        <w:t>(2013, 19)</w:t>
      </w:r>
      <w:r>
        <w:fldChar w:fldCharType="end"/>
      </w:r>
      <w:r>
        <w:t xml:space="preserve"> and Meletis </w:t>
      </w:r>
      <w:r>
        <w:fldChar w:fldCharType="begin"/>
      </w:r>
      <w:r>
        <w:instrText xml:space="preserve"> ADDIN ZOTERO_ITEM CSL_CITATION {"citationID":"1FKztNgb","properties":{"formattedCitation":"(e.g. 2019, 35)","plainCitation":"(e.g. 2019, 35)","noteIndex":31},"citationItems":[{"id":25400,"uris":["http://zotero.org/groups/1633743/items/SI8VKQ4J"],"itemData":{"id":25400,"type":"article-journal","abstract":"The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label":"page","suppress-author":true,"prefix":"e.g."}],"schema":"https://github.com/citation-style-language/schema/raw/master/csl-citation.json"} </w:instrText>
      </w:r>
      <w:r>
        <w:fldChar w:fldCharType="separate"/>
      </w:r>
      <w:r>
        <w:rPr>
          <w:rFonts w:cs="Gentium Plus"/>
        </w:rPr>
        <w:t>(e.g. 2019, 35)</w:t>
      </w:r>
      <w:r>
        <w:fldChar w:fldCharType="end"/>
      </w:r>
      <w:r>
        <w:t>.</w:t>
      </w:r>
    </w:p>
  </w:footnote>
  <w:footnote w:id="32">
    <w:p w14:paraId="6CDACA12" w14:textId="6AE1CE05" w:rsidR="00431357" w:rsidRDefault="00431357" w:rsidP="00431357">
      <w:pPr>
        <w:pStyle w:val="Lbjegyzetszveg"/>
      </w:pPr>
      <w:r>
        <w:tab/>
      </w:r>
      <w:r>
        <w:rPr>
          <w:rStyle w:val="Lbjegyzet-hivatkozs"/>
        </w:rPr>
        <w:footnoteRef/>
      </w:r>
      <w:r>
        <w:tab/>
        <w:t xml:space="preserve">With Meletis </w:t>
      </w:r>
      <w:r>
        <w:fldChar w:fldCharType="begin"/>
      </w:r>
      <w:r>
        <w:instrText xml:space="preserve"> ADDIN ZOTERO_ITEM CSL_CITATION {"citationID":"c8To6JJ1","properties":{"formattedCitation":"(e.g. 2019, 36; Meletis and D\\uc0\\u252{}rscheid 2022, 127)","plainCitation":"(e.g. 2019, 36; Meletis and Dürscheid 2022, 127)","noteIndex":32},"citationItems":[{"id":25400,"uris":["http://zotero.org/groups/1633743/items/SI8VKQ4J"],"itemData":{"id":25400,"type":"article-journal","abstract":"The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36","label":"page","suppress-author":true,"prefix":"e.g."},{"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127","label":"page"}],"schema":"https://github.com/citation-style-language/schema/raw/master/csl-citation.json"} </w:instrText>
      </w:r>
      <w:r>
        <w:fldChar w:fldCharType="separate"/>
      </w:r>
      <w:r>
        <w:rPr>
          <w:rFonts w:cs="Gentium Plus"/>
          <w:kern w:val="0"/>
          <w:szCs w:val="24"/>
        </w:rPr>
        <w:t>(e.g. 2019, 36; Meletis and Dürscheid 2022, 127)</w:t>
      </w:r>
      <w:r>
        <w:fldChar w:fldCharType="end"/>
      </w:r>
      <w:r>
        <w:t>.</w:t>
      </w:r>
    </w:p>
  </w:footnote>
  <w:footnote w:id="33">
    <w:p w14:paraId="2087109F" w14:textId="2B167738" w:rsidR="00431357" w:rsidRDefault="00431357" w:rsidP="00431357">
      <w:pPr>
        <w:pStyle w:val="Lbjegyzetszveg"/>
      </w:pPr>
      <w:r>
        <w:tab/>
      </w:r>
      <w:r>
        <w:rPr>
          <w:rStyle w:val="Lbjegyzet-hivatkozs"/>
        </w:rPr>
        <w:footnoteRef/>
      </w:r>
      <w:r>
        <w:tab/>
        <w:t xml:space="preserve">See Meletis </w:t>
      </w:r>
      <w:r>
        <w:fldChar w:fldCharType="begin"/>
      </w:r>
      <w:r>
        <w:instrText xml:space="preserve"> ADDIN ZOTERO_ITEM CSL_CITATION {"citationID":"Ct5OUY5d","properties":{"formattedCitation":"(2020a, 147\\uc0\\u8211{}51 and Table 5)","plainCitation":"(2020a, 147–51 and Table 5)","noteIndex":33},"citationItems":[{"id":25329,"uris":["http://zotero.org/groups/1633743/items/F5UMNY45"],"itemData":{"id":25329,"type":"book","collection-number":"3","collection-title":"Grapholinguistics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Grapholinguistics","title-short":"Meletis2020_01","author":[{"family":"Meletis","given":"Dimitrios"}],"issued":{"date-parts":[["2020"]]}},"locator":"147-151","label":"page","suppress-author":true,"suffix":"and Table 5"}],"schema":"https://github.com/citation-style-language/schema/raw/master/csl-citation.json"} </w:instrText>
      </w:r>
      <w:r>
        <w:fldChar w:fldCharType="separate"/>
      </w:r>
      <w:r>
        <w:rPr>
          <w:rFonts w:cs="Gentium Plus"/>
          <w:kern w:val="0"/>
          <w:szCs w:val="24"/>
        </w:rPr>
        <w:t>(2020a, 147–51 and Table 5)</w:t>
      </w:r>
      <w:r>
        <w:fldChar w:fldCharType="end"/>
      </w:r>
      <w:r>
        <w:t xml:space="preserve"> for a discussion of such information represented in various writing systems.</w:t>
      </w:r>
    </w:p>
  </w:footnote>
  <w:footnote w:id="34">
    <w:p w14:paraId="789575CE" w14:textId="0F2B8428" w:rsidR="00431357" w:rsidRDefault="00431357" w:rsidP="00431357">
      <w:pPr>
        <w:pStyle w:val="Lbjegyzetszveg"/>
      </w:pPr>
      <w:r>
        <w:tab/>
      </w:r>
      <w:r>
        <w:rPr>
          <w:rStyle w:val="Lbjegyzet-hivatkozs"/>
        </w:rPr>
        <w:footnoteRef/>
      </w:r>
      <w:r>
        <w:tab/>
        <w:t xml:space="preserve">With Meletis </w:t>
      </w:r>
      <w:r>
        <w:fldChar w:fldCharType="begin"/>
      </w:r>
      <w:r>
        <w:instrText xml:space="preserve"> ADDIN ZOTERO_ITEM CSL_CITATION {"citationID":"MXpKEHCc","properties":{"formattedCitation":"(2020a, 148; Meletis and D\\uc0\\u252{}rscheid 2022, 132)","plainCitation":"(2020a, 148; Meletis and Dürscheid 2022, 132)","noteIndex":34},"citationItems":[{"id":25329,"uris":["http://zotero.org/groups/1633743/items/F5UMNY45"],"itemData":{"id":25329,"type":"book","collection-number":"3","collection-title":"Grapholinguistics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148","label":"page","suppress-author":true},{"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132","label":"page"}],"schema":"https://github.com/citation-style-language/schema/raw/master/csl-citation.json"} </w:instrText>
      </w:r>
      <w:r>
        <w:fldChar w:fldCharType="separate"/>
      </w:r>
      <w:r>
        <w:rPr>
          <w:rFonts w:cs="Gentium Plus"/>
          <w:kern w:val="0"/>
          <w:szCs w:val="24"/>
        </w:rPr>
        <w:t>(2020a, 148; Meletis and Dürscheid 2022, 132)</w:t>
      </w:r>
      <w:r>
        <w:fldChar w:fldCharType="end"/>
      </w:r>
      <w:r>
        <w:t xml:space="preserve">, contra Weingarten </w:t>
      </w:r>
      <w:r>
        <w:fldChar w:fldCharType="begin"/>
      </w:r>
      <w:r>
        <w:instrText xml:space="preserve"> ADDIN ZOTERO_ITEM CSL_CITATION {"citationID":"lAOOyVKw","properties":{"formattedCitation":"(2013, 20)","plainCitation":"(2013, 20)","noteIndex":34},"citationItems":[{"id":26543,"uris":["http://zotero.org/groups/1633743/items/3JBU4L3M"],"itemData":{"id":26543,"type":"chapter","abstract":"The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R."},{"family":"Joyce","given":"Terry"}],"accessed":{"date-parts":[["2025",4,10]]},"issued":{"date-parts":[["2013"]]}},"locator":"20","label":"page","suppress-author":true}],"schema":"https://github.com/citation-style-language/schema/raw/master/csl-citation.json"} </w:instrText>
      </w:r>
      <w:r>
        <w:fldChar w:fldCharType="separate"/>
      </w:r>
      <w:r>
        <w:rPr>
          <w:rFonts w:cs="Gentium Plus"/>
        </w:rPr>
        <w:t>(2013, 20)</w:t>
      </w:r>
      <w:r>
        <w:fldChar w:fldCharType="end"/>
      </w:r>
      <w:r>
        <w:t>, whose concept of the grapheme includes all of these graphematic units.</w:t>
      </w:r>
    </w:p>
  </w:footnote>
  <w:footnote w:id="35">
    <w:p w14:paraId="18D55C12" w14:textId="77777777" w:rsidR="00431357" w:rsidRDefault="00431357" w:rsidP="00431357">
      <w:pPr>
        <w:pStyle w:val="Lbjegyzetszveg"/>
      </w:pPr>
      <w:r>
        <w:tab/>
      </w:r>
      <w:r>
        <w:rPr>
          <w:rStyle w:val="Lbjegyzet-hivatkozs"/>
        </w:rPr>
        <w:footnoteRef/>
      </w:r>
      <w:r>
        <w:tab/>
        <w:t>Graphic signs which operate at a different level of representational mapping than the dominant one (such as punctuation signs and numeral signs) — are a special case to which we return in §</w:t>
      </w:r>
      <w:r>
        <w:fldChar w:fldCharType="begin"/>
      </w:r>
      <w:r>
        <w:instrText xml:space="preserve"> REF _Ref199757158 \r \h </w:instrText>
      </w:r>
      <w:r>
        <w:fldChar w:fldCharType="separate"/>
      </w:r>
      <w:r>
        <w:t>2.5.5</w:t>
      </w:r>
      <w:r>
        <w:fldChar w:fldCharType="end"/>
      </w:r>
      <w:r>
        <w:t>. Groups of graphemes which together conventionally represent a phoneme (polygraphs) will be discussed in §</w:t>
      </w:r>
      <w:r>
        <w:fldChar w:fldCharType="begin"/>
      </w:r>
      <w:r>
        <w:instrText xml:space="preserve"> REF _Ref199770569 \r \h </w:instrText>
      </w:r>
      <w:r>
        <w:fldChar w:fldCharType="separate"/>
      </w:r>
      <w:r>
        <w:t>2.4.2</w:t>
      </w:r>
      <w:r>
        <w:fldChar w:fldCharType="end"/>
      </w:r>
      <w:r>
        <w:t>, and graph elements with a graphematic function (diacritical marks) will be discussed in §</w:t>
      </w:r>
      <w:r>
        <w:fldChar w:fldCharType="begin"/>
      </w:r>
      <w:r>
        <w:instrText xml:space="preserve"> REF _Ref199770578 \r \h </w:instrText>
      </w:r>
      <w:r>
        <w:fldChar w:fldCharType="separate"/>
      </w:r>
      <w:r>
        <w:t>2.5.1</w:t>
      </w:r>
      <w:r>
        <w:fldChar w:fldCharType="end"/>
      </w:r>
      <w:r>
        <w:t xml:space="preserve">. </w:t>
      </w:r>
    </w:p>
  </w:footnote>
  <w:footnote w:id="36">
    <w:p w14:paraId="4C39D84F" w14:textId="1AAF8C97" w:rsidR="00431357" w:rsidRDefault="00431357" w:rsidP="00431357">
      <w:pPr>
        <w:pStyle w:val="Lbjegyzetszveg"/>
      </w:pPr>
      <w:r>
        <w:tab/>
      </w:r>
      <w:r>
        <w:rPr>
          <w:rStyle w:val="Lbjegyzet-hivatkozs"/>
        </w:rPr>
        <w:footnoteRef/>
      </w:r>
      <w:r>
        <w:tab/>
        <w:t xml:space="preserve">With Meletis </w:t>
      </w:r>
      <w:r>
        <w:fldChar w:fldCharType="begin"/>
      </w:r>
      <w:r>
        <w:instrText xml:space="preserve"> ADDIN ZOTERO_ITEM CSL_CITATION {"citationID":"NWc3WC48","properties":{"formattedCitation":"(e.g. 2020a, 65; Meletis and D\\uc0\\u252{}rscheid 2022, 121)","plainCitation":"(e.g. 2020a, 65; Meletis and Dürscheid 2022, 121)","noteIndex":36},"citationItems":[{"id":25329,"uris":["http://zotero.org/groups/1633743/items/F5UMNY45"],"itemData":{"id":25329,"type":"book","collection-number":"3","collection-title":"Grapholinguistics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65","label":"page","suppress-author":true,"prefix":"e.g."},{"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121","label":"page"}],"schema":"https://github.com/citation-style-language/schema/raw/master/csl-citation.json"} </w:instrText>
      </w:r>
      <w:r>
        <w:fldChar w:fldCharType="separate"/>
      </w:r>
      <w:r>
        <w:rPr>
          <w:rFonts w:cs="Gentium Plus"/>
          <w:kern w:val="0"/>
          <w:szCs w:val="24"/>
        </w:rPr>
        <w:t>(e.g. 2020a, 65; Meletis and Dürscheid 2022, 121)</w:t>
      </w:r>
      <w:r>
        <w:fldChar w:fldCharType="end"/>
      </w:r>
      <w:r>
        <w:t>.</w:t>
      </w:r>
    </w:p>
  </w:footnote>
  <w:footnote w:id="37">
    <w:p w14:paraId="622C2A43" w14:textId="7F30E70B" w:rsidR="00431357" w:rsidRDefault="00431357" w:rsidP="00431357">
      <w:pPr>
        <w:pStyle w:val="Lbjegyzetszveg"/>
      </w:pPr>
      <w:r>
        <w:tab/>
      </w:r>
      <w:r>
        <w:rPr>
          <w:rStyle w:val="Lbjegyzet-hivatkozs"/>
        </w:rPr>
        <w:footnoteRef/>
      </w:r>
      <w:r>
        <w:tab/>
        <w:t xml:space="preserve">Strangely, Meletis balks from this conclusion while we see it as a logical extension of his thoughts about the separateness of grapheme-phoneme correspondence rules. He considers it crucial for graphemes to be direct (if often imprecise) representations of actual phonemes. This seems to be a nod to the referential or heteronomous view of writing, which considers written language to be entirely secondary to and dependent on spoken language (compare note </w:t>
      </w:r>
      <w:r>
        <w:fldChar w:fldCharType="begin"/>
      </w:r>
      <w:r>
        <w:instrText xml:space="preserve"> NOTEREF _Ref198645199 \h </w:instrText>
      </w:r>
      <w:r>
        <w:fldChar w:fldCharType="separate"/>
      </w:r>
      <w:r>
        <w:t>28</w:t>
      </w:r>
      <w:r>
        <w:fldChar w:fldCharType="end"/>
      </w:r>
      <w:r>
        <w:t xml:space="preserve"> above). His insistence entails complicated (and, frankly, absurd) consequences which we prefer to avoid, such as that in the German writing system, &lt;c&gt; is not a grapheme while &lt;ch&gt; is one, though &lt;sch&gt; is not </w:t>
      </w:r>
      <w:r>
        <w:fldChar w:fldCharType="begin"/>
      </w:r>
      <w:r>
        <w:instrText xml:space="preserve"> ADDIN ZOTERO_ITEM CSL_CITATION {"citationID":"pZKWPjGP","properties":{"formattedCitation":"(Meletis 2019, 36\\uc0\\u8211{}38)","plainCitation":"(Meletis 2019, 36–38)","noteIndex":37},"citationItems":[{"id":25400,"uris":["http://zotero.org/groups/1633743/items/SI8VKQ4J"],"itemData":{"id":25400,"type":"article-journal","abstract":"The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writing","title-short":"Meletis2019_01","volume":"11","author":[{"family":"Meletis","given":"Dimitrios"}],"issued":{"date-parts":[["2019"]]}},"locator":"36-38","label":"page"}],"schema":"https://github.com/citation-style-language/schema/raw/master/csl-citation.json"} </w:instrText>
      </w:r>
      <w:r>
        <w:fldChar w:fldCharType="separate"/>
      </w:r>
      <w:r>
        <w:rPr>
          <w:rFonts w:cs="Gentium Plus"/>
          <w:kern w:val="0"/>
          <w:szCs w:val="24"/>
        </w:rPr>
        <w:t>(Meletis 2019, 36–38)</w:t>
      </w:r>
      <w:r>
        <w:fldChar w:fldCharType="end"/>
      </w:r>
      <w:r>
        <w:t xml:space="preserve">. </w:t>
      </w:r>
    </w:p>
  </w:footnote>
  <w:footnote w:id="38">
    <w:p w14:paraId="535E24D4" w14:textId="2A59D0E0" w:rsidR="00431357" w:rsidRDefault="00431357" w:rsidP="00431357">
      <w:pPr>
        <w:pStyle w:val="Lbjegyzetszveg"/>
      </w:pPr>
      <w:r>
        <w:tab/>
      </w:r>
      <w:r>
        <w:rPr>
          <w:rStyle w:val="Lbjegyzet-hivatkozs"/>
        </w:rPr>
        <w:footnoteRef/>
      </w:r>
      <w:r>
        <w:tab/>
        <w:t xml:space="preserve">With Meletis </w:t>
      </w:r>
      <w:r>
        <w:fldChar w:fldCharType="begin"/>
      </w:r>
      <w:r>
        <w:instrText xml:space="preserve"> ADDIN ZOTERO_ITEM CSL_CITATION {"citationID":"uKV9loZM","properties":{"formattedCitation":"(e.g. 2019, 41)","plainCitation":"(e.g. 2019, 41)","noteIndex":38},"citationItems":[{"id":25400,"uris":["http://zotero.org/groups/1633743/items/SI8VKQ4J"],"itemData":{"id":25400,"type":"article-journal","abstract":"The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41","label":"page","suppress-author":true,"prefix":"e.g."}],"schema":"https://github.com/citation-style-language/schema/raw/master/csl-citation.json"} </w:instrText>
      </w:r>
      <w:r>
        <w:fldChar w:fldCharType="separate"/>
      </w:r>
      <w:r>
        <w:rPr>
          <w:rFonts w:cs="Gentium Plus"/>
        </w:rPr>
        <w:t>(e.g. 2019, 41)</w:t>
      </w:r>
      <w:r>
        <w:fldChar w:fldCharType="end"/>
      </w:r>
      <w:r>
        <w:t xml:space="preserve"> and Weingarten </w:t>
      </w:r>
      <w:r>
        <w:fldChar w:fldCharType="begin"/>
      </w:r>
      <w:r>
        <w:instrText xml:space="preserve"> ADDIN ZOTERO_ITEM CSL_CITATION {"citationID":"iPHDJIT2","properties":{"formattedCitation":"(2013, 18)","plainCitation":"(2013, 18)","noteIndex":38},"citationItems":[{"id":26543,"uris":["http://zotero.org/groups/1633743/items/3JBU4L3M"],"itemData":{"id":26543,"type":"chapter","abstract":"The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R."},{"family":"Joyce","given":"Terry"}],"accessed":{"date-parts":[["2025",4,10]]},"issued":{"date-parts":[["2013"]]}},"locator":"18","label":"page","suppress-author":true}],"schema":"https://github.com/citation-style-language/schema/raw/master/csl-citation.json"} </w:instrText>
      </w:r>
      <w:r>
        <w:fldChar w:fldCharType="separate"/>
      </w:r>
      <w:r>
        <w:rPr>
          <w:rFonts w:cs="Gentium Plus"/>
        </w:rPr>
        <w:t>(2013, 18)</w:t>
      </w:r>
      <w:r>
        <w:fldChar w:fldCharType="end"/>
      </w:r>
      <w:r>
        <w:t xml:space="preserve">, contra Fedorova </w:t>
      </w:r>
      <w:r>
        <w:fldChar w:fldCharType="begin"/>
      </w:r>
      <w:r>
        <w:instrText xml:space="preserve"> ADDIN ZOTERO_ITEM CSL_CITATION {"citationID":"domM0Bxc","properties":{"formattedCitation":"(2013, 50)","plainCitation":"(2013, 50)","noteIndex":38},"citationItems":[{"id":25463,"uris":["http://zotero.org/groups/1633743/items/I24PTKV2"],"itemData":{"id":25463,"type":"article-journal","abstract":"Abstract\n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w:t>
      </w:r>
    </w:p>
  </w:footnote>
  <w:footnote w:id="39">
    <w:p w14:paraId="5DB7C6B6" w14:textId="77777777" w:rsidR="00431357" w:rsidRDefault="00431357" w:rsidP="00431357">
      <w:pPr>
        <w:pStyle w:val="Lbjegyzetszveg"/>
      </w:pPr>
      <w:r>
        <w:tab/>
      </w:r>
      <w:r>
        <w:rPr>
          <w:rStyle w:val="Lbjegyzet-hivatkozs"/>
        </w:rPr>
        <w:footnoteRef/>
      </w:r>
      <w:r>
        <w:tab/>
        <w:t xml:space="preserve">Incidentally, denying grapheme status to these components would obscure the pivotal difference between aksharic writing systems and syllabic ones, as reflected in the term </w:t>
      </w:r>
      <w:r>
        <w:rPr>
          <w:i/>
          <w:iCs/>
        </w:rPr>
        <w:t>alphasyllabary</w:t>
      </w:r>
      <w:r>
        <w:t>, which we consider inappropriate.</w:t>
      </w:r>
    </w:p>
  </w:footnote>
  <w:footnote w:id="40">
    <w:p w14:paraId="6E4F0AF5" w14:textId="264B0388" w:rsidR="00431357" w:rsidRDefault="00431357" w:rsidP="00431357">
      <w:pPr>
        <w:pStyle w:val="Lbjegyzetszveg"/>
      </w:pPr>
      <w:r>
        <w:tab/>
      </w:r>
      <w:r>
        <w:rPr>
          <w:rStyle w:val="Lbjegyzet-hivatkozs"/>
        </w:rPr>
        <w:footnoteRef/>
      </w:r>
      <w:r>
        <w:tab/>
        <w:t xml:space="preserve">With Weingarten </w:t>
      </w:r>
      <w:r>
        <w:fldChar w:fldCharType="begin"/>
      </w:r>
      <w:r>
        <w:instrText xml:space="preserve"> ADDIN ZOTERO_ITEM CSL_CITATION {"citationID":"FQ67dL0S","properties":{"formattedCitation":"(2013, 20)","plainCitation":"(2013, 20)","noteIndex":40},"citationItems":[{"id":26543,"uris":["http://zotero.org/groups/1633743/items/3JBU4L3M"],"itemData":{"id":26543,"type":"chapter","abstract":"The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R."},{"family":"Joyce","given":"Terry"}],"accessed":{"date-parts":[["2025",4,10]]},"issued":{"date-parts":[["2013"]]}},"locator":"20","label":"page","suppress-author":true}],"schema":"https://github.com/citation-style-language/schema/raw/master/csl-citation.json"} </w:instrText>
      </w:r>
      <w:r>
        <w:fldChar w:fldCharType="separate"/>
      </w:r>
      <w:r>
        <w:rPr>
          <w:rFonts w:cs="Gentium Plus"/>
        </w:rPr>
        <w:t>(2013, 20)</w:t>
      </w:r>
      <w:r>
        <w:fldChar w:fldCharType="end"/>
      </w:r>
      <w:r>
        <w:t xml:space="preserve">, contra Meletis </w:t>
      </w:r>
      <w:r>
        <w:fldChar w:fldCharType="begin"/>
      </w:r>
      <w:r>
        <w:instrText xml:space="preserve"> ADDIN ZOTERO_ITEM CSL_CITATION {"citationID":"9RrrGrZu","properties":{"formattedCitation":"(e.g. 2019, 35)","plainCitation":"(e.g. 2019, 35)","noteIndex":40},"citationItems":[{"id":25400,"uris":["http://zotero.org/groups/1633743/items/SI8VKQ4J"],"itemData":{"id":25400,"type":"article-journal","abstract":"The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label":"page","suppress-author":true,"prefix":"e.g."}],"schema":"https://github.com/citation-style-language/schema/raw/master/csl-citation.json"} </w:instrText>
      </w:r>
      <w:r>
        <w:fldChar w:fldCharType="separate"/>
      </w:r>
      <w:r>
        <w:rPr>
          <w:rFonts w:cs="Gentium Plus"/>
        </w:rPr>
        <w:t>(e.g. 2019, 35)</w:t>
      </w:r>
      <w:r>
        <w:fldChar w:fldCharType="end"/>
      </w:r>
      <w:r>
        <w:t>.</w:t>
      </w:r>
    </w:p>
  </w:footnote>
  <w:footnote w:id="41">
    <w:p w14:paraId="696446D9" w14:textId="388484D9" w:rsidR="00431357" w:rsidRDefault="00431357" w:rsidP="00431357">
      <w:pPr>
        <w:pStyle w:val="Lbjegyzetszveg"/>
      </w:pPr>
      <w:r>
        <w:tab/>
      </w:r>
      <w:r>
        <w:rPr>
          <w:rStyle w:val="Lbjegyzet-hivatkozs"/>
        </w:rPr>
        <w:footnoteRef/>
      </w:r>
      <w:r>
        <w:tab/>
        <w:t xml:space="preserve">Largely in agreement with Meletis </w:t>
      </w:r>
      <w:r>
        <w:fldChar w:fldCharType="begin"/>
      </w:r>
      <w:r>
        <w:instrText xml:space="preserve"> ADDIN ZOTERO_ITEM CSL_CITATION {"citationID":"cX4fmPRq","properties":{"formattedCitation":"(2019, 41, 45\\uc0\\u8211{}46 n. 32)","plainCitation":"(2019, 41, 45–46 n. 32)","noteIndex":41},"citationItems":[{"id":25400,"uris":["http://zotero.org/groups/1633743/items/SI8VKQ4J"],"itemData":{"id":25400,"type":"article-journal","abstract":"The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writing","title-short":"Meletis2019_01","volume":"11","author":[{"family":"Meletis","given":"Dimitrios"}],"issued":{"date-parts":[["2019"]]}},"locator":"41, 45-46","label":"page","suppress-author":true,"suffix":"n. 32"}],"schema":"https://github.com/citation-style-language/schema/raw/master/csl-citation.json"} </w:instrText>
      </w:r>
      <w:r>
        <w:fldChar w:fldCharType="separate"/>
      </w:r>
      <w:r>
        <w:rPr>
          <w:rFonts w:cs="Gentium Plus"/>
          <w:kern w:val="0"/>
          <w:szCs w:val="24"/>
        </w:rPr>
        <w:t>(2019, 41, 45–46 n. 32)</w:t>
      </w:r>
      <w:r>
        <w:fldChar w:fldCharType="end"/>
      </w:r>
      <w:r>
        <w:t>, who recognises such “graphetically non-segmentable clusters” as a challenge, but, in spite of his blanket requirement of visual isolability (ibid</w:t>
      </w:r>
      <w:r>
        <w:rPr>
          <w:i/>
          <w:iCs/>
        </w:rPr>
        <w:t>.</w:t>
      </w:r>
      <w:r>
        <w:t xml:space="preserve">, 35), his last word on them is that they correspond to sequences of individual graphemes in the same way as the more transparent complex </w:t>
      </w:r>
      <w:r>
        <w:rPr>
          <w:rStyle w:val="Foreign"/>
        </w:rPr>
        <w:t>akṣaras</w:t>
      </w:r>
      <w:r>
        <w:t>.</w:t>
      </w:r>
    </w:p>
  </w:footnote>
  <w:footnote w:id="42">
    <w:p w14:paraId="46FED7C3" w14:textId="77777777" w:rsidR="00431357" w:rsidRDefault="00431357" w:rsidP="00431357">
      <w:pPr>
        <w:pStyle w:val="Lbjegyzetszveg"/>
      </w:pPr>
      <w:r>
        <w:tab/>
      </w:r>
      <w:r>
        <w:rPr>
          <w:rStyle w:val="Lbjegyzet-hivatkozs"/>
        </w:rPr>
        <w:footnoteRef/>
      </w:r>
      <w:r>
        <w:tab/>
        <w:t>We deem this to be the key difference between aksharic systems and abjads. A consonantal grapheme in an abjad can normally signify either the consonant alone or the consonant and an unspecified vowel, so whether a vowel is present can only be determined by referring to other modules of the language system. In a typical aksharic system, the writing alone is sufficient for determining whether the default vowel is present or not. (Note that the grapheme corresponding to the inherent vowel is of course present even when — in particular contexts in particular languages — the inherent vowel is not pronounced, or pronounced differently than in other contexts. That is a matter of grapheme to phoneme mapping, not essentially different from cases such as the grapheme &lt;e&gt; of English, which may be silent or may be pronounced in various ways.)</w:t>
      </w:r>
    </w:p>
  </w:footnote>
  <w:footnote w:id="43">
    <w:p w14:paraId="39A82104" w14:textId="3855DD55" w:rsidR="00431357" w:rsidRDefault="00431357" w:rsidP="00431357">
      <w:pPr>
        <w:pStyle w:val="Lbjegyzetszveg"/>
      </w:pPr>
      <w:r>
        <w:tab/>
      </w:r>
      <w:r>
        <w:rPr>
          <w:rStyle w:val="Lbjegyzet-hivatkozs"/>
        </w:rPr>
        <w:footnoteRef/>
      </w:r>
      <w:r>
        <w:tab/>
        <w:t xml:space="preserve">Meletis </w:t>
      </w:r>
      <w:r>
        <w:fldChar w:fldCharType="begin"/>
      </w:r>
      <w:r>
        <w:instrText xml:space="preserve"> ADDIN ZOTERO_ITEM CSL_CITATION {"citationID":"LnRx6zXG","properties":{"formattedCitation":"(e.g. 2020a, 100)","plainCitation":"(e.g. 2020a, 100)","noteIndex":43},"citationItems":[{"id":25329,"uris":["http://zotero.org/groups/1633743/items/F5UMNY45"],"itemData":{"id":25329,"type":"book","collection-number":"3","collection-title":"Grapholinguistics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100","label":"page","suppress-author":true,"prefix":"e.g."}],"schema":"https://github.com/citation-style-language/schema/raw/master/csl-citation.json"} </w:instrText>
      </w:r>
      <w:r>
        <w:fldChar w:fldCharType="separate"/>
      </w:r>
      <w:r>
        <w:rPr>
          <w:rFonts w:cs="Gentium Plus"/>
        </w:rPr>
        <w:t>(e.g. 2020a, 100)</w:t>
      </w:r>
      <w:r>
        <w:fldChar w:fldCharType="end"/>
      </w:r>
      <w:r>
        <w:t xml:space="preserve"> explicitly denies grapheme status to the inherent vowel of aksharic systems, even though it seems to us to be a logical extension of his approach to graphetically non-segmentable grapheme clusters (q.v. note </w:t>
      </w:r>
      <w:r>
        <w:fldChar w:fldCharType="begin"/>
      </w:r>
      <w:r>
        <w:instrText xml:space="preserve"> NOTEREF _Ref198651090 \h </w:instrText>
      </w:r>
      <w:r>
        <w:fldChar w:fldCharType="separate"/>
      </w:r>
      <w:r>
        <w:t>41</w:t>
      </w:r>
      <w:r>
        <w:fldChar w:fldCharType="end"/>
      </w:r>
      <w:r>
        <w:t xml:space="preserve"> above). Moreover, Meletis and Dürscheid’s </w:t>
      </w:r>
      <w:r>
        <w:fldChar w:fldCharType="begin"/>
      </w:r>
      <w:r>
        <w:instrText xml:space="preserve"> ADDIN ZOTERO_ITEM CSL_CITATION {"citationID":"Mt0geQgl","properties":{"formattedCitation":"(2022, 235\\uc0\\u8211{}36)","plainCitation":"(2022, 235–36)","noteIndex":43},"citationItems":[{"id":25331,"uris":["http://zotero.org/groups/1633743/items/2FRSBS2M"],"itemData":{"id":25331,"type":"book","abstract":"Grapholinguistics,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235-236","label":"page","suppress-author":true}],"schema":"https://github.com/citation-style-language/schema/raw/master/csl-citation.json"} </w:instrText>
      </w:r>
      <w:r>
        <w:fldChar w:fldCharType="separate"/>
      </w:r>
      <w:r>
        <w:rPr>
          <w:rFonts w:cs="Gentium Plus"/>
          <w:kern w:val="0"/>
          <w:szCs w:val="24"/>
        </w:rPr>
        <w:t>(2022, 235–36)</w:t>
      </w:r>
      <w:r>
        <w:fldChar w:fldCharType="end"/>
      </w:r>
      <w:r>
        <w:t xml:space="preserve"> discussion of the Cree writing system explicitly awards grapheme status to all vowels of this system, which are represented through the orientation of consonant signs, without any graphic addition whatsoever.</w:t>
      </w:r>
    </w:p>
  </w:footnote>
  <w:footnote w:id="44">
    <w:p w14:paraId="020773BE" w14:textId="39DCFD98" w:rsidR="00431357" w:rsidRDefault="00431357" w:rsidP="00431357">
      <w:pPr>
        <w:pStyle w:val="Lbjegyzetszveg"/>
      </w:pPr>
      <w:r>
        <w:tab/>
      </w:r>
      <w:r>
        <w:rPr>
          <w:rStyle w:val="Lbjegyzet-hivatkozs"/>
        </w:rPr>
        <w:footnoteRef/>
      </w:r>
      <w:r>
        <w:tab/>
        <w:t xml:space="preserve">Ollett and Taylor </w:t>
      </w:r>
      <w:r>
        <w:fldChar w:fldCharType="begin"/>
      </w:r>
      <w:r>
        <w:instrText xml:space="preserve"> ADDIN ZOTERO_ITEM CSL_CITATION {"citationID":"fqLezisj","properties":{"formattedCitation":"(forthcoming)","plainCitation":"(forthcoming)","noteIndex":44},"citationItems":[{"id":26745,"uris":["http://zotero.org/groups/1633743/items/95PFNJ4Q"],"itemData":{"id":26745,"type":"document","title":"Representing Kannada text","author":[{"family":"Ollett","given":"Andrew"},{"family":"Taylor","given":"Sarah Pierce"}],"issued":{"literal":"forthcoming"}},"suppress-author":true}],"schema":"https://github.com/citation-style-language/schema/raw/master/csl-citation.json"} </w:instrText>
      </w:r>
      <w:r>
        <w:fldChar w:fldCharType="separate"/>
      </w:r>
      <w:r>
        <w:rPr>
          <w:rFonts w:cs="Gentium Plus"/>
        </w:rPr>
        <w:t>(forthcoming)</w:t>
      </w:r>
      <w:r>
        <w:fldChar w:fldCharType="end"/>
      </w:r>
      <w:r>
        <w:t xml:space="preserve"> do define a character in the same way as we do: as “an element of the writing system that can be used independently according to the logic of that writing system”.</w:t>
      </w:r>
    </w:p>
  </w:footnote>
  <w:footnote w:id="45">
    <w:p w14:paraId="72EFF8F7" w14:textId="069AE5C5" w:rsidR="00431357" w:rsidRDefault="00431357" w:rsidP="00431357">
      <w:pPr>
        <w:pStyle w:val="Lbjegyzetszveg"/>
      </w:pPr>
      <w:r>
        <w:tab/>
      </w:r>
      <w:r>
        <w:rPr>
          <w:rStyle w:val="Lbjegyzet-hivatkozs"/>
        </w:rPr>
        <w:footnoteRef/>
      </w:r>
      <w:r>
        <w:tab/>
        <w:t xml:space="preserve">In Unicode, a character is an abstract element of the script defined as a “member of a set of elements used for the organization, control, or representation of textual data” </w:t>
      </w:r>
      <w:r>
        <w:fldChar w:fldCharType="begin"/>
      </w:r>
      <w:r>
        <w:instrText xml:space="preserve"> ADDIN ZOTERO_ITEM CSL_CITATION {"citationID":"QfbZRzTZ","properties":{"formattedCitation":"(ISO/IEC 10646 2020, 2, \\uc0\\u167{}3.5)","plainCitation":"(ISO/IEC 10646 2020, 2, §3.5)","noteIndex":45},"citationItems":[{"id":25451,"uris":["http://zotero.org/groups/1633743/items/KZ5TRBQ3"],"itemData":{"id":25451,"type":"book","edition":"6","event-place":"Geneva","publisher":"ISO","publisher-place":"Geneva","title":"International Standard ISO/IEC 10646.  Information technology — Universal Coded Character Set (UCS)","title-short":"ISO2020_01","URL":"https://standards.iso.org/ittf/PubliclyAvailableStandards/c076835_ISO_IEC_10646_2020(E).zip","author":[{"literal":"ISO/IEC 10646"}],"issued":{"date-parts":[["2020"]]}},"locator":"2","label":"page","suffix":", §3.5"}],"schema":"https://github.com/citation-style-language/schema/raw/master/csl-citation.json"} </w:instrText>
      </w:r>
      <w:r>
        <w:fldChar w:fldCharType="separate"/>
      </w:r>
      <w:r>
        <w:rPr>
          <w:rFonts w:cs="Gentium Plus"/>
          <w:kern w:val="0"/>
          <w:szCs w:val="24"/>
        </w:rPr>
        <w:t>(ISO/IEC 10646 2020, 2, §3.5)</w:t>
      </w:r>
      <w:r>
        <w:fldChar w:fldCharType="end"/>
      </w:r>
      <w:r>
        <w:t>. That is to say, a Unicode character can be either a “graphic character” (which is much like the grapheme as we define it; ibid. 5, §3.28), a “control character”, or a “format character”; both of the latter influence the processing and rendition of adjacent characters. Accordingly, many specimens of what we call a character are composed of several Unicode characters. The Devanagari character (actually, glyph, q.v. below) |</w:t>
      </w:r>
      <w:r>
        <w:rPr>
          <w:rStyle w:val="ForeignDevanagariScript"/>
          <w:rFonts w:hint="cs"/>
          <w:cs/>
        </w:rPr>
        <w:t>क्त्र</w:t>
      </w:r>
      <w:r>
        <w:t xml:space="preserve">| &lt;ktra&gt; is composed of six: one each for the graphemes &lt;k&gt;, &lt;t&gt;, &lt;r&gt; and &lt;a&gt;, plus two instances of the Unicode </w:t>
      </w:r>
      <w:r>
        <w:rPr>
          <w:rStyle w:val="Foreign"/>
        </w:rPr>
        <w:t>virāma</w:t>
      </w:r>
      <w:r>
        <w:t xml:space="preserve"> control character (one each after the first two consonants).</w:t>
      </w:r>
    </w:p>
  </w:footnote>
  <w:footnote w:id="46">
    <w:p w14:paraId="7B2F1DBB" w14:textId="79E5E032" w:rsidR="00431357" w:rsidRDefault="00431357" w:rsidP="00431357">
      <w:pPr>
        <w:pStyle w:val="Lbjegyzetszveg"/>
      </w:pPr>
      <w:r>
        <w:tab/>
      </w:r>
      <w:r>
        <w:rPr>
          <w:rStyle w:val="Lbjegyzet-hivatkozs"/>
        </w:rPr>
        <w:footnoteRef/>
      </w:r>
      <w:r>
        <w:tab/>
        <w:t xml:space="preserve">Neither Coulmas </w:t>
      </w:r>
      <w:r>
        <w:fldChar w:fldCharType="begin"/>
      </w:r>
      <w:r>
        <w:instrText xml:space="preserve"> ADDIN ZOTERO_ITEM CSL_CITATION {"citationID":"TYfrZ25E","properties":{"formattedCitation":"(2003)","plainCitation":"(2003)","noteIndex":46},"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Analysis","title-short":"Coulmas2003_01","author":[{"family":"Coulmas","given":"Florian"}],"issued":{"date-parts":[["2003"]]}},"label":"page","suppress-author":true}],"schema":"https://github.com/citation-style-language/schema/raw/master/csl-citation.json"} </w:instrText>
      </w:r>
      <w:r>
        <w:fldChar w:fldCharType="separate"/>
      </w:r>
      <w:r>
        <w:rPr>
          <w:rFonts w:cs="Gentium Plus"/>
        </w:rPr>
        <w:t>(2003)</w:t>
      </w:r>
      <w:r>
        <w:fldChar w:fldCharType="end"/>
      </w:r>
      <w:r>
        <w:t xml:space="preserve">, nor Meletis and Dürscheid </w:t>
      </w:r>
      <w:r>
        <w:fldChar w:fldCharType="begin"/>
      </w:r>
      <w:r>
        <w:instrText xml:space="preserve"> ADDIN ZOTERO_ITEM CSL_CITATION {"citationID":"bMCDz8Sw","properties":{"formattedCitation":"(2022)","plainCitation":"(2022)","noteIndex":46},"citationItems":[{"id":25331,"uris":["http://zotero.org/groups/1633743/items/2FRSBS2M"],"itemData":{"id":25331,"type":"book","abstract":"Grapholinguistics,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abel":"page","suppress-author":true}],"schema":"https://github.com/citation-style-language/schema/raw/master/csl-citation.json"} </w:instrText>
      </w:r>
      <w:r>
        <w:fldChar w:fldCharType="separate"/>
      </w:r>
      <w:r>
        <w:rPr>
          <w:rFonts w:cs="Gentium Plus"/>
        </w:rPr>
        <w:t>(2022)</w:t>
      </w:r>
      <w:r>
        <w:fldChar w:fldCharType="end"/>
      </w:r>
      <w:r>
        <w:t xml:space="preserve"> define ‘character’ or employ it in a technical sense. Wellisch </w:t>
      </w:r>
      <w:r>
        <w:fldChar w:fldCharType="begin"/>
      </w:r>
      <w:r>
        <w:instrText xml:space="preserve"> ADDIN ZOTERO_ITEM CSL_CITATION {"citationID":"e7k6IpAJ","properties":{"formattedCitation":"(1978, 16)","plainCitation":"(1978, 16)","noteIndex":46},"citationItems":[{"id":1550,"uris":["http://zotero.org/users/2534519/items/WS2NPWQZ"],"itemData":{"id":1550,"type":"book","abstract":"\"A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H."}],"issued":{"date-parts":[["1978"]]}},"locator":"16","label":"page","suppress-author":true}],"schema":"https://github.com/citation-style-language/schema/raw/master/csl-citation.json"} </w:instrText>
      </w:r>
      <w:r>
        <w:fldChar w:fldCharType="separate"/>
      </w:r>
      <w:r>
        <w:rPr>
          <w:rFonts w:cs="Gentium Plus"/>
        </w:rPr>
        <w:t>(1978, 16)</w:t>
      </w:r>
      <w:r>
        <w:fldChar w:fldCharType="end"/>
      </w:r>
      <w:r>
        <w:t xml:space="preserve"> defines it in a way vaguely resembling our definition of the grapheme. Neef’s </w:t>
      </w:r>
      <w:r>
        <w:fldChar w:fldCharType="begin"/>
      </w:r>
      <w:r>
        <w:instrText xml:space="preserve"> ADDIN ZOTERO_ITEM CSL_CITATION {"citationID":"PiPC92lD","properties":{"formattedCitation":"(2015, 711)","plainCitation":"(2015, 711)","noteIndex":46},"citationItems":[{"id":25465,"uris":["http://zotero.org/groups/1633743/items/QQH4JU5N"],"itemData":{"id":25465,"type":"article-journal","container-title":"Open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711","label":"page","suppress-author":true}],"schema":"https://github.com/citation-style-language/schema/raw/master/csl-citation.json"} </w:instrText>
      </w:r>
      <w:r>
        <w:fldChar w:fldCharType="separate"/>
      </w:r>
      <w:r>
        <w:rPr>
          <w:rFonts w:cs="Gentium Plus"/>
        </w:rPr>
        <w:t>(2015, 711)</w:t>
      </w:r>
      <w:r>
        <w:fldChar w:fldCharType="end"/>
      </w:r>
      <w:r>
        <w:t xml:space="preserve"> treatment of the character seems to encompass both our grapheme (a term Neef avoids) and our character. Iyengar </w:t>
      </w:r>
      <w:r>
        <w:fldChar w:fldCharType="begin"/>
      </w:r>
      <w:r>
        <w:instrText xml:space="preserve"> ADDIN ZOTERO_ITEM CSL_CITATION {"citationID":"0dxIHKM3","properties":{"formattedCitation":"(2024)","plainCitation":"(2024)","noteIndex":46},"citationItems":[{"id":26845,"uris":["http://zotero.org/groups/1633743/items/TFDXQGCY"],"itemData":{"id":26845,"type":"paper-conference","abstract":"&lt;p&gt;The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Unit","URL":"https://hdl.handle.net/1959.11/63505","author":[{"family":"Iyengar","given":"Arvind"}],"issued":{"date-parts":[["2024"]]}},"suppress-author":true}],"schema":"https://github.com/citation-style-language/schema/raw/master/csl-citation.json"} </w:instrText>
      </w:r>
      <w:r>
        <w:fldChar w:fldCharType="separate"/>
      </w:r>
      <w:r>
        <w:rPr>
          <w:rFonts w:cs="Gentium Plus"/>
        </w:rPr>
        <w:t>(2024)</w:t>
      </w:r>
      <w:r>
        <w:fldChar w:fldCharType="end"/>
      </w:r>
      <w:r>
        <w:t xml:space="preserve">, while rejecting the notion of the grapheme, argues at length that Indic </w:t>
      </w:r>
      <w:r>
        <w:rPr>
          <w:rStyle w:val="Foreign"/>
        </w:rPr>
        <w:t>akṣaras</w:t>
      </w:r>
      <w:r>
        <w:t xml:space="preserve"> are segments determined on a graphetic, and not phonological, basis. This is wholly compatible with our approach, in which ‘character’ is a graphetically determined segment in any writing system, while </w:t>
      </w:r>
      <w:r>
        <w:rPr>
          <w:rStyle w:val="Foreign"/>
        </w:rPr>
        <w:t>akṣara</w:t>
      </w:r>
      <w:r>
        <w:t xml:space="preserve"> is the specific term for a character of an aksharic system.</w:t>
      </w:r>
    </w:p>
  </w:footnote>
  <w:footnote w:id="47">
    <w:p w14:paraId="59948565" w14:textId="77777777" w:rsidR="00431357" w:rsidRDefault="00431357" w:rsidP="00431357">
      <w:pPr>
        <w:pStyle w:val="Lbjegyzetszveg"/>
      </w:pPr>
      <w:r>
        <w:tab/>
      </w:r>
      <w:r>
        <w:rPr>
          <w:rStyle w:val="Lbjegyzet-hivatkozs"/>
        </w:rPr>
        <w:footnoteRef/>
      </w:r>
      <w:r>
        <w:tab/>
        <w:t>The typographic ligatures of Roman writing systems (e.g. |</w:t>
      </w:r>
      <w:r>
        <w:rPr>
          <w:rFonts w:ascii="Cardo" w:hAnsi="Cardo"/>
        </w:rPr>
        <w:t>ﬁ</w:t>
      </w:r>
      <w:r>
        <w:t>| and |</w:t>
      </w:r>
      <w:r>
        <w:rPr>
          <w:rFonts w:ascii="Cardo" w:hAnsi="Cardo"/>
        </w:rPr>
        <w:t>ﬃ</w:t>
      </w:r>
      <w:r>
        <w:t xml:space="preserve">|) are in our opinion better understood as character sequences which manifest in a particular form (see also note </w:t>
      </w:r>
      <w:r>
        <w:fldChar w:fldCharType="begin"/>
      </w:r>
      <w:r>
        <w:instrText xml:space="preserve"> NOTEREF _Ref199772349 \h </w:instrText>
      </w:r>
      <w:r>
        <w:fldChar w:fldCharType="separate"/>
      </w:r>
      <w:r>
        <w:t>72</w:t>
      </w:r>
      <w:r>
        <w:fldChar w:fldCharType="end"/>
      </w:r>
      <w:r>
        <w:t>), but the boundary between character sequences and complex characters is not always clear (§</w:t>
      </w:r>
      <w:r>
        <w:fldChar w:fldCharType="begin"/>
      </w:r>
      <w:r>
        <w:instrText xml:space="preserve"> REF _Ref199772437 \r \h </w:instrText>
      </w:r>
      <w:r>
        <w:fldChar w:fldCharType="separate"/>
      </w:r>
      <w:r>
        <w:t>2.5.6</w:t>
      </w:r>
      <w:r>
        <w:fldChar w:fldCharType="end"/>
      </w:r>
      <w:r>
        <w:t>).</w:t>
      </w:r>
    </w:p>
  </w:footnote>
  <w:footnote w:id="48">
    <w:p w14:paraId="31CE5446" w14:textId="77777777" w:rsidR="00431357" w:rsidRDefault="00431357" w:rsidP="00431357">
      <w:pPr>
        <w:pStyle w:val="Lbjegyzetszveg"/>
      </w:pPr>
      <w:r>
        <w:tab/>
      </w:r>
      <w:r>
        <w:rPr>
          <w:rStyle w:val="Lbjegyzet-hivatkozs"/>
        </w:rPr>
        <w:footnoteRef/>
      </w:r>
      <w:r>
        <w:tab/>
        <w:t>In true syllabic systems, graphemes and characters again coincide. Our notion of the character seems difficult to reconcile with cursive abjadic systems such as Arabic, but it could be applied productively to non-cursive abjads such as Hebrew, to typologically problematic writing systems such as Korean Hangul and Mayan hieroglyphics, and probably also to morphographic systems.</w:t>
      </w:r>
    </w:p>
  </w:footnote>
  <w:footnote w:id="49">
    <w:p w14:paraId="5383E070" w14:textId="6B0CA817" w:rsidR="00431357" w:rsidRDefault="00431357" w:rsidP="00431357">
      <w:pPr>
        <w:pStyle w:val="Lbjegyzetszveg"/>
      </w:pPr>
      <w:r>
        <w:tab/>
      </w:r>
      <w:r>
        <w:rPr>
          <w:rStyle w:val="Lbjegyzet-hivatkozs"/>
        </w:rPr>
        <w:footnoteRef/>
      </w:r>
      <w:r>
        <w:tab/>
        <w:t xml:space="preserve">The Unicode definition of a ‘graphic symbol’ as the “visual representation of a graphic character or of a composite sequence” </w:t>
      </w:r>
      <w:r>
        <w:fldChar w:fldCharType="begin"/>
      </w:r>
      <w:r>
        <w:instrText xml:space="preserve"> ADDIN ZOTERO_ITEM CSL_CITATION {"citationID":"a9VFqbKW","properties":{"formattedCitation":"(ISO/IEC 10646 2020, 5, \\uc0\\u167{}3.29)","plainCitation":"(ISO/IEC 10646 2020, 5, §3.29)","noteIndex":49},"citationItems":[{"id":25451,"uris":["http://zotero.org/groups/1633743/items/KZ5TRBQ3"],"itemData":{"id":25451,"type":"book","edition":"6","event-place":"Geneva","publisher":"ISO","publisher-place":"Geneva","title":"International Standard ISO/IEC 10646.  Information technology — Universal Coded Character Set (UCS)","title-short":"ISO2020_01","URL":"https://standards.iso.org/ittf/PubliclyAvailableStandards/c076835_ISO_IEC_10646_2020(E).zip","author":[{"literal":"ISO/IEC 10646"}],"issued":{"date-parts":[["2020"]]}},"locator":"5","label":"page","suffix":", §3.29"}],"schema":"https://github.com/citation-style-language/schema/raw/master/csl-citation.json"} </w:instrText>
      </w:r>
      <w:r>
        <w:fldChar w:fldCharType="separate"/>
      </w:r>
      <w:r>
        <w:rPr>
          <w:rFonts w:cs="Gentium Plus"/>
          <w:kern w:val="0"/>
          <w:szCs w:val="24"/>
        </w:rPr>
        <w:t>(ISO/IEC 10646 2020, 5, §3.29)</w:t>
      </w:r>
      <w:r>
        <w:fldChar w:fldCharType="end"/>
      </w:r>
      <w:r>
        <w:t xml:space="preserve"> appears to be identical to our ‘graphic sign’.</w:t>
      </w:r>
    </w:p>
  </w:footnote>
  <w:footnote w:id="50">
    <w:p w14:paraId="05460ED2" w14:textId="1E02B126" w:rsidR="00431357" w:rsidRDefault="00431357" w:rsidP="00431357">
      <w:pPr>
        <w:pStyle w:val="Lbjegyzetszveg"/>
      </w:pPr>
      <w:r>
        <w:tab/>
      </w:r>
      <w:r>
        <w:rPr>
          <w:rStyle w:val="Lbjegyzet-hivatkozs"/>
        </w:rPr>
        <w:footnoteRef/>
      </w:r>
      <w:r>
        <w:tab/>
        <w:t xml:space="preserve">Iyengar </w:t>
      </w:r>
      <w:r>
        <w:fldChar w:fldCharType="begin"/>
      </w:r>
      <w:r>
        <w:instrText xml:space="preserve"> ADDIN ZOTERO_ITEM CSL_CITATION {"citationID":"Ih6LDRzL","properties":{"formattedCitation":"(2024, 420)","plainCitation":"(2024, 420)","noteIndex":50},"citationItems":[{"id":26845,"uris":["http://zotero.org/groups/1633743/items/TFDXQGCY"],"itemData":{"id":26845,"type":"paper-conference","abstract":"&lt;p&gt;The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locator":"420","label":"page","suppress-author":true}],"schema":"https://github.com/citation-style-language/schema/raw/master/csl-citation.json"} </w:instrText>
      </w:r>
      <w:r>
        <w:fldChar w:fldCharType="separate"/>
      </w:r>
      <w:r>
        <w:rPr>
          <w:rFonts w:cs="Gentium Plus"/>
        </w:rPr>
        <w:t>(2024, 420)</w:t>
      </w:r>
      <w:r>
        <w:fldChar w:fldCharType="end"/>
      </w:r>
      <w:r>
        <w:t xml:space="preserve"> defines a graph as “the written counterpart to a phonological segment,” which is in effect identical to our more elaborate definition, the difference being only that he rejects the concept of the grapheme (which we find nonetheless compatible with his graphetically focused discussion) and does not use the term ‘glyph’ (referring only to the </w:t>
      </w:r>
      <w:r>
        <w:rPr>
          <w:rStyle w:val="Foreign"/>
        </w:rPr>
        <w:t>akṣara</w:t>
      </w:r>
      <w:r>
        <w:t xml:space="preserve"> instead, since he is concerned only with aksharic systems). According to Meletis </w:t>
      </w:r>
      <w:r>
        <w:fldChar w:fldCharType="begin"/>
      </w:r>
      <w:r>
        <w:instrText xml:space="preserve"> ADDIN ZOTERO_ITEM CSL_CITATION {"citationID":"T9pzJJQv","properties":{"formattedCitation":"(2020a, 46, n. 57)","plainCitation":"(2020a, 46, n. 57)","noteIndex":50},"citationItems":[{"id":25329,"uris":["http://zotero.org/groups/1633743/items/F5UMNY45"],"itemData":{"id":25329,"type":"book","collection-number":"3","collection-title":"Grapholinguistics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Grapholinguistics","title-short":"Meletis2020_01","author":[{"family":"Meletis","given":"Dimitrios"}],"issued":{"date-parts":[["2020"]]}},"locator":"46","label":"page","suppress-author":true,"suffix":", n. 57"}],"schema":"https://github.com/citation-style-language/schema/raw/master/csl-citation.json"} </w:instrText>
      </w:r>
      <w:r>
        <w:fldChar w:fldCharType="separate"/>
      </w:r>
      <w:r>
        <w:rPr>
          <w:rFonts w:cs="Gentium Plus"/>
        </w:rPr>
        <w:t>(2020a, 46, n. 57)</w:t>
      </w:r>
      <w:r>
        <w:fldChar w:fldCharType="end"/>
      </w:r>
      <w:r>
        <w:t xml:space="preserve">, ‘graph’ and ‘glyph’ can be considered synonyms. Neef </w:t>
      </w:r>
      <w:r>
        <w:fldChar w:fldCharType="begin"/>
      </w:r>
      <w:r>
        <w:instrText xml:space="preserve"> ADDIN ZOTERO_ITEM CSL_CITATION {"citationID":"JSlW1ZiM","properties":{"formattedCitation":"(2015, 711)","plainCitation":"(2015, 711)","noteIndex":50},"citationItems":[{"id":25465,"uris":["http://zotero.org/groups/1633743/items/QQH4JU5N"],"itemData":{"id":25465,"type":"article-journal","container-title":"Open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711","label":"page","suppress-author":true}],"schema":"https://github.com/citation-style-language/schema/raw/master/csl-citation.json"} </w:instrText>
      </w:r>
      <w:r>
        <w:fldChar w:fldCharType="separate"/>
      </w:r>
      <w:r>
        <w:rPr>
          <w:rFonts w:cs="Gentium Plus"/>
        </w:rPr>
        <w:t>(2015, 711)</w:t>
      </w:r>
      <w:r>
        <w:fldChar w:fldCharType="end"/>
      </w:r>
      <w:r>
        <w:t xml:space="preserve"> uses ‘glyph’ in a sense that seems to cover both our graph and our glyph, and does not use the former term, while Coulmas </w:t>
      </w:r>
      <w:r>
        <w:fldChar w:fldCharType="begin"/>
      </w:r>
      <w:r>
        <w:instrText xml:space="preserve"> ADDIN ZOTERO_ITEM CSL_CITATION {"citationID":"Ta6aPIp7","properties":{"formattedCitation":"(2006, 173\\uc0\\u8211{}74, s.v.)","plainCitation":"(2006, 173–74, s.v.)","noteIndex":50},"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Systems","title-short":"Coulmas2006_01","author":[{"family":"Coulmas","given":"Florian"}],"issued":{"date-parts":[["2006"]]}},"locator":"173-174","label":"page","suppress-author":true,"suffix":", s.v."}],"schema":"https://github.com/citation-style-language/schema/raw/master/csl-citation.json"} </w:instrText>
      </w:r>
      <w:r>
        <w:fldChar w:fldCharType="separate"/>
      </w:r>
      <w:r>
        <w:rPr>
          <w:rFonts w:cs="Gentium Plus"/>
          <w:kern w:val="0"/>
          <w:szCs w:val="24"/>
        </w:rPr>
        <w:t>(2006, 173–74, s.v.)</w:t>
      </w:r>
      <w:r>
        <w:fldChar w:fldCharType="end"/>
      </w:r>
      <w:r>
        <w:t xml:space="preserve"> defines a graph much as we define a glyph, and all he has to say about ‘glyph’ </w:t>
      </w:r>
      <w:r>
        <w:fldChar w:fldCharType="begin"/>
      </w:r>
      <w:r>
        <w:instrText xml:space="preserve"> ADDIN ZOTERO_ITEM CSL_CITATION {"citationID":"uRPAJSxg","properties":{"formattedCitation":"(2006, 168, s.v.)","plainCitation":"(2006, 168, s.v.)","noteIndex":50},"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Systems","title-short":"Coulmas2006_01","author":[{"family":"Coulmas","given":"Florian"}],"issued":{"date-parts":[["2006"]]}},"locator":"168","label":"page","suppress-author":true,"suffix":", s.v."}],"schema":"https://github.com/citation-style-language/schema/raw/master/csl-citation.json"} </w:instrText>
      </w:r>
      <w:r>
        <w:fldChar w:fldCharType="separate"/>
      </w:r>
      <w:r>
        <w:rPr>
          <w:rFonts w:cs="Gentium Plus"/>
        </w:rPr>
        <w:t>(2006, 168, s.v.)</w:t>
      </w:r>
      <w:r>
        <w:fldChar w:fldCharType="end"/>
      </w:r>
      <w:r>
        <w:t xml:space="preserve"> is that the term has been “used in the description of writing systems whose units were not well understood”, such as Mayan, where it is a “collective designation that can refer to a logogram, a phonetic sign or a compound sign”.</w:t>
      </w:r>
    </w:p>
  </w:footnote>
  <w:footnote w:id="51">
    <w:p w14:paraId="6BB33181" w14:textId="426A9ECE" w:rsidR="00431357" w:rsidRDefault="00431357" w:rsidP="00431357">
      <w:pPr>
        <w:pStyle w:val="Lbjegyzetszveg"/>
      </w:pPr>
      <w:r>
        <w:tab/>
      </w:r>
      <w:r>
        <w:rPr>
          <w:rStyle w:val="Lbjegyzet-hivatkozs"/>
        </w:rPr>
        <w:footnoteRef/>
      </w:r>
      <w:r>
        <w:tab/>
        <w:t xml:space="preserve">Coulmas </w:t>
      </w:r>
      <w:r>
        <w:fldChar w:fldCharType="begin"/>
      </w:r>
      <w:r>
        <w:instrText xml:space="preserve"> ADDIN ZOTERO_ITEM CSL_CITATION {"citationID":"0vLGNdvr","properties":{"formattedCitation":"(2006, 129, s.v. digraph 1)","plainCitation":"(2006, 129, s.v. digraph 1)","noteIndex":51},"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Systems","title-short":"Coulmas2006_01","author":[{"family":"Coulmas","given":"Florian"}],"issued":{"date-parts":[["2006"]]}},"locator":"129","label":"page","suppress-author":true,"suffix":", s.v. digraph 1"}],"schema":"https://github.com/citation-style-language/schema/raw/master/csl-citation.json"} </w:instrText>
      </w:r>
      <w:r>
        <w:fldChar w:fldCharType="separate"/>
      </w:r>
      <w:r>
        <w:rPr>
          <w:rFonts w:cs="Gentium Plus"/>
        </w:rPr>
        <w:t>(2006, 129, s.v. digraph 1)</w:t>
      </w:r>
      <w:r>
        <w:fldChar w:fldCharType="end"/>
      </w:r>
      <w:r>
        <w:t xml:space="preserve"> asserts that polygraphs are graphemes in their own right. Meletis and Dürscheid (2022, 128–29) classify certain polygraphs as “complex graphemes” (cf. note </w:t>
      </w:r>
      <w:r>
        <w:fldChar w:fldCharType="begin"/>
      </w:r>
      <w:r>
        <w:instrText xml:space="preserve"> NOTEREF _Ref198645319 \h </w:instrText>
      </w:r>
      <w:r>
        <w:fldChar w:fldCharType="separate"/>
      </w:r>
      <w:r>
        <w:t>37</w:t>
      </w:r>
      <w:r>
        <w:fldChar w:fldCharType="end"/>
      </w:r>
      <w:r>
        <w:t>), but deny grapheme status to most. By our definitions, a polygraph always involves more than one individual grapheme, which may or may not manifest as separate characters.</w:t>
      </w:r>
    </w:p>
  </w:footnote>
  <w:footnote w:id="52">
    <w:p w14:paraId="547F09F0" w14:textId="77777777" w:rsidR="00431357" w:rsidRDefault="00431357" w:rsidP="00431357">
      <w:pPr>
        <w:pStyle w:val="Lbjegyzetszveg"/>
      </w:pPr>
      <w:r>
        <w:tab/>
      </w:r>
      <w:r>
        <w:rPr>
          <w:rStyle w:val="Lbjegyzet-hivatkozs"/>
        </w:rPr>
        <w:footnoteRef/>
      </w:r>
      <w:r>
        <w:tab/>
        <w:t>Examples can, however, be found even in the Indic system, such as the use of the combination &lt;ys&gt; in some North Indian scripts of the first millennium CE to represent the phoneme /z/, which does not occur in Sanskrit; the use of |</w:t>
      </w:r>
      <w:r>
        <w:rPr>
          <w:rStyle w:val="ForeignDevanagariScript"/>
          <w:rFonts w:hint="cs"/>
          <w:cs/>
        </w:rPr>
        <w:t>ळ्ह</w:t>
      </w:r>
      <w:r>
        <w:t>| for [ḷh], a Vedic allophone of /ḍh/; or, arguably, the simultaneous use of the dependent vowels &lt;ui&gt; in Khmer, Burmese and Mon to represent a vowel phoneme alien to Sanskrit.</w:t>
      </w:r>
    </w:p>
  </w:footnote>
  <w:footnote w:id="53">
    <w:p w14:paraId="28AD2191" w14:textId="77777777" w:rsidR="00431357" w:rsidRDefault="00431357" w:rsidP="00431357">
      <w:pPr>
        <w:pStyle w:val="Lbjegyzetszveg"/>
      </w:pPr>
      <w:r>
        <w:tab/>
      </w:r>
      <w:r>
        <w:rPr>
          <w:rStyle w:val="Lbjegyzet-hivatkozs"/>
        </w:rPr>
        <w:footnoteRef/>
      </w:r>
      <w:r>
        <w:tab/>
        <w:t xml:space="preserve">If the </w:t>
      </w:r>
      <w:r>
        <w:rPr>
          <w:rStyle w:val="Foreign"/>
        </w:rPr>
        <w:t>anusvāra</w:t>
      </w:r>
      <w:r>
        <w:t xml:space="preserve"> and </w:t>
      </w:r>
      <w:r>
        <w:rPr>
          <w:rStyle w:val="Foreign"/>
        </w:rPr>
        <w:t>visarga</w:t>
      </w:r>
      <w:r>
        <w:t xml:space="preserve"> are perceived as dependent (§</w:t>
      </w:r>
      <w:r>
        <w:fldChar w:fldCharType="begin"/>
      </w:r>
      <w:r>
        <w:instrText xml:space="preserve"> REF _Ref199838036 \r \h </w:instrText>
      </w:r>
      <w:r>
        <w:fldChar w:fldCharType="separate"/>
      </w:r>
      <w:r>
        <w:t>2.5.6</w:t>
      </w:r>
      <w:r>
        <w:fldChar w:fldCharType="end"/>
      </w:r>
      <w:r>
        <w:t>), then complex glyphs also include combinations such as |</w:t>
      </w:r>
      <w:r>
        <w:rPr>
          <w:rStyle w:val="ForeignDevanagariScript"/>
          <w:rFonts w:hint="cs"/>
          <w:cs/>
        </w:rPr>
        <w:t>तं</w:t>
      </w:r>
      <w:r>
        <w:t>| and |</w:t>
      </w:r>
      <w:r>
        <w:rPr>
          <w:rStyle w:val="ForeignDevanagariScript"/>
          <w:rFonts w:hint="cs"/>
          <w:cs/>
        </w:rPr>
        <w:t>अः</w:t>
      </w:r>
      <w:r>
        <w:t>|.</w:t>
      </w:r>
    </w:p>
  </w:footnote>
  <w:footnote w:id="54">
    <w:p w14:paraId="14ED884D" w14:textId="77777777" w:rsidR="00431357" w:rsidRDefault="00431357" w:rsidP="00431357">
      <w:pPr>
        <w:pStyle w:val="Lbjegyzetszveg"/>
      </w:pPr>
      <w:r>
        <w:tab/>
      </w:r>
      <w:r>
        <w:rPr>
          <w:rStyle w:val="Lbjegyzet-hivatkozs"/>
        </w:rPr>
        <w:footnoteRef/>
      </w:r>
      <w:r>
        <w:tab/>
        <w:t xml:space="preserve">Keep in mind that in the context of Roman typography, ‘ligature’ has a different meaning (q.v. note </w:t>
      </w:r>
      <w:r>
        <w:fldChar w:fldCharType="begin"/>
      </w:r>
      <w:r>
        <w:instrText xml:space="preserve"> NOTEREF _Ref199837795 \h </w:instrText>
      </w:r>
      <w:r>
        <w:fldChar w:fldCharType="separate"/>
      </w:r>
      <w:r>
        <w:t>47</w:t>
      </w:r>
      <w:r>
        <w:fldChar w:fldCharType="end"/>
      </w:r>
      <w:r>
        <w:t>).</w:t>
      </w:r>
    </w:p>
  </w:footnote>
  <w:footnote w:id="55">
    <w:p w14:paraId="7792B687" w14:textId="77777777" w:rsidR="00431357" w:rsidRDefault="00431357" w:rsidP="00431357">
      <w:pPr>
        <w:pStyle w:val="Lbjegyzetszveg"/>
      </w:pPr>
      <w:r>
        <w:tab/>
      </w:r>
      <w:r>
        <w:rPr>
          <w:rStyle w:val="Lbjegyzet-hivatkozs"/>
        </w:rPr>
        <w:footnoteRef/>
      </w:r>
      <w:r>
        <w:tab/>
        <w:t xml:space="preserve">The concept of ‘glyph component’ is thus not applicable to glyphs such as </w:t>
      </w:r>
      <w:r>
        <w:rPr>
          <w:lang w:bidi="sa-IN"/>
        </w:rPr>
        <w:t>|</w:t>
      </w:r>
      <w:r>
        <w:rPr>
          <w:rStyle w:val="ForeignDevanagariScript"/>
          <w:rFonts w:hint="eastAsia"/>
          <w:cs/>
        </w:rPr>
        <w:t>क्ष</w:t>
      </w:r>
      <w:r>
        <w:t>|, where no discernible components correspond to the graphemes constituting the character.</w:t>
      </w:r>
    </w:p>
  </w:footnote>
  <w:footnote w:id="56">
    <w:p w14:paraId="527160F6" w14:textId="776074F9" w:rsidR="00431357" w:rsidRDefault="00431357" w:rsidP="00431357">
      <w:pPr>
        <w:pStyle w:val="Lbjegyzetszveg"/>
      </w:pPr>
      <w:r>
        <w:tab/>
      </w:r>
      <w:r>
        <w:rPr>
          <w:rStyle w:val="Lbjegyzet-hivatkozs"/>
        </w:rPr>
        <w:footnoteRef/>
      </w:r>
      <w:r>
        <w:tab/>
        <w:t xml:space="preserve">Meletis </w:t>
      </w:r>
      <w:r>
        <w:fldChar w:fldCharType="begin"/>
      </w:r>
      <w:r>
        <w:instrText xml:space="preserve"> ADDIN ZOTERO_ITEM CSL_CITATION {"citationID":"tjBMdSlc","properties":{"formattedCitation":"(2020a, 100)","plainCitation":"(2020a, 100)","noteIndex":56},"citationItems":[{"id":25329,"uris":["http://zotero.org/groups/1633743/items/F5UMNY45"],"itemData":{"id":25329,"type":"book","collection-number":"3","collection-title":"Grapholinguistics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100","label":"page","suppress-author":true}],"schema":"https://github.com/citation-style-language/schema/raw/master/csl-citation.json"} </w:instrText>
      </w:r>
      <w:r>
        <w:fldChar w:fldCharType="separate"/>
      </w:r>
      <w:r>
        <w:rPr>
          <w:rFonts w:cs="Gentium Plus"/>
        </w:rPr>
        <w:t>(2020a, 100)</w:t>
      </w:r>
      <w:r>
        <w:fldChar w:fldCharType="end"/>
      </w:r>
      <w:r>
        <w:t xml:space="preserve"> simply describes the corresponding graphemes as graphetically subsegmental and dependent or bound, while Weingarten </w:t>
      </w:r>
      <w:r>
        <w:fldChar w:fldCharType="begin"/>
      </w:r>
      <w:r>
        <w:instrText xml:space="preserve"> ADDIN ZOTERO_ITEM CSL_CITATION {"citationID":"C4S8a7di","properties":{"formattedCitation":"(2013, 18)","plainCitation":"(2013, 18)","noteIndex":56},"citationItems":[{"id":26543,"uris":["http://zotero.org/groups/1633743/items/3JBU4L3M"],"itemData":{"id":26543,"type":"chapter","abstract":"The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R."},{"family":"Joyce","given":"Terry"}],"accessed":{"date-parts":[["2025",4,10]]},"issued":{"date-parts":[["2013"]]}},"locator":"18","label":"page","suppress-author":true}],"schema":"https://github.com/citation-style-language/schema/raw/master/csl-citation.json"} </w:instrText>
      </w:r>
      <w:r>
        <w:fldChar w:fldCharType="separate"/>
      </w:r>
      <w:r>
        <w:rPr>
          <w:rFonts w:cs="Gentium Plus"/>
        </w:rPr>
        <w:t>(2013, 18)</w:t>
      </w:r>
      <w:r>
        <w:fldChar w:fldCharType="end"/>
      </w:r>
      <w:r>
        <w:t xml:space="preserve"> calls them affigated graphemes.</w:t>
      </w:r>
    </w:p>
  </w:footnote>
  <w:footnote w:id="57">
    <w:p w14:paraId="62A1AA63" w14:textId="77777777" w:rsidR="00431357" w:rsidRDefault="00431357" w:rsidP="00431357">
      <w:pPr>
        <w:pStyle w:val="Lbjegyzetszveg"/>
      </w:pPr>
      <w:r>
        <w:tab/>
      </w:r>
      <w:r>
        <w:rPr>
          <w:rStyle w:val="Lbjegyzet-hivatkozs"/>
        </w:rPr>
        <w:footnoteRef/>
      </w:r>
      <w:r>
        <w:tab/>
        <w:t>See also §</w:t>
      </w:r>
      <w:r>
        <w:fldChar w:fldCharType="begin"/>
      </w:r>
      <w:r>
        <w:instrText xml:space="preserve"> REF _Ref199774907 \r \h </w:instrText>
      </w:r>
      <w:r>
        <w:fldChar w:fldCharType="separate"/>
      </w:r>
      <w:r>
        <w:t>2.5.6</w:t>
      </w:r>
      <w:r>
        <w:fldChar w:fldCharType="end"/>
      </w:r>
      <w:r>
        <w:t xml:space="preserve"> about the </w:t>
      </w:r>
      <w:r>
        <w:rPr>
          <w:rStyle w:val="Foreign"/>
        </w:rPr>
        <w:t>anusvāra</w:t>
      </w:r>
      <w:r>
        <w:t xml:space="preserve"> and </w:t>
      </w:r>
      <w:r>
        <w:rPr>
          <w:rStyle w:val="Foreign"/>
        </w:rPr>
        <w:t>visarga</w:t>
      </w:r>
      <w:r>
        <w:t>.</w:t>
      </w:r>
    </w:p>
  </w:footnote>
  <w:footnote w:id="58">
    <w:p w14:paraId="6F127CD1" w14:textId="1E35260E" w:rsidR="00431357" w:rsidRDefault="00431357" w:rsidP="00431357">
      <w:pPr>
        <w:pStyle w:val="Lbjegyzetszveg"/>
      </w:pPr>
      <w:r>
        <w:tab/>
      </w:r>
      <w:r>
        <w:rPr>
          <w:rStyle w:val="Lbjegyzet-hivatkozs"/>
        </w:rPr>
        <w:footnoteRef/>
      </w:r>
      <w:r>
        <w:tab/>
        <w:t xml:space="preserve">We emphatically disagree with Meletis </w:t>
      </w:r>
      <w:r>
        <w:fldChar w:fldCharType="begin"/>
      </w:r>
      <w:r>
        <w:instrText xml:space="preserve"> ADDIN ZOTERO_ITEM CSL_CITATION {"citationID":"vEMMb5pN","properties":{"formattedCitation":"(e.g. 2020a, 101)","plainCitation":"(e.g. 2020a, 101)","noteIndex":58},"citationItems":[{"id":25329,"uris":["http://zotero.org/groups/1633743/items/F5UMNY45"],"itemData":{"id":25329,"type":"book","collection-number":"3","collection-title":"Grapholinguistics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101","label":"page","suppress-author":true,"prefix":"e.g."}],"schema":"https://github.com/citation-style-language/schema/raw/master/csl-citation.json"} </w:instrText>
      </w:r>
      <w:r>
        <w:fldChar w:fldCharType="separate"/>
      </w:r>
      <w:r>
        <w:rPr>
          <w:rFonts w:cs="Gentium Plus"/>
        </w:rPr>
        <w:t>(e.g. 2020a, 101)</w:t>
      </w:r>
      <w:r>
        <w:fldChar w:fldCharType="end"/>
      </w:r>
      <w:r>
        <w:t>, in whose view Tamil |</w:t>
      </w:r>
      <w:r>
        <w:rPr>
          <w:rStyle w:val="ForeignTamilScript"/>
          <w:rFonts w:hint="cs"/>
          <w:cs/>
        </w:rPr>
        <w:t>ொ</w:t>
      </w:r>
      <w:r>
        <w:t>| &lt;o&gt; corresponds to two separate graphemes. His reasoning is that the graphs |</w:t>
      </w:r>
      <w:r>
        <w:rPr>
          <w:rStyle w:val="ForeignTamilScript"/>
          <w:cs/>
        </w:rPr>
        <w:t>ெ</w:t>
      </w:r>
      <w:r>
        <w:t>| &lt;e&gt; and |</w:t>
      </w:r>
      <w:r>
        <w:rPr>
          <w:rStyle w:val="ForeignTamilScript"/>
          <w:cs/>
        </w:rPr>
        <w:t>ா</w:t>
      </w:r>
      <w:r>
        <w:rPr>
          <w:rFonts w:cs="Latha"/>
          <w:lang w:bidi="ta-IN"/>
        </w:rPr>
        <w:t xml:space="preserve">| &lt;ā&gt; can occur separately on their own, hence they correspond to separate graphemes, hence their combination is not minimal, and the association of </w:t>
      </w:r>
      <w:r>
        <w:t>|</w:t>
      </w:r>
      <w:r>
        <w:rPr>
          <w:rStyle w:val="ForeignTamilScript"/>
          <w:rFonts w:hint="cs"/>
          <w:cs/>
        </w:rPr>
        <w:t>ொ</w:t>
      </w:r>
      <w:r>
        <w:t>| with the phoneme /o/ is a matter of higher-level grapheme-phoneme correspondence</w:t>
      </w:r>
      <w:r>
        <w:rPr>
          <w:rFonts w:cs="Latha"/>
          <w:lang w:bidi="ta-IN"/>
        </w:rPr>
        <w:t xml:space="preserve">. We assert that it is simply </w:t>
      </w:r>
      <w:r>
        <w:t>the strokes comprising Tamil |</w:t>
      </w:r>
      <w:r>
        <w:rPr>
          <w:rStyle w:val="ForeignTamilScript"/>
          <w:rFonts w:hint="cs"/>
          <w:cs/>
        </w:rPr>
        <w:t>ொ</w:t>
      </w:r>
      <w:r>
        <w:t>| that happen to look identical (be homographic) to those comprising the graphs |</w:t>
      </w:r>
      <w:r>
        <w:rPr>
          <w:rStyle w:val="ForeignTamilScript"/>
          <w:rFonts w:hint="cs"/>
          <w:cs/>
        </w:rPr>
        <w:t>ெ</w:t>
      </w:r>
      <w:r>
        <w:t>| and |</w:t>
      </w:r>
      <w:r>
        <w:rPr>
          <w:rStyle w:val="ForeignTamilScript"/>
          <w:cs/>
        </w:rPr>
        <w:t>ா</w:t>
      </w:r>
      <w:r>
        <w:rPr>
          <w:rFonts w:cs="Latha"/>
          <w:lang w:bidi="ta-IN"/>
        </w:rPr>
        <w:t xml:space="preserve">| &lt;ā&gt;, and this is just as irrelevant to the grapheme status of Tamil &lt;o&gt; as the fact that Latin |d| or |Y| look like combinations of |o| and |l| or |V| and |I|. </w:t>
      </w:r>
    </w:p>
  </w:footnote>
  <w:footnote w:id="59">
    <w:p w14:paraId="334B4A7F" w14:textId="77777777" w:rsidR="00431357" w:rsidRDefault="00431357" w:rsidP="00431357">
      <w:pPr>
        <w:pStyle w:val="Lbjegyzetszveg"/>
      </w:pPr>
      <w:r>
        <w:tab/>
      </w:r>
      <w:r>
        <w:rPr>
          <w:rStyle w:val="Lbjegyzet-hivatkozs"/>
        </w:rPr>
        <w:footnoteRef/>
      </w:r>
      <w:r>
        <w:tab/>
        <w:t>For instance, the diaeresis (Umlaut) distinguishes |ö| from |o| in the Roman writing system for German, the macron distinguishes |ū| from |u| in the DHARMA transliteration system, and the nuqta (dot) distinguishes |</w:t>
      </w:r>
      <w:r>
        <w:rPr>
          <w:rStyle w:val="ForeignDevanagariScript"/>
          <w:cs/>
        </w:rPr>
        <w:t>ड़</w:t>
      </w:r>
      <w:r>
        <w:t>| from |</w:t>
      </w:r>
      <w:r>
        <w:rPr>
          <w:rStyle w:val="ForeignDevanagariScript"/>
          <w:cs/>
        </w:rPr>
        <w:t>ड</w:t>
      </w:r>
      <w:r>
        <w:t>| in Devanagari for Hindi. However, for our purposes, these elements are in the same class as the horizontal stroke that distinguishes Brāhmī |</w:t>
      </w:r>
      <w:r>
        <w:rPr>
          <w:rStyle w:val="ForeignBrahmiScript"/>
        </w:rPr>
        <w:t>𑀓</w:t>
      </w:r>
      <w:r>
        <w:t>| &lt;ka&gt; from |</w:t>
      </w:r>
      <w:r>
        <w:rPr>
          <w:rStyle w:val="ForeignBrahmiScript"/>
        </w:rPr>
        <w:t>𑀭</w:t>
      </w:r>
      <w:r>
        <w:t xml:space="preserve">| &lt;ra&gt;. </w:t>
      </w:r>
    </w:p>
  </w:footnote>
  <w:footnote w:id="60">
    <w:p w14:paraId="6A75CB9E" w14:textId="77777777" w:rsidR="00431357" w:rsidRDefault="00431357" w:rsidP="00431357">
      <w:pPr>
        <w:pStyle w:val="Lbjegyzetszveg"/>
      </w:pPr>
      <w:r>
        <w:tab/>
      </w:r>
      <w:r>
        <w:rPr>
          <w:rStyle w:val="Lbjegyzet-hivatkozs"/>
        </w:rPr>
        <w:footnoteRef/>
      </w:r>
      <w:r>
        <w:tab/>
        <w:t>Thus, Devanagari |</w:t>
      </w:r>
      <w:r>
        <w:rPr>
          <w:rStyle w:val="ForeignDevanagariScript"/>
          <w:cs/>
        </w:rPr>
        <w:t>ड</w:t>
      </w:r>
      <w:r>
        <w:t xml:space="preserve">| is transliterated </w:t>
      </w:r>
      <w:r>
        <w:rPr>
          <w:rStyle w:val="Foreign"/>
        </w:rPr>
        <w:t>ḍa</w:t>
      </w:r>
      <w:r>
        <w:t>, while |</w:t>
      </w:r>
      <w:r>
        <w:rPr>
          <w:rStyle w:val="ForeignDevanagariScript"/>
          <w:cs/>
        </w:rPr>
        <w:t>ड़</w:t>
      </w:r>
      <w:r>
        <w:t xml:space="preserve">| is transliterated </w:t>
      </w:r>
      <w:r>
        <w:rPr>
          <w:rStyle w:val="Foreign"/>
        </w:rPr>
        <w:t>ṛa</w:t>
      </w:r>
      <w:r>
        <w:t>. In the source graphemes, a diacritical mark in |</w:t>
      </w:r>
      <w:r>
        <w:rPr>
          <w:rStyle w:val="ForeignDevanagariScript"/>
          <w:cs/>
        </w:rPr>
        <w:t>ड़</w:t>
      </w:r>
      <w:r>
        <w:t>| indicates that the grapheme stands for a flap allophone of the phoneme represented by the base graph |</w:t>
      </w:r>
      <w:r>
        <w:rPr>
          <w:rStyle w:val="ForeignDevanagariScript"/>
          <w:cs/>
        </w:rPr>
        <w:t>ड</w:t>
      </w:r>
      <w:r>
        <w:t>|; incidentally, an identical-looking diacritical mark in the transliteration of both indicates the retroflex quality of both phonemes, but the distinction of the graphemes takes place in the base graph.</w:t>
      </w:r>
    </w:p>
  </w:footnote>
  <w:footnote w:id="61">
    <w:p w14:paraId="4411524D" w14:textId="77777777" w:rsidR="00431357" w:rsidRDefault="00431357" w:rsidP="00431357">
      <w:pPr>
        <w:pStyle w:val="Lbjegyzetszveg"/>
      </w:pPr>
      <w:r>
        <w:tab/>
      </w:r>
      <w:r>
        <w:rPr>
          <w:rStyle w:val="Lbjegyzet-hivatkozs"/>
        </w:rPr>
        <w:footnoteRef/>
      </w:r>
      <w:r>
        <w:tab/>
        <w:t xml:space="preserve">Although the </w:t>
      </w:r>
      <w:r>
        <w:rPr>
          <w:rStyle w:val="Foreign"/>
        </w:rPr>
        <w:t>virāma</w:t>
      </w:r>
      <w:r>
        <w:t xml:space="preserve"> is almost always conjoined to basic consonant glyphs, there is nothing inherent in the Indic writing system that would forbid adding it to a conjunct glyph, and practical examples of the latter do exist (e.g. Devanagari |</w:t>
      </w:r>
      <w:r>
        <w:rPr>
          <w:rStyle w:val="ForeignDevanagariScript"/>
          <w:cs/>
        </w:rPr>
        <w:t>र्द</w:t>
      </w:r>
      <w:r>
        <w:rPr>
          <w:rStyle w:val="ForeignDevanagariScript"/>
          <w:rFonts w:hint="cs"/>
          <w:cs/>
        </w:rPr>
        <w:t>्</w:t>
      </w:r>
      <w:r>
        <w:t>| &lt;rd·&gt;, Tamil |</w:t>
      </w:r>
      <w:r>
        <w:rPr>
          <w:rStyle w:val="ForeignTamilScript"/>
          <w:rFonts w:hint="cs"/>
          <w:cs/>
        </w:rPr>
        <w:t>க்ஷ்</w:t>
      </w:r>
      <w:r>
        <w:t>| &lt;kṣ·&gt;).</w:t>
      </w:r>
    </w:p>
  </w:footnote>
  <w:footnote w:id="62">
    <w:p w14:paraId="678F2F02" w14:textId="7D23CF5B" w:rsidR="00431357" w:rsidRDefault="00431357" w:rsidP="00431357">
      <w:pPr>
        <w:pStyle w:val="Lbjegyzetszveg"/>
      </w:pPr>
      <w:r>
        <w:tab/>
      </w:r>
      <w:r>
        <w:rPr>
          <w:rStyle w:val="Lbjegyzet-hivatkozs"/>
        </w:rPr>
        <w:footnoteRef/>
      </w:r>
      <w:r>
        <w:tab/>
        <w:t xml:space="preserve">We are not aware of any linguistic publication that discusses the status of the </w:t>
      </w:r>
      <w:r>
        <w:rPr>
          <w:rStyle w:val="Foreign"/>
        </w:rPr>
        <w:t>virāma</w:t>
      </w:r>
      <w:r>
        <w:t xml:space="preserve"> vis-à-vis graphemes. Theoretical frameworks which equate </w:t>
      </w:r>
      <w:r>
        <w:rPr>
          <w:rStyle w:val="Foreign"/>
        </w:rPr>
        <w:t>akṣaras</w:t>
      </w:r>
      <w:r>
        <w:t xml:space="preserve"> to graphemes can unproblematically handle the </w:t>
      </w:r>
      <w:r>
        <w:rPr>
          <w:rStyle w:val="Foreign"/>
        </w:rPr>
        <w:t>virāma</w:t>
      </w:r>
      <w:r>
        <w:t xml:space="preserve"> as a diacritical mark which changes one grapheme to another, and this implicit understanding may be in the background of the fact that the </w:t>
      </w:r>
      <w:r>
        <w:rPr>
          <w:rStyle w:val="Foreign"/>
        </w:rPr>
        <w:t>virāma</w:t>
      </w:r>
      <w:r>
        <w:t xml:space="preserve"> is often referred to as a diacritic </w:t>
      </w:r>
      <w:r>
        <w:fldChar w:fldCharType="begin"/>
      </w:r>
      <w:r>
        <w:instrText xml:space="preserve"> ADDIN ZOTERO_ITEM CSL_CITATION {"citationID":"lNc7ajBV","properties":{"formattedCitation":"(e.g. Gnanadesikan 2017, 18)","plainCitation":"(e.g. Gnanadesikan 2017, 18)","noteIndex":62},"citationItems":[{"id":26516,"uris":["http://zotero.org/groups/1633743/items/PINAVHJW"],"itemData":{"id":26516,"type":"article-journal","abstract":"This paper focuses on those scripts whose basic grain size is the phoneme or phonological segment, arguing for both the essential unity and the diversity of such scripts. On the one hand, these scripts encode individual phonemes, unlike syllabaries, and should therefore be recognised as constituting a class. On the other hand, they vary in which vowels they represent, if any, and in how the relationship between vowels and consonants is encoded. These dimensions of which segments are represented and how those segments are arranged to form larger phonological structures vary independently of each other. Furthermore, some phonemic scripts also encode featural or moraic information. Thus, a short list of simple one-word names, like alphabet, abjad and abugida, does not capture the full range of segmental scripts or the relationships between them. A typology using more descriptive terms is presented.","container-title":"Writing Systems Research","DOI":"10.1080/17586801.2017.1308239","ISSN":"1758-6801","issue":"1","page":"14-35","title":"Towards a typology of phonemic scripts","title-short":"Gnanadesikan2017_01","volume":"9","author":[{"family":"Gnanadesikan","given":"Amalia E."}],"issued":{"date-parts":[["2017"]]}},"locator":"18","label":"page","prefix":"e.g."}],"schema":"https://github.com/citation-style-language/schema/raw/master/csl-citation.json"} </w:instrText>
      </w:r>
      <w:r>
        <w:fldChar w:fldCharType="separate"/>
      </w:r>
      <w:r>
        <w:rPr>
          <w:rFonts w:cs="Gentium Plus"/>
        </w:rPr>
        <w:t>(e.g. Gnanadesikan 2017, 18)</w:t>
      </w:r>
      <w:r>
        <w:fldChar w:fldCharType="end"/>
      </w:r>
      <w:r>
        <w:t xml:space="preserve">. However, such approaches implicitly treat the Indic script as syllabic rather than aksharic (cf. note </w:t>
      </w:r>
      <w:r>
        <w:fldChar w:fldCharType="begin"/>
      </w:r>
      <w:r>
        <w:instrText xml:space="preserve"> NOTEREF _Ref198646201 \h </w:instrText>
      </w:r>
      <w:r>
        <w:fldChar w:fldCharType="separate"/>
      </w:r>
      <w:r>
        <w:t>39</w:t>
      </w:r>
      <w:r>
        <w:fldChar w:fldCharType="end"/>
      </w:r>
      <w:r>
        <w:t xml:space="preserve">), which we find unacceptable. Weingarten </w:t>
      </w:r>
      <w:r>
        <w:fldChar w:fldCharType="begin"/>
      </w:r>
      <w:r>
        <w:instrText xml:space="preserve"> ADDIN ZOTERO_ITEM CSL_CITATION {"citationID":"gW58r8N3","properties":{"formattedCitation":"(2013, 22)","plainCitation":"(2013, 22)","noteIndex":62},"citationItems":[{"id":26543,"uris":["http://zotero.org/groups/1633743/items/3JBU4L3M"],"itemData":{"id":26543,"type":"chapter","abstract":"The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R."},{"family":"Joyce","given":"Terry"}],"accessed":{"date-parts":[["2025",4,10]]},"issued":{"date-parts":[["2013"]]}},"locator":"22","label":"page","suppress-author":true}],"schema":"https://github.com/citation-style-language/schema/raw/master/csl-citation.json"} </w:instrText>
      </w:r>
      <w:r>
        <w:fldChar w:fldCharType="separate"/>
      </w:r>
      <w:r>
        <w:rPr>
          <w:rFonts w:cs="Gentium Plus"/>
        </w:rPr>
        <w:t>(2013, 22)</w:t>
      </w:r>
      <w:r>
        <w:fldChar w:fldCharType="end"/>
      </w:r>
      <w:r>
        <w:t xml:space="preserve"> definitely implies that he considers the </w:t>
      </w:r>
      <w:r>
        <w:rPr>
          <w:rStyle w:val="Foreign"/>
        </w:rPr>
        <w:t>virāma</w:t>
      </w:r>
      <w:r>
        <w:t xml:space="preserve"> to be a grapheme, but since his broad grapheme concept includes all diacritical marks (cf. note </w:t>
      </w:r>
      <w:r>
        <w:fldChar w:fldCharType="begin"/>
      </w:r>
      <w:r>
        <w:instrText xml:space="preserve"> NOTEREF _Ref198908542 \h </w:instrText>
      </w:r>
      <w:r>
        <w:fldChar w:fldCharType="separate"/>
      </w:r>
      <w:r>
        <w:t>34</w:t>
      </w:r>
      <w:r>
        <w:fldChar w:fldCharType="end"/>
      </w:r>
      <w:r>
        <w:t xml:space="preserve">), this does not support our stance. Iyengar </w:t>
      </w:r>
      <w:r>
        <w:fldChar w:fldCharType="begin"/>
      </w:r>
      <w:r>
        <w:instrText xml:space="preserve"> ADDIN ZOTERO_ITEM CSL_CITATION {"citationID":"jMUBFwrt","properties":{"formattedCitation":"(2024, 427\\uc0\\u8211{}28)","plainCitation":"(2024, 427–28)","noteIndex":62},"citationItems":[{"id":26845,"uris":["http://zotero.org/groups/1633743/items/TFDXQGCY"],"itemData":{"id":26845,"type":"paper-conference","abstract":"&lt;p&gt;The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locator":"427-428","label":"page","suppress-author":true}],"schema":"https://github.com/citation-style-language/schema/raw/master/csl-citation.json"} </w:instrText>
      </w:r>
      <w:r>
        <w:fldChar w:fldCharType="separate"/>
      </w:r>
      <w:r>
        <w:rPr>
          <w:rFonts w:cs="Gentium Plus"/>
          <w:kern w:val="0"/>
          <w:szCs w:val="24"/>
        </w:rPr>
        <w:t>(2024, 427–28)</w:t>
      </w:r>
      <w:r>
        <w:fldChar w:fldCharType="end"/>
      </w:r>
      <w:r>
        <w:t xml:space="preserve"> treats the </w:t>
      </w:r>
      <w:r>
        <w:rPr>
          <w:rStyle w:val="Foreign"/>
        </w:rPr>
        <w:t>virāma</w:t>
      </w:r>
      <w:r>
        <w:t xml:space="preserve"> as a graph (defined much as we define it, cf. note </w:t>
      </w:r>
      <w:r>
        <w:fldChar w:fldCharType="begin"/>
      </w:r>
      <w:r>
        <w:instrText xml:space="preserve"> NOTEREF _Ref198909201 \h </w:instrText>
      </w:r>
      <w:r>
        <w:fldChar w:fldCharType="separate"/>
      </w:r>
      <w:r>
        <w:t>50</w:t>
      </w:r>
      <w:r>
        <w:fldChar w:fldCharType="end"/>
      </w:r>
      <w:r>
        <w:t xml:space="preserve">) . Meletis does not address the status of the </w:t>
      </w:r>
      <w:r>
        <w:rPr>
          <w:rStyle w:val="Foreign"/>
        </w:rPr>
        <w:t>virāma</w:t>
      </w:r>
      <w:r>
        <w:t xml:space="preserve"> as far as we are aware, but Meletis and Dürscheid </w:t>
      </w:r>
      <w:r>
        <w:fldChar w:fldCharType="begin"/>
      </w:r>
      <w:r>
        <w:instrText xml:space="preserve"> ADDIN ZOTERO_ITEM CSL_CITATION {"citationID":"QPGqM8uS","properties":{"formattedCitation":"(2022, 233)","plainCitation":"(2022, 233)","noteIndex":62},"citationItems":[{"id":25331,"uris":["http://zotero.org/groups/1633743/items/2FRSBS2M"],"itemData":{"id":25331,"type":"book","abstract":"Grapholinguistics,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233","label":"page","suppress-author":true}],"schema":"https://github.com/citation-style-language/schema/raw/master/csl-citation.json"} </w:instrText>
      </w:r>
      <w:r>
        <w:fldChar w:fldCharType="separate"/>
      </w:r>
      <w:r>
        <w:rPr>
          <w:rFonts w:cs="Gentium Plus"/>
        </w:rPr>
        <w:t>(2022, 233)</w:t>
      </w:r>
      <w:r>
        <w:fldChar w:fldCharType="end"/>
      </w:r>
      <w:r>
        <w:t xml:space="preserve"> state that it “appears as the diacritic &lt;</w:t>
      </w:r>
      <w:r>
        <w:rPr>
          <w:rStyle w:val="ForeignDevanagariScript"/>
          <w:cs/>
        </w:rPr>
        <w:t>◌्</w:t>
      </w:r>
      <w:r>
        <w:t>&gt;” which, unless the angle brackets (indicating graphemes) are a mistake for vertical bars (denoting graphs), implies that they are willing to recognise it as at least some sort of grapheme.</w:t>
      </w:r>
    </w:p>
  </w:footnote>
  <w:footnote w:id="63">
    <w:p w14:paraId="7B0B5429" w14:textId="77777777" w:rsidR="00431357" w:rsidRDefault="00431357" w:rsidP="00431357">
      <w:pPr>
        <w:pStyle w:val="Lbjegyzetszveg"/>
      </w:pPr>
      <w:r>
        <w:tab/>
      </w:r>
      <w:r>
        <w:rPr>
          <w:rStyle w:val="Lbjegyzet-hivatkozs"/>
        </w:rPr>
        <w:footnoteRef/>
      </w:r>
      <w:r>
        <w:tab/>
        <w:t xml:space="preserve">Anyone who is utterly disinclined to accept that the </w:t>
      </w:r>
      <w:r>
        <w:rPr>
          <w:rStyle w:val="Foreign"/>
        </w:rPr>
        <w:t>virāma</w:t>
      </w:r>
      <w:r>
        <w:t>’s contribution of a zero-vowel qualifies it for grapheme status may instead choose to regard it as a non-phonographic grapheme (§</w:t>
      </w:r>
      <w:r>
        <w:fldChar w:fldCharType="begin"/>
      </w:r>
      <w:r>
        <w:instrText xml:space="preserve"> REF _Ref199757158 \r \h </w:instrText>
      </w:r>
      <w:r>
        <w:fldChar w:fldCharType="separate"/>
      </w:r>
      <w:r>
        <w:t>2.5.5</w:t>
      </w:r>
      <w:r>
        <w:fldChar w:fldCharType="end"/>
      </w:r>
      <w:r>
        <w:t>) in an otherwise phonographic writing system, but this is not a position we agree with.</w:t>
      </w:r>
    </w:p>
  </w:footnote>
  <w:footnote w:id="64">
    <w:p w14:paraId="7CA8B36F" w14:textId="77777777" w:rsidR="00431357" w:rsidRDefault="00431357" w:rsidP="00431357">
      <w:pPr>
        <w:pStyle w:val="Lbjegyzetszveg"/>
        <w:rPr>
          <w:lang w:bidi="sa-IN"/>
        </w:rPr>
      </w:pPr>
      <w:r>
        <w:tab/>
      </w:r>
      <w:r>
        <w:rPr>
          <w:rStyle w:val="Lbjegyzet-hivatkozs"/>
        </w:rPr>
        <w:footnoteRef/>
      </w:r>
      <w:r>
        <w:tab/>
        <w:t>However, in non-diplomatic contexts (i.e. loose transliteration, §</w:t>
      </w:r>
      <w:r>
        <w:fldChar w:fldCharType="begin"/>
      </w:r>
      <w:r>
        <w:instrText xml:space="preserve"> REF _Ref199773884 \r \h </w:instrText>
      </w:r>
      <w:r>
        <w:fldChar w:fldCharType="separate"/>
      </w:r>
      <w:r>
        <w:t>2.7</w:t>
      </w:r>
      <w:r>
        <w:fldChar w:fldCharType="end"/>
      </w:r>
      <w:r>
        <w:t xml:space="preserve">), primarily when transliterating a modern language with a known orthography and pronunciation, we have no objection to using diacritical marks indicating vowel nasality, e.g. to transliterating Hindi </w:t>
      </w:r>
      <w:r>
        <w:rPr>
          <w:rStyle w:val="ForeignDevanagariScript"/>
          <w:rFonts w:hint="cs"/>
          <w:cs/>
        </w:rPr>
        <w:t>हाँ</w:t>
      </w:r>
      <w:r>
        <w:rPr>
          <w:lang w:bidi="sa-IN"/>
        </w:rPr>
        <w:t xml:space="preserve"> as </w:t>
      </w:r>
      <w:r>
        <w:rPr>
          <w:rStyle w:val="Foreign"/>
        </w:rPr>
        <w:t>hā̃</w:t>
      </w:r>
      <w:r>
        <w:t>.</w:t>
      </w:r>
    </w:p>
  </w:footnote>
  <w:footnote w:id="65">
    <w:p w14:paraId="6EF8A3FB" w14:textId="77777777" w:rsidR="00431357" w:rsidRDefault="00431357" w:rsidP="00431357">
      <w:pPr>
        <w:pStyle w:val="Lbjegyzetszveg"/>
      </w:pPr>
      <w:r>
        <w:tab/>
      </w:r>
      <w:r>
        <w:rPr>
          <w:rStyle w:val="Lbjegyzet-hivatkozs"/>
        </w:rPr>
        <w:footnoteRef/>
      </w:r>
      <w:r>
        <w:tab/>
        <w:t xml:space="preserve">The </w:t>
      </w:r>
      <w:r>
        <w:rPr>
          <w:rStyle w:val="Foreign"/>
        </w:rPr>
        <w:t>addak</w:t>
      </w:r>
      <w:r>
        <w:t xml:space="preserve"> |</w:t>
      </w:r>
      <w:r>
        <w:rPr>
          <w:rStyle w:val="ForeignDevanagariScript"/>
          <w:rFonts w:ascii="Nirmala UI" w:hAnsi="Nirmala UI" w:cs="Nirmala UI" w:hint="cs"/>
          <w:cs/>
        </w:rPr>
        <w:t>ੱ</w:t>
      </w:r>
      <w:r>
        <w:t xml:space="preserve">| usually indicates the gemination of the following consonant, but may also function as a stress marker. </w:t>
      </w:r>
    </w:p>
  </w:footnote>
  <w:footnote w:id="66">
    <w:p w14:paraId="53B7BB5C" w14:textId="17F66026" w:rsidR="00431357" w:rsidRDefault="00431357" w:rsidP="00431357">
      <w:pPr>
        <w:pStyle w:val="Lbjegyzetszveg"/>
      </w:pPr>
      <w:r>
        <w:tab/>
      </w:r>
      <w:r>
        <w:rPr>
          <w:rStyle w:val="Lbjegyzet-hivatkozs"/>
        </w:rPr>
        <w:footnoteRef/>
      </w:r>
      <w:r>
        <w:tab/>
        <w:t xml:space="preserve">Largely in agreement with e.g. Coulmas </w:t>
      </w:r>
      <w:r>
        <w:fldChar w:fldCharType="begin"/>
      </w:r>
      <w:r>
        <w:instrText xml:space="preserve"> ADDIN ZOTERO_ITEM CSL_CITATION {"citationID":"VIxdgKUA","properties":{"formattedCitation":"(2006, 86, 292, 421; s.vv. cipher 1, letter, punctuation 1)","plainCitation":"(2006, 86, 292, 421; s.vv. cipher 1, letter, punctuation 1)","noteIndex":66},"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Systems","title-short":"Coulmas2006_01","author":[{"family":"Coulmas","given":"Florian"}],"issued":{"date-parts":[["2006"]]}},"locator":"86, 292, 421","label":"page","suppress-author":true,"suffix":"; s.vv. cipher 1, letter, punctuation 1"}],"schema":"https://github.com/citation-style-language/schema/raw/master/csl-citation.json"} </w:instrText>
      </w:r>
      <w:r>
        <w:fldChar w:fldCharType="separate"/>
      </w:r>
      <w:r>
        <w:rPr>
          <w:rFonts w:cs="Gentium Plus"/>
        </w:rPr>
        <w:t>(2006, 86, 292, 421; s.vv. cipher 1, letter, punctuation 1)</w:t>
      </w:r>
      <w:r>
        <w:fldChar w:fldCharType="end"/>
      </w:r>
      <w:r>
        <w:t xml:space="preserve"> and Neef </w:t>
      </w:r>
      <w:r>
        <w:fldChar w:fldCharType="begin"/>
      </w:r>
      <w:r>
        <w:instrText xml:space="preserve"> ADDIN ZOTERO_ITEM CSL_CITATION {"citationID":"Iaz1w6zE","properties":{"formattedCitation":"(2015, 711)","plainCitation":"(2015, 711)","noteIndex":66},"citationItems":[{"id":25465,"uris":["http://zotero.org/groups/1633743/items/QQH4JU5N"],"itemData":{"id":25465,"type":"article-journal","container-title":"Open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711","label":"page","suppress-author":true}],"schema":"https://github.com/citation-style-language/schema/raw/master/csl-citation.json"} </w:instrText>
      </w:r>
      <w:r>
        <w:fldChar w:fldCharType="separate"/>
      </w:r>
      <w:r>
        <w:rPr>
          <w:rFonts w:cs="Gentium Plus"/>
        </w:rPr>
        <w:t>(2015, 711)</w:t>
      </w:r>
      <w:r>
        <w:fldChar w:fldCharType="end"/>
      </w:r>
      <w:r>
        <w:t>.</w:t>
      </w:r>
    </w:p>
  </w:footnote>
  <w:footnote w:id="67">
    <w:p w14:paraId="4A9B96E8" w14:textId="77777777" w:rsidR="00431357" w:rsidRDefault="00431357" w:rsidP="00431357">
      <w:pPr>
        <w:pStyle w:val="Lbjegyzetszveg"/>
      </w:pPr>
      <w:r>
        <w:tab/>
      </w:r>
      <w:r>
        <w:rPr>
          <w:rStyle w:val="Lbjegyzet-hivatkozs"/>
        </w:rPr>
        <w:footnoteRef/>
      </w:r>
      <w:r>
        <w:tab/>
        <w:t>Examples include spectra such as |oe| - |œ| - |oͤ| - |ö|, from sequence to complex character to simplex character with diacritical mark; and [sz] - |ſʒ| - |ß|, from sequence to simplex character. A similar series culminating in a non-phonographic sign is |et| - |</w:t>
      </w:r>
      <w:r>
        <w:rPr>
          <w:rFonts w:ascii="Segoe UI Symbol" w:hAnsi="Segoe UI Symbol" w:cs="Segoe UI Symbol"/>
        </w:rPr>
        <w:t>🙰</w:t>
      </w:r>
      <w:r>
        <w:t>| -  |&amp;|.</w:t>
      </w:r>
    </w:p>
  </w:footnote>
  <w:footnote w:id="68">
    <w:p w14:paraId="4DF91DFE" w14:textId="77777777" w:rsidR="00431357" w:rsidRDefault="00431357" w:rsidP="00431357">
      <w:pPr>
        <w:pStyle w:val="Lbjegyzetszveg"/>
      </w:pPr>
      <w:r>
        <w:tab/>
      </w:r>
      <w:r>
        <w:rPr>
          <w:rStyle w:val="Lbjegyzet-hivatkozs"/>
        </w:rPr>
        <w:footnoteRef/>
      </w:r>
      <w:r>
        <w:tab/>
        <w:t>An example of transition from grapheme to diacritical mark is the Javanese use of the graph originally associated with &lt;ā&gt; as a marker of length, combinable with vowel as well as consonant graphemes. Transition from a simplex character to a complex one may be exemplified by the proto-</w:t>
      </w:r>
      <w:r>
        <w:rPr>
          <w:rStyle w:val="Foreign"/>
        </w:rPr>
        <w:t>virāma</w:t>
      </w:r>
      <w:r>
        <w:t xml:space="preserve"> (#§), starting out as a distinctive element of simplex independent consonants and ending as a fully fledged (§</w:t>
      </w:r>
      <w:r>
        <w:fldChar w:fldCharType="begin"/>
      </w:r>
      <w:r>
        <w:instrText xml:space="preserve"> REF _Ref199777633 \r \h </w:instrText>
      </w:r>
      <w:r>
        <w:fldChar w:fldCharType="separate"/>
      </w:r>
      <w:r>
        <w:t>2.5.2</w:t>
      </w:r>
      <w:r>
        <w:fldChar w:fldCharType="end"/>
      </w:r>
      <w:r>
        <w:t>).</w:t>
      </w:r>
    </w:p>
  </w:footnote>
  <w:footnote w:id="69">
    <w:p w14:paraId="69007FB3" w14:textId="77777777" w:rsidR="00431357" w:rsidRDefault="00431357" w:rsidP="00431357">
      <w:pPr>
        <w:pStyle w:val="Lbjegyzetszveg"/>
      </w:pPr>
      <w:r>
        <w:tab/>
      </w:r>
      <w:r>
        <w:rPr>
          <w:rStyle w:val="Lbjegyzet-hivatkozs"/>
        </w:rPr>
        <w:footnoteRef/>
      </w:r>
      <w:r>
        <w:tab/>
        <w:t xml:space="preserve">The same might be said of the final consonants of Pyu, which are dwarfed by and graphetically subordinate to the regular consonant signs, and may therefore be perceived as components of the preceding </w:t>
      </w:r>
      <w:r>
        <w:rPr>
          <w:rStyle w:val="Foreign"/>
        </w:rPr>
        <w:t>akṣara</w:t>
      </w:r>
      <w:r>
        <w:t xml:space="preserve"> in a system tweaked for the representation of closed syllables.</w:t>
      </w:r>
    </w:p>
  </w:footnote>
  <w:footnote w:id="70">
    <w:p w14:paraId="532FDB7B" w14:textId="2C19B86C" w:rsidR="00431357" w:rsidRDefault="00431357" w:rsidP="00431357">
      <w:pPr>
        <w:pStyle w:val="Lbjegyzetszveg"/>
      </w:pPr>
      <w:r>
        <w:tab/>
      </w:r>
      <w:r>
        <w:rPr>
          <w:rStyle w:val="Lbjegyzet-hivatkozs"/>
        </w:rPr>
        <w:footnoteRef/>
      </w:r>
      <w:r>
        <w:tab/>
        <w:t xml:space="preserve">Our distinction between graphematic and graphetic allography is inspired by Meletis </w:t>
      </w:r>
      <w:r>
        <w:fldChar w:fldCharType="begin"/>
      </w:r>
      <w:r>
        <w:instrText xml:space="preserve"> ADDIN ZOTERO_ITEM CSL_CITATION {"citationID":"6R87MBhv","properties":{"formattedCitation":"(e.g. 2020b)","plainCitation":"(e.g. 2020b)","noteIndex":70},"citationItems":[{"id":25429,"uris":["http://zotero.org/groups/1633743/items/2FVI2WXH"],"itemData":{"id":25429,"type":"article-journal","container-title":"Open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allography","title-short":"Meletis2020_02","volume":"6","author":[{"family":"Meletis","given":"Dimitrios"}],"issued":{"date-parts":[["2020"]]}},"suppress-author":true,"prefix":"e.g."}],"schema":"https://github.com/citation-style-language/schema/raw/master/csl-citation.json"} </w:instrText>
      </w:r>
      <w:r>
        <w:fldChar w:fldCharType="separate"/>
      </w:r>
      <w:r>
        <w:rPr>
          <w:rFonts w:cs="Gentium Plus"/>
        </w:rPr>
        <w:t>(e.g. 2020b)</w:t>
      </w:r>
      <w:r>
        <w:fldChar w:fldCharType="end"/>
      </w:r>
      <w:r>
        <w:t xml:space="preserve">, but he defines these concepts in a very different way. For him </w:t>
      </w:r>
      <w:r>
        <w:fldChar w:fldCharType="begin"/>
      </w:r>
      <w:r>
        <w:instrText xml:space="preserve"> ADDIN ZOTERO_ITEM CSL_CITATION {"citationID":"Q8h2NRFP","properties":{"formattedCitation":"(e.g. Meletis and D\\uc0\\u252{}rscheid 2022, 64)","plainCitation":"(e.g. Meletis and Dürscheid 2022, 64)","noteIndex":70},"citationItems":[{"id":25331,"uris":["http://zotero.org/groups/1633743/items/2FRSBS2M"],"itemData":{"id":25331,"type":"book","abstract":"Grapholinguistics,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64","label":"page","prefix":"e.g."}],"schema":"https://github.com/citation-style-language/schema/raw/master/csl-citation.json"} </w:instrText>
      </w:r>
      <w:r>
        <w:fldChar w:fldCharType="separate"/>
      </w:r>
      <w:r>
        <w:rPr>
          <w:rFonts w:cs="Gentium Plus"/>
          <w:kern w:val="0"/>
          <w:szCs w:val="24"/>
        </w:rPr>
        <w:t>(e.g. Meletis and Dürscheid 2022, 64)</w:t>
      </w:r>
      <w:r>
        <w:fldChar w:fldCharType="end"/>
      </w:r>
      <w:r>
        <w:t xml:space="preserve">, the crux is the physical template (“basic shape”), identified strictly on the basis of phenomenal criteria such as the number and topological arrangement of graphic elements. Iyengar </w:t>
      </w:r>
      <w:r>
        <w:fldChar w:fldCharType="begin"/>
      </w:r>
      <w:r>
        <w:instrText xml:space="preserve"> ADDIN ZOTERO_ITEM CSL_CITATION {"citationID":"HCJsGLVI","properties":{"formattedCitation":"(2024, 427\\uc0\\u8211{}28)","plainCitation":"(2024, 427–28)","noteIndex":70},"citationItems":[{"id":26845,"uris":["http://zotero.org/groups/1633743/items/TFDXQGCY"],"itemData":{"id":26845,"type":"paper-conference","abstract":"&lt;p&gt;The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locator":"427-428","label":"page","suppress-author":true}],"schema":"https://github.com/citation-style-language/schema/raw/master/csl-citation.json"} </w:instrText>
      </w:r>
      <w:r>
        <w:fldChar w:fldCharType="separate"/>
      </w:r>
      <w:r>
        <w:t>(2024, 427–28)</w:t>
      </w:r>
      <w:r>
        <w:fldChar w:fldCharType="end"/>
      </w:r>
      <w:r>
        <w:t xml:space="preserve"> uses the label ‘homophonous heterography’ for some cases of what we call graphematic allography, but is concerned only with the phonological signification of alternate graphic representations, and ignores their potential graphematic role.</w:t>
      </w:r>
    </w:p>
  </w:footnote>
  <w:footnote w:id="71">
    <w:p w14:paraId="6E03D546" w14:textId="676B9026" w:rsidR="00431357" w:rsidRDefault="00431357" w:rsidP="00431357">
      <w:pPr>
        <w:pStyle w:val="Lbjegyzetszveg"/>
      </w:pPr>
      <w:r>
        <w:tab/>
      </w:r>
      <w:r>
        <w:rPr>
          <w:rStyle w:val="Lbjegyzet-hivatkozs"/>
        </w:rPr>
        <w:footnoteRef/>
      </w:r>
      <w:r>
        <w:tab/>
        <w:t xml:space="preserve">Meletis </w:t>
      </w:r>
      <w:r>
        <w:fldChar w:fldCharType="begin"/>
      </w:r>
      <w:r>
        <w:instrText xml:space="preserve"> ADDIN ZOTERO_ITEM CSL_CITATION {"citationID":"F9Pei0FJ","properties":{"formattedCitation":"(2020b, 257\\uc0\\u8211{}59)","plainCitation":"(2020b, 257–59)","noteIndex":71},"citationItems":[{"id":25429,"uris":["http://zotero.org/groups/1633743/items/2FVI2WXH"],"itemData":{"id":25429,"type":"article-journal","container-title":"Open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257-259","label":"page","suppress-author":true}],"schema":"https://github.com/citation-style-language/schema/raw/master/csl-citation.json"} </w:instrText>
      </w:r>
      <w:r>
        <w:fldChar w:fldCharType="separate"/>
      </w:r>
      <w:r>
        <w:rPr>
          <w:rFonts w:cs="Gentium Plus"/>
          <w:kern w:val="0"/>
          <w:szCs w:val="24"/>
        </w:rPr>
        <w:t>(2020b, 257–59)</w:t>
      </w:r>
      <w:r>
        <w:fldChar w:fldCharType="end"/>
      </w:r>
      <w:r>
        <w:t xml:space="preserve"> would call |</w:t>
      </w:r>
      <w:r>
        <w:rPr>
          <w:rFonts w:ascii="Tiro Devanagari Sanskrit" w:hAnsi="Tiro Devanagari Sanskrit"/>
          <w:cs/>
        </w:rPr>
        <w:t>अ</w:t>
      </w:r>
      <w:r>
        <w:t>| and |</w:t>
      </w:r>
      <w:r>
        <w:rPr>
          <w:rFonts w:ascii="Uttara" w:hAnsi="Uttara" w:cs="Uttara"/>
          <w:cs/>
          <w14:ligatures w14:val="all"/>
        </w:rPr>
        <w:t>अ</w:t>
      </w:r>
      <w:r>
        <w:t>| graphematic allographs, and recognise only the allography of |</w:t>
      </w:r>
      <w:r>
        <w:rPr>
          <w:rFonts w:ascii="Tiro Devanagari Sanskrit" w:hAnsi="Tiro Devanagari Sanskrit"/>
          <w:cs/>
        </w:rPr>
        <w:t>अ</w:t>
      </w:r>
      <w:r>
        <w:t>| and |</w:t>
      </w:r>
      <w:r>
        <w:rPr>
          <w:rFonts w:asciiTheme="majorBidi" w:hAnsiTheme="majorBidi" w:cstheme="majorBidi"/>
          <w:cs/>
          <w14:ligatures w14:val="all"/>
        </w:rPr>
        <w:t>अ</w:t>
      </w:r>
      <w:r>
        <w:t xml:space="preserve">| as graphetic </w:t>
      </w:r>
      <w:r>
        <w:fldChar w:fldCharType="begin"/>
      </w:r>
      <w:r>
        <w:instrText xml:space="preserve"> ADDIN ZOTERO_ITEM CSL_CITATION {"citationID":"vMwU1jLM","properties":{"formattedCitation":"(Meletis 2020b, 255 Fig. 3)","plainCitation":"(Meletis 2020b, 255 Fig. 3)","noteIndex":71},"citationItems":[{"id":25429,"uris":["http://zotero.org/groups/1633743/items/2FVI2WXH"],"itemData":{"id":25429,"type":"article-journal","container-title":"Open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allography","title-short":"Meletis2020_02","volume":"6","author":[{"family":"Meletis","given":"Dimitrios"}],"issued":{"date-parts":[["2020"]]}},"locator":"255","label":"page","suffix":"Fig. 3"}],"schema":"https://github.com/citation-style-language/schema/raw/master/csl-citation.json"} </w:instrText>
      </w:r>
      <w:r>
        <w:fldChar w:fldCharType="separate"/>
      </w:r>
      <w:r>
        <w:rPr>
          <w:rFonts w:cs="Gentium Plus"/>
        </w:rPr>
        <w:t>(Meletis 2020b, 255 Fig. 3)</w:t>
      </w:r>
      <w:r>
        <w:fldChar w:fldCharType="end"/>
      </w:r>
      <w:r>
        <w:t>. A distinction between these two kinds of alternation (involving different or identical basic shapes) may be relevant to grapholinguistics, but is irrelevant to transliteration, so we do not discuss it further. Conversely, the dichotomy we consider crucial is addressed by Meletis only in terms of the rules and constraints applicable to the alternation of forms. Our concept of graphetic allography thus includes Meletis’s graphetic allography and his free graphematic allography.</w:t>
      </w:r>
    </w:p>
  </w:footnote>
  <w:footnote w:id="72">
    <w:p w14:paraId="2419C53C" w14:textId="69A4CB7F" w:rsidR="00431357" w:rsidRDefault="00431357" w:rsidP="00431357">
      <w:pPr>
        <w:pStyle w:val="Lbjegyzetszveg"/>
      </w:pPr>
      <w:r>
        <w:tab/>
      </w:r>
      <w:r>
        <w:rPr>
          <w:rStyle w:val="Lbjegyzet-hivatkozs"/>
        </w:rPr>
        <w:footnoteRef/>
      </w:r>
      <w:r>
        <w:tab/>
        <w:t xml:space="preserve">In Meletis’s terms </w:t>
      </w:r>
      <w:r>
        <w:fldChar w:fldCharType="begin"/>
      </w:r>
      <w:r>
        <w:instrText xml:space="preserve"> ADDIN ZOTERO_ITEM CSL_CITATION {"citationID":"4NFjliwj","properties":{"formattedCitation":"(2020b, 259\\uc0\\u8211{}60)","plainCitation":"(2020b, 259–60)","noteIndex":72},"citationItems":[{"id":25429,"uris":["http://zotero.org/groups/1633743/items/2FVI2WXH"],"itemData":{"id":25429,"type":"article-journal","container-title":"Open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259-260","label":"page","suppress-author":true}],"schema":"https://github.com/citation-style-language/schema/raw/master/csl-citation.json"} </w:instrText>
      </w:r>
      <w:r>
        <w:fldChar w:fldCharType="separate"/>
      </w:r>
      <w:r>
        <w:rPr>
          <w:rFonts w:cs="Gentium Plus"/>
          <w:kern w:val="0"/>
          <w:szCs w:val="24"/>
        </w:rPr>
        <w:t>(2020b, 259–60)</w:t>
      </w:r>
      <w:r>
        <w:fldChar w:fldCharType="end"/>
      </w:r>
      <w:r>
        <w:t xml:space="preserve">, our graphotactic allographs are positional graphematic allographs, but that category also includes many cases of what we consider true graphematic allography. We note here that the notion of graphotactic allography may be fruitful for grapholinguistics at large in addressing phenomena like context-dependent letter shapes in cursive alphabetic writing, the typographic ligatures of alphabetic systems, and even graphetically simplex complex glyphs like Devanagari </w:t>
      </w:r>
      <w:r>
        <w:rPr>
          <w:lang w:bidi="sa-IN"/>
        </w:rPr>
        <w:t>|</w:t>
      </w:r>
      <w:r>
        <w:rPr>
          <w:rFonts w:ascii="Arial Unicode MS" w:eastAsia="Arial Unicode MS" w:hAnsi="Arial Unicode MS" w:hint="eastAsia"/>
          <w:cs/>
          <w:lang w:bidi="sa-IN"/>
        </w:rPr>
        <w:t>क्ष</w:t>
      </w:r>
      <w:r>
        <w:t>|.</w:t>
      </w:r>
    </w:p>
  </w:footnote>
  <w:footnote w:id="73">
    <w:p w14:paraId="0BB04A5E" w14:textId="7556CC5B" w:rsidR="00431357" w:rsidRDefault="00431357" w:rsidP="00431357">
      <w:pPr>
        <w:pStyle w:val="Lbjegyzetszveg"/>
      </w:pPr>
      <w:r>
        <w:tab/>
      </w:r>
      <w:r>
        <w:rPr>
          <w:rStyle w:val="Lbjegyzet-hivatkozs"/>
        </w:rPr>
        <w:footnoteRef/>
      </w:r>
      <w:r>
        <w:tab/>
        <w:t xml:space="preserve">Meletis seems to consider our graphematic allography no different from his positional graphematic allography </w:t>
      </w:r>
      <w:r>
        <w:fldChar w:fldCharType="begin"/>
      </w:r>
      <w:r>
        <w:instrText xml:space="preserve"> ADDIN ZOTERO_ITEM CSL_CITATION {"citationID":"5upntynL","properties":{"formattedCitation":"(Meletis 2020b, 257\\uc0\\u8211{}60)","plainCitation":"(Meletis 2020b, 257–60)","noteIndex":73},"citationItems":[{"id":25429,"uris":["http://zotero.org/groups/1633743/items/2FVI2WXH"],"itemData":{"id":25429,"type":"article-journal","container-title":"Open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allography","title-short":"Meletis2020_02","volume":"6","author":[{"family":"Meletis","given":"Dimitrios"}],"issued":{"date-parts":[["2020"]]}},"locator":"257-260","label":"page"}],"schema":"https://github.com/citation-style-language/schema/raw/master/csl-citation.json"} </w:instrText>
      </w:r>
      <w:r>
        <w:fldChar w:fldCharType="separate"/>
      </w:r>
      <w:r>
        <w:rPr>
          <w:rFonts w:cs="Gentium Plus"/>
          <w:kern w:val="0"/>
          <w:szCs w:val="24"/>
        </w:rPr>
        <w:t>(Meletis 2020b, 257–60)</w:t>
      </w:r>
      <w:r>
        <w:fldChar w:fldCharType="end"/>
      </w:r>
      <w:r>
        <w:t xml:space="preserve">, except possibly for the matter of upper and lower case in Roman, about which he is undecided </w:t>
      </w:r>
      <w:r>
        <w:fldChar w:fldCharType="begin"/>
      </w:r>
      <w:r>
        <w:instrText xml:space="preserve"> ADDIN ZOTERO_ITEM CSL_CITATION {"citationID":"3L600opT","properties":{"formattedCitation":"(2020b, 260\\uc0\\u8211{}61)","plainCitation":"(2020b, 260–61)","noteIndex":73},"citationItems":[{"id":25429,"uris":["http://zotero.org/groups/1633743/items/2FVI2WXH"],"itemData":{"id":25429,"type":"article-journal","container-title":"Open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260-261","label":"page","suppress-author":true}],"schema":"https://github.com/citation-style-language/schema/raw/master/csl-citation.json"} </w:instrText>
      </w:r>
      <w:r>
        <w:fldChar w:fldCharType="separate"/>
      </w:r>
      <w:r>
        <w:rPr>
          <w:rFonts w:cs="Gentium Plus"/>
          <w:kern w:val="0"/>
          <w:szCs w:val="24"/>
        </w:rPr>
        <w:t>(2020b, 260–61)</w:t>
      </w:r>
      <w:r>
        <w:fldChar w:fldCharType="end"/>
      </w:r>
      <w:r>
        <w:t>. We are not familiar enough with the Arabic and Greek writing systems to venture an opinion on whether their alternation of positionally appropriate forms is purely graphotactic or if it can have a graphematic role.</w:t>
      </w:r>
    </w:p>
  </w:footnote>
  <w:footnote w:id="74">
    <w:p w14:paraId="0521BB23" w14:textId="77777777" w:rsidR="00431357" w:rsidRDefault="00431357" w:rsidP="00431357">
      <w:pPr>
        <w:pStyle w:val="Lbjegyzetszveg"/>
      </w:pPr>
      <w:r>
        <w:tab/>
      </w:r>
      <w:r>
        <w:rPr>
          <w:rStyle w:val="Lbjegyzet-hivatkozs"/>
        </w:rPr>
        <w:footnoteRef/>
      </w:r>
      <w:r>
        <w:tab/>
        <w:t>S</w:t>
      </w:r>
      <w:r>
        <w:rPr>
          <w:lang w:bidi="sa-IN"/>
        </w:rPr>
        <w:t xml:space="preserve">ince we have already granted grapheme status to the </w:t>
      </w:r>
      <w:r>
        <w:rPr>
          <w:rStyle w:val="Foreign"/>
        </w:rPr>
        <w:t>virāma</w:t>
      </w:r>
      <w:r>
        <w:t xml:space="preserve"> (§</w:t>
      </w:r>
      <w:r>
        <w:fldChar w:fldCharType="begin"/>
      </w:r>
      <w:r>
        <w:instrText xml:space="preserve"> REF _Ref199778443 \r \h </w:instrText>
      </w:r>
      <w:r>
        <w:fldChar w:fldCharType="separate"/>
      </w:r>
      <w:r>
        <w:t>2.5.2</w:t>
      </w:r>
      <w:r>
        <w:fldChar w:fldCharType="end"/>
      </w:r>
      <w:r>
        <w:t>), in the Devanagari example allography is only involved in the case of the grapheme &lt;e&gt;.</w:t>
      </w:r>
    </w:p>
  </w:footnote>
  <w:footnote w:id="75">
    <w:p w14:paraId="7A14F006" w14:textId="041BA97B" w:rsidR="00431357" w:rsidRDefault="00431357" w:rsidP="00431357">
      <w:pPr>
        <w:pStyle w:val="Lbjegyzetszveg"/>
      </w:pPr>
      <w:r>
        <w:tab/>
      </w:r>
      <w:r>
        <w:rPr>
          <w:rStyle w:val="Lbjegyzet-hivatkozs"/>
        </w:rPr>
        <w:footnoteRef/>
      </w:r>
      <w:r>
        <w:tab/>
        <w:t xml:space="preserve">Meletis </w:t>
      </w:r>
      <w:r>
        <w:fldChar w:fldCharType="begin"/>
      </w:r>
      <w:r>
        <w:instrText xml:space="preserve"> ADDIN ZOTERO_ITEM CSL_CITATION {"citationID":"pQowDTJV","properties":{"formattedCitation":"(2020a, 116)","plainCitation":"(2020a, 116)","noteIndex":75},"citationItems":[{"id":25329,"uris":["http://zotero.org/groups/1633743/items/F5UMNY45"],"itemData":{"id":25329,"type":"book","collection-number":"3","collection-title":"Grapholinguistics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116","label":"page","suppress-author":true}],"schema":"https://github.com/citation-style-language/schema/raw/master/csl-citation.json"} </w:instrText>
      </w:r>
      <w:r>
        <w:fldChar w:fldCharType="separate"/>
      </w:r>
      <w:r>
        <w:rPr>
          <w:rFonts w:cs="Gentium Plus"/>
        </w:rPr>
        <w:t>(2020a, 116)</w:t>
      </w:r>
      <w:r>
        <w:fldChar w:fldCharType="end"/>
      </w:r>
      <w:r>
        <w:t xml:space="preserve"> in fact makes a distinction between suprasegmental graphetic and graphematic variation, where the latter involves different basic shapes while the former does not. He offers bold and italics as an example of the former and all-caps as an example of the latter. We find this problematic, since the italic alternatives of many Roman letters (e.g. |</w:t>
      </w:r>
      <w:r>
        <w:rPr>
          <w:i/>
          <w:iCs/>
        </w:rPr>
        <w:t>g</w:t>
      </w:r>
      <w:r>
        <w:t>| and |</w:t>
      </w:r>
      <w:r>
        <w:rPr>
          <w:i/>
          <w:iCs/>
        </w:rPr>
        <w:t>a</w:t>
      </w:r>
      <w:r>
        <w:t xml:space="preserve">|) are, in Meletis’s own terms, different basic shapes than their regular counterparts (e.g. |g| and |a|). He also seems to contradict himself by equating suprasegmental graphetic variation with a “switch to a different inventory” </w:t>
      </w:r>
      <w:r>
        <w:fldChar w:fldCharType="begin"/>
      </w:r>
      <w:r>
        <w:instrText xml:space="preserve"> ADDIN ZOTERO_ITEM CSL_CITATION {"citationID":"0LgKWObC","properties":{"formattedCitation":"(Meletis 2020b, 256)","plainCitation":"(Meletis 2020b, 256)","noteIndex":75},"citationItems":[{"id":25429,"uris":["http://zotero.org/groups/1633743/items/2FVI2WXH"],"itemData":{"id":25429,"type":"article-journal","container-title":"Open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allography","title-short":"Meletis2020_02","volume":"6","author":[{"family":"Meletis","given":"Dimitrios"}],"issued":{"date-parts":[["2020"]]}},"locator":"256","label":"page"}],"schema":"https://github.com/citation-style-language/schema/raw/master/csl-citation.json"} </w:instrText>
      </w:r>
      <w:r>
        <w:fldChar w:fldCharType="separate"/>
      </w:r>
      <w:r>
        <w:rPr>
          <w:rFonts w:cs="Gentium Plus"/>
        </w:rPr>
        <w:t>(Meletis 2020b, 256)</w:t>
      </w:r>
      <w:r>
        <w:fldChar w:fldCharType="end"/>
      </w:r>
      <w:r>
        <w:t>, since a different inventory normally comprises different basic shapes, so the switch is by Meletis’s definition not graphetic but graphematic.</w:t>
      </w:r>
    </w:p>
  </w:footnote>
  <w:footnote w:id="76">
    <w:p w14:paraId="3F9B7ACE" w14:textId="77777777" w:rsidR="00FA7FDE" w:rsidRDefault="00FA7FDE" w:rsidP="00FA7FDE">
      <w:pPr>
        <w:pStyle w:val="Lbjegyzetszveg"/>
      </w:pPr>
      <w:r>
        <w:tab/>
      </w:r>
      <w:r>
        <w:rPr>
          <w:rStyle w:val="Lbjegyzet-hivatkozs"/>
        </w:rPr>
        <w:footnoteRef/>
      </w:r>
      <w:r>
        <w:tab/>
        <w:t xml:space="preserve">The pamphlet describing the ISO in full </w:t>
      </w:r>
      <w:r>
        <w:fldChar w:fldCharType="begin"/>
      </w:r>
      <w:r>
        <w:instrText xml:space="preserve"> ADDIN ZOTERO_ITEM CSL_CITATION {"citationID":"qs7LjAIm","properties":{"formattedCitation":"(International Organization for Standardization 2001)","plainCitation":"(International Organization for Standardization 2001)","noteIndex":78},"citationItems":[{"id":19377,"uris":["http://zotero.org/groups/1633743/items/P2JEJ9R5"],"itemData":{"id":19377,"type":"book","event-place":"Geneva","language":"English","note":"OCLC: 181008314","publisher":"International Organization for Standardization","publisher-place":"Geneva","title":"International Standard ISO 15919: Information and documentation, transliteration of Devanagari and related Indic scripts into Latin characters = Information et documentation, translittération du Devanagari et des écritures indiennes liées en caractères latins","title-short":"ISO15919","author":[{"literal":"International Organization for Standardization"}],"issued":{"date-parts":[["2001"]]}}}],"schema":"https://github.com/citation-style-language/schema/raw/master/csl-citation.json"} </w:instrText>
      </w:r>
      <w:r>
        <w:fldChar w:fldCharType="separate"/>
      </w:r>
      <w:r w:rsidRPr="00431357">
        <w:rPr>
          <w:rFonts w:cs="Gentium"/>
        </w:rPr>
        <w:t>(International Organization for Standardization 2001)</w:t>
      </w:r>
      <w:r>
        <w:fldChar w:fldCharType="end"/>
      </w:r>
      <w:r>
        <w:t xml:space="preserve"> is accessible to project members in our Sharedocs repository. A summary is freely available on Wikipedia </w:t>
      </w:r>
      <w:r>
        <w:fldChar w:fldCharType="begin"/>
      </w:r>
      <w:r>
        <w:instrText xml:space="preserve"> ADDIN ZOTERO_ITEM CSL_CITATION {"citationID":"A7e89JCS","properties":{"formattedCitation":"(2025b)","plainCitation":"(2025b)","noteIndex":78},"citationItems":[{"id":26956,"uris":["http://zotero.org/groups/1633743/items/HRQBSSCH"],"itemData":{"id":26956,"type":"webpage","abstract":"ISO 15919 is an international standard for the romanization of Indic scripts. Published in 2001, it is part of a series of romanization standards by the International Organization for Standardization.","container-title":"Wikipedia","language":"en","license":"Creative Commons Attribution-ShareAlike License","note":"Page Version ID: 1292297131","title":"ISO 15919","URL":"https://en.wikipedia.org/w/index.php?title=ISO_15919&amp;oldid=1292297131","author":[{"literal":"Wikipedia"}],"accessed":{"date-parts":[["2025",6,4]]},"issued":{"date-parts":[["2025"]]}},"suppress-author":true}],"schema":"https://github.com/citation-style-language/schema/raw/master/csl-citation.json"} </w:instrText>
      </w:r>
      <w:r>
        <w:fldChar w:fldCharType="separate"/>
      </w:r>
      <w:r w:rsidRPr="0077512E">
        <w:rPr>
          <w:rFonts w:cs="Gentium"/>
        </w:rPr>
        <w:t>(2025b)</w:t>
      </w:r>
      <w:r>
        <w:fldChar w:fldCharType="end"/>
      </w:r>
      <w:r>
        <w:t xml:space="preserve">. IAST is also described on Wikipedia </w:t>
      </w:r>
      <w:r>
        <w:fldChar w:fldCharType="begin"/>
      </w:r>
      <w:r>
        <w:instrText xml:space="preserve"> ADDIN ZOTERO_ITEM CSL_CITATION {"citationID":"NAjpHbxn","properties":{"formattedCitation":"(2025a)","plainCitation":"(2025a)","noteIndex":78},"citationItems":[{"id":26958,"uris":["http://zotero.org/groups/1633743/items/KBJQXL88"],"itemData":{"id":26958,"type":"webpage","abstract":"The International Alphabet of Sanskrit Transliteration (IAST) is a transliteration scheme that allows the lossless romanisation of Indic scripts as employed by Sanskrit and related Indic languages. It is based on a scheme that emerged during the 19th century from suggestions by Charles Trevelyan, William Jones, Monier Monier-Williams and other scholars, and formalised by the Transliteration Committee of the Geneva Oriental Congress, in September 1894. IAST makes it possible for the reader to read the Indic text unambiguously, exactly as if it were in the original Indic script. It is this faithfulness to the original scripts that accounts for its continuing popularity amongst scholars.","container-title":"Wikipedia","language":"en","license":"Creative Commons Attribution-ShareAlike License","note":"Page Version ID: 1270629261","title":"International Alphabet of Sanskrit Transliteration","URL":"https://en.wikipedia.org/w/index.php?title=International_Alphabet_of_Sanskrit_Transliteration&amp;oldid=1270629261","author":[{"literal":"Wikipedia"}],"accessed":{"date-parts":[["2025",6,4]]},"issued":{"date-parts":[["2025"]]}},"suppress-author":true}],"schema":"https://github.com/citation-style-language/schema/raw/master/csl-citation.json"} </w:instrText>
      </w:r>
      <w:r>
        <w:fldChar w:fldCharType="separate"/>
      </w:r>
      <w:r w:rsidRPr="0077512E">
        <w:rPr>
          <w:rFonts w:cs="Gentium"/>
        </w:rPr>
        <w:t>(2025a)</w:t>
      </w:r>
      <w:r>
        <w:fldChar w:fldCharType="end"/>
      </w:r>
      <w:r>
        <w:t>. The schemes used in many traditional Indic epigraphic publication and those still current in India have much in common with both of these, but are less standardised, and generally employ more polygraphs in order to approximate English phonological transcription better. The transliteration in the Madras</w:t>
      </w:r>
      <w:r>
        <w:rPr>
          <w:rStyle w:val="Foreign"/>
        </w:rPr>
        <w:t xml:space="preserve"> Tamil Lexicon</w:t>
      </w:r>
      <w:r>
        <w:t xml:space="preserve"> is identical to ISO-15919 on all fundamental points.</w:t>
      </w:r>
    </w:p>
  </w:footnote>
  <w:footnote w:id="77">
    <w:p w14:paraId="10490CDF" w14:textId="77777777" w:rsidR="00431357" w:rsidRDefault="00431357" w:rsidP="00431357">
      <w:pPr>
        <w:pStyle w:val="Lbjegyzetszveg"/>
      </w:pPr>
      <w:r>
        <w:tab/>
      </w:r>
      <w:r>
        <w:rPr>
          <w:rStyle w:val="Lbjegyzet-hivatkozs"/>
        </w:rPr>
        <w:footnoteRef/>
      </w:r>
      <w:r>
        <w:tab/>
        <w:t xml:space="preserve">There is no hard reason why we should not transliterate </w:t>
      </w:r>
      <w:r>
        <w:rPr>
          <w:rFonts w:hint="cs"/>
          <w:cs/>
          <w:lang w:bidi="sa-IN"/>
        </w:rPr>
        <w:t>धर्म</w:t>
      </w:r>
      <w:r>
        <w:rPr>
          <w:lang w:bidi="sa-IN"/>
        </w:rPr>
        <w:t xml:space="preserve"> as </w:t>
      </w:r>
      <w:r>
        <w:rPr>
          <w:rStyle w:val="Foreign"/>
        </w:rPr>
        <w:t>x%it%</w:t>
      </w:r>
      <w:r>
        <w:t xml:space="preserve"> (so long as the matching of source signs to target signs is consistent throughout our transliteration scheme), yet most of us prefer transliterations such as </w:t>
      </w:r>
      <w:r>
        <w:rPr>
          <w:rStyle w:val="Foreign"/>
        </w:rPr>
        <w:t>dharma</w:t>
      </w:r>
      <w:r>
        <w:t>.</w:t>
      </w:r>
    </w:p>
  </w:footnote>
  <w:footnote w:id="78">
    <w:p w14:paraId="5D7F6FB2" w14:textId="77777777" w:rsidR="00431357" w:rsidRDefault="00431357" w:rsidP="00431357">
      <w:pPr>
        <w:pStyle w:val="Lbjegyzetszveg"/>
      </w:pPr>
      <w:r>
        <w:tab/>
      </w:r>
      <w:r>
        <w:rPr>
          <w:rStyle w:val="Lbjegyzet-hivatkozs"/>
        </w:rPr>
        <w:footnoteRef/>
      </w:r>
      <w:r>
        <w:tab/>
        <w:t>As noted in §</w:t>
      </w:r>
      <w:r>
        <w:fldChar w:fldCharType="begin"/>
      </w:r>
      <w:r>
        <w:instrText xml:space="preserve"> REF _Ref199919844 \r \h </w:instrText>
      </w:r>
      <w:r>
        <w:fldChar w:fldCharType="separate"/>
      </w:r>
      <w:r>
        <w:t>3.3</w:t>
      </w:r>
      <w:r>
        <w:fldChar w:fldCharType="end"/>
      </w:r>
      <w:r>
        <w:t>, Wellisch does not define what a grapheme is. His statements about transliteration are, however, fully compatible with our grapheme definition.</w:t>
      </w:r>
    </w:p>
  </w:footnote>
  <w:footnote w:id="79">
    <w:p w14:paraId="5740AB09" w14:textId="77777777" w:rsidR="0053613B" w:rsidRDefault="0053613B" w:rsidP="0053613B">
      <w:pPr>
        <w:pStyle w:val="Lbjegyzetszveg"/>
      </w:pPr>
      <w:r>
        <w:tab/>
      </w:r>
      <w:r>
        <w:rPr>
          <w:rStyle w:val="Lbjegyzet-hivatkozs"/>
        </w:rPr>
        <w:footnoteRef/>
      </w:r>
      <w:r>
        <w:tab/>
      </w:r>
    </w:p>
  </w:footnote>
  <w:footnote w:id="80">
    <w:p w14:paraId="4B59547C" w14:textId="77777777" w:rsidR="00431357" w:rsidRDefault="00431357" w:rsidP="00431357">
      <w:pPr>
        <w:pStyle w:val="Lbjegyzetszveg"/>
        <w:rPr>
          <w:lang w:val="hu-HU"/>
        </w:rPr>
      </w:pPr>
      <w:r>
        <w:tab/>
      </w:r>
      <w:r>
        <w:rPr>
          <w:rStyle w:val="Lbjegyzet-hivatkozs"/>
        </w:rPr>
        <w:footnoteRef/>
      </w:r>
      <w:r>
        <w:tab/>
        <w:t xml:space="preserve">Note that the asterisk is also used in our scheme to distinguish special forms of </w:t>
      </w:r>
      <w:r>
        <w:rPr>
          <w:rStyle w:val="Foreign"/>
        </w:rPr>
        <w:t>anusvāra</w:t>
      </w:r>
      <w:r>
        <w:t>, §</w:t>
      </w:r>
      <w:r>
        <w:fldChar w:fldCharType="begin"/>
      </w:r>
      <w:r>
        <w:instrText xml:space="preserve"> REF _Ref40103880 \r \h </w:instrText>
      </w:r>
      <w:r>
        <w:fldChar w:fldCharType="separate"/>
      </w:r>
      <w:r>
        <w:t>5.3.8</w:t>
      </w:r>
      <w:r>
        <w:fldChar w:fldCharType="end"/>
      </w:r>
      <w:r>
        <w:t>.</w:t>
      </w:r>
    </w:p>
  </w:footnote>
  <w:footnote w:id="81">
    <w:p w14:paraId="3D0AEE17" w14:textId="77777777" w:rsidR="00431357" w:rsidRDefault="00431357" w:rsidP="00431357">
      <w:pPr>
        <w:pStyle w:val="Lbjegyzetszveg"/>
      </w:pPr>
      <w:r>
        <w:tab/>
      </w:r>
      <w:r>
        <w:rPr>
          <w:rStyle w:val="Lbjegyzet-hivatkozs"/>
        </w:rPr>
        <w:footnoteRef/>
      </w:r>
      <w:r>
        <w:tab/>
        <w:t xml:space="preserve">According to Ida Bagus Komang Sudarma (personal communication, 16 Aug. 2019), in Sasak writing </w:t>
      </w:r>
      <w:r>
        <w:rPr>
          <w:rStyle w:val="ForeignBalineseScript"/>
        </w:rPr>
        <w:t xml:space="preserve">ᬅ </w:t>
      </w:r>
      <w:r>
        <w:t xml:space="preserve">can be combined with a </w:t>
      </w:r>
      <w:r>
        <w:rPr>
          <w:rStyle w:val="Foreign"/>
        </w:rPr>
        <w:t>pasangan</w:t>
      </w:r>
      <w:r>
        <w:t xml:space="preserve"> consonant, e.g. </w:t>
      </w:r>
      <w:r>
        <w:rPr>
          <w:rStyle w:val="ForeignBalineseScript"/>
        </w:rPr>
        <w:t>ᬅ᭄ᬳᬶ</w:t>
      </w:r>
      <w:r>
        <w:t xml:space="preserve"> </w:t>
      </w:r>
      <w:r>
        <w:rPr>
          <w:rStyle w:val="Foreign"/>
        </w:rPr>
        <w:t>qhi</w:t>
      </w:r>
      <w:r>
        <w:t xml:space="preserve"> and</w:t>
      </w:r>
      <w:r>
        <w:rPr>
          <w:rStyle w:val="ForeignBalineseScript"/>
        </w:rPr>
        <w:t xml:space="preserve"> ᬅ᭄ᬳᬸ </w:t>
      </w:r>
      <w:r>
        <w:rPr>
          <w:rStyle w:val="Foreign"/>
        </w:rPr>
        <w:t>qhu</w:t>
      </w:r>
      <w:r>
        <w:t xml:space="preserve">, but cannot itself become a </w:t>
      </w:r>
      <w:r>
        <w:rPr>
          <w:rStyle w:val="Foreign"/>
        </w:rPr>
        <w:t>pasangan</w:t>
      </w:r>
      <w:r>
        <w:t>, while in Balinese writing neither possibility exists.</w:t>
      </w:r>
    </w:p>
  </w:footnote>
  <w:footnote w:id="82">
    <w:p w14:paraId="675CC869" w14:textId="77777777" w:rsidR="00431357" w:rsidRDefault="00431357" w:rsidP="00431357">
      <w:pPr>
        <w:pStyle w:val="Lbjegyzetszveg"/>
        <w:rPr>
          <w:lang w:val="hu-HU"/>
        </w:rPr>
      </w:pPr>
      <w:r>
        <w:tab/>
      </w:r>
      <w:r>
        <w:rPr>
          <w:rStyle w:val="Lbjegyzet-hivatkozs"/>
        </w:rPr>
        <w:footnoteRef/>
      </w:r>
      <w:r>
        <w:tab/>
        <w:t xml:space="preserve">The example is taken from Modern Khmer. The combination </w:t>
      </w:r>
      <w:r>
        <w:rPr>
          <w:rStyle w:val="Foreign"/>
        </w:rPr>
        <w:t>ae</w:t>
      </w:r>
      <w:r>
        <w:t xml:space="preserve"> is not included in the DHARMA system because it does not exist in Old Khmer, but it does not seem to cause any problems with our system.</w:t>
      </w:r>
    </w:p>
  </w:footnote>
  <w:footnote w:id="83">
    <w:p w14:paraId="6D815F19" w14:textId="77777777" w:rsidR="00431357" w:rsidRDefault="00431357" w:rsidP="00431357">
      <w:pPr>
        <w:pStyle w:val="Lbjegyzetszveg"/>
        <w:rPr>
          <w:lang w:val="hu-HU"/>
        </w:rPr>
      </w:pPr>
      <w:r>
        <w:tab/>
      </w:r>
      <w:r>
        <w:rPr>
          <w:rStyle w:val="Lbjegyzet-hivatkozs"/>
        </w:rPr>
        <w:footnoteRef/>
      </w:r>
      <w:r>
        <w:tab/>
        <w:t xml:space="preserve">See also </w:t>
      </w:r>
      <w:r>
        <w:fldChar w:fldCharType="begin"/>
      </w:r>
      <w:r>
        <w:instrText xml:space="preserve"> REF _Ref15558434 \r \h </w:instrText>
      </w:r>
      <w:r>
        <w:fldChar w:fldCharType="separate"/>
      </w:r>
      <w:r>
        <w:t>5.3.5</w:t>
      </w:r>
      <w:r>
        <w:fldChar w:fldCharType="end"/>
      </w:r>
      <w:r>
        <w:t xml:space="preserve"> about the colon as a length marker.</w:t>
      </w:r>
    </w:p>
  </w:footnote>
  <w:footnote w:id="84">
    <w:p w14:paraId="172A450F" w14:textId="77777777" w:rsidR="00431357" w:rsidRDefault="00431357" w:rsidP="00431357">
      <w:pPr>
        <w:pStyle w:val="Lbjegyzetszveg"/>
      </w:pPr>
      <w:r>
        <w:tab/>
      </w:r>
      <w:r>
        <w:rPr>
          <w:rStyle w:val="Lbjegyzet-hivatkozs"/>
        </w:rPr>
        <w:footnoteRef/>
      </w:r>
      <w:r>
        <w:tab/>
        <w:t xml:space="preserve">It would be possible to view these as different characters that happen to manifest as identical-looking glyphs: this phenomenon is known as synoglyphy and happens e.g. in the case of </w:t>
      </w:r>
      <w:r>
        <w:rPr>
          <w:rFonts w:asciiTheme="majorHAnsi" w:hAnsiTheme="majorHAnsi" w:cstheme="majorHAnsi"/>
        </w:rPr>
        <w:t>I</w:t>
      </w:r>
      <w:r>
        <w:t xml:space="preserve"> (uppercase i) and </w:t>
      </w:r>
      <w:r>
        <w:rPr>
          <w:rFonts w:asciiTheme="majorHAnsi" w:hAnsiTheme="majorHAnsi" w:cstheme="majorHAnsi"/>
        </w:rPr>
        <w:t>l</w:t>
      </w:r>
      <w:r>
        <w:t xml:space="preserve"> (lowercase L) in Latin script printed in a sans-serif font. In this case we would transliterate them according to their function in context and disregard their appearance. However, we find that this approach would cover up palaeographically interesting and important features of the original. For a modern Western parallel, the text “going 2 bed” is not entirely equivalent to “going to bed”, and “2” and “to” are not synoglyphic.</w:t>
      </w:r>
    </w:p>
  </w:footnote>
  <w:footnote w:id="85">
    <w:p w14:paraId="4BA81768" w14:textId="77777777" w:rsidR="00431357" w:rsidRDefault="00431357" w:rsidP="00431357">
      <w:pPr>
        <w:pStyle w:val="Lbjegyzetszveg"/>
      </w:pPr>
      <w:r>
        <w:tab/>
      </w:r>
      <w:r>
        <w:rPr>
          <w:rStyle w:val="Lbjegyzet-hivatkozs"/>
        </w:rPr>
        <w:footnoteRef/>
      </w:r>
      <w:r>
        <w:tab/>
        <w:t>Note that as per §</w:t>
      </w:r>
      <w:r>
        <w:fldChar w:fldCharType="begin"/>
      </w:r>
      <w:r>
        <w:instrText xml:space="preserve"> REF _Ref38379878 \r \h </w:instrText>
      </w:r>
      <w:r>
        <w:fldChar w:fldCharType="separate"/>
      </w:r>
      <w:r>
        <w:t>4.2.2</w:t>
      </w:r>
      <w:r>
        <w:fldChar w:fldCharType="end"/>
      </w:r>
      <w:r>
        <w:t xml:space="preserve">, in the loose transliteration of this example, </w:t>
      </w:r>
      <w:r>
        <w:rPr>
          <w:rStyle w:val="Foreign"/>
        </w:rPr>
        <w:t>ṁ</w:t>
      </w:r>
      <w:r>
        <w:t xml:space="preserve"> and </w:t>
      </w:r>
      <w:r>
        <w:rPr>
          <w:rStyle w:val="Foreign"/>
        </w:rPr>
        <w:t>ṁṅ</w:t>
      </w:r>
      <w:r>
        <w:t xml:space="preserve"> are both represented by </w:t>
      </w:r>
      <w:r>
        <w:rPr>
          <w:rStyle w:val="Foreign"/>
        </w:rPr>
        <w:t>ṅ</w:t>
      </w:r>
      <w:r>
        <w:t xml:space="preserve"> (being the sign selected to represent phoneme /</w:t>
      </w:r>
      <w:r>
        <w:rPr>
          <w:rFonts w:hint="cs"/>
        </w:rPr>
        <w:t>ŋ</w:t>
      </w:r>
      <w:r>
        <w:t xml:space="preserve">/). Simultaneously, </w:t>
      </w:r>
      <w:r>
        <w:rPr>
          <w:rStyle w:val="Foreign"/>
        </w:rPr>
        <w:t>n:</w:t>
      </w:r>
      <w:r>
        <w:t xml:space="preserve"> (theoretically denoting /nn/) is simplified to </w:t>
      </w:r>
      <w:r>
        <w:rPr>
          <w:rStyle w:val="Foreign"/>
        </w:rPr>
        <w:t>n</w:t>
      </w:r>
      <w:r>
        <w:t xml:space="preserve">, and </w:t>
      </w:r>
      <w:r>
        <w:rPr>
          <w:rStyle w:val="Foreign"/>
        </w:rPr>
        <w:t>ṁṅ</w:t>
      </w:r>
      <w:r>
        <w:t xml:space="preserve"> (theoretically /ṅṅ/) is simplified to </w:t>
      </w:r>
      <w:r>
        <w:rPr>
          <w:rStyle w:val="Foreign"/>
        </w:rPr>
        <w:t>ṅ</w:t>
      </w:r>
      <w:r>
        <w:t>, because consonant gemination is not considered to be a phonemic feature of the language, but rather an orthographic particularity.</w:t>
      </w:r>
    </w:p>
  </w:footnote>
  <w:footnote w:id="86">
    <w:p w14:paraId="0A96CB26" w14:textId="77777777" w:rsidR="00431357" w:rsidRDefault="00431357" w:rsidP="00431357">
      <w:pPr>
        <w:pStyle w:val="Lbjegyzetszveg"/>
        <w:ind w:hanging="113"/>
      </w:pPr>
      <w:r>
        <w:rPr>
          <w:rStyle w:val="Lbjegyzet-hivatkozs"/>
        </w:rPr>
        <w:footnoteRef/>
      </w:r>
      <w:r>
        <w:t xml:space="preserve"> This is a conscious decision of the authors of this Guide, who consider that we need to impose a limit on the granularity of our representation of potentially interesting phenomena. However, it is possible to use sub-</w:t>
      </w:r>
      <w:r>
        <w:rPr>
          <w:rStyle w:val="Foreign"/>
        </w:rPr>
        <w:t>akṣara</w:t>
      </w:r>
      <w:r>
        <w:t xml:space="preserve"> markup (EGD §4.1.2) to encode the relative positions of certain character components, if you consider it necessary to do so.</w:t>
      </w:r>
    </w:p>
  </w:footnote>
  <w:footnote w:id="87">
    <w:p w14:paraId="55FC2687" w14:textId="77777777" w:rsidR="00431357" w:rsidRDefault="00431357" w:rsidP="00431357">
      <w:pPr>
        <w:pStyle w:val="Lbjegyzetszveg"/>
      </w:pPr>
      <w:r>
        <w:tab/>
      </w:r>
      <w:r>
        <w:rPr>
          <w:rStyle w:val="Lbjegyzet-hivatkozs"/>
        </w:rPr>
        <w:footnoteRef/>
      </w:r>
      <w:r>
        <w:tab/>
        <w:t>This shorthand may be used in place of the tagging of numeric signs as per EGD §4.2.2, but it does not replace the semantic markup for the value of numerals (EGD §7.1), which is mandatory in XML files for all numerals including those inscribed in the place-value system.</w:t>
      </w:r>
    </w:p>
  </w:footnote>
  <w:footnote w:id="88">
    <w:p w14:paraId="455EEBF3" w14:textId="77777777" w:rsidR="00431357" w:rsidRDefault="00431357" w:rsidP="00431357">
      <w:pPr>
        <w:pStyle w:val="Lbjegyzetszveg"/>
        <w:rPr>
          <w:lang w:val="hu-HU"/>
        </w:rPr>
      </w:pPr>
      <w:r>
        <w:tab/>
      </w:r>
      <w:r>
        <w:rPr>
          <w:rStyle w:val="Lbjegyzet-hivatkozs"/>
        </w:rPr>
        <w:footnoteRef/>
      </w:r>
      <w:r>
        <w:tab/>
        <w:t xml:space="preserve">Keep in mind, however, </w:t>
      </w:r>
      <w:r>
        <w:rPr>
          <w:lang w:eastAsia="en-GB"/>
        </w:rPr>
        <w:t>numerals 1 to 10 do not need this + sign even if they are used in an additive system (in combination with signs for tens or hundreds), since these are represented by a single transliteration character.</w:t>
      </w:r>
    </w:p>
  </w:footnote>
  <w:footnote w:id="89">
    <w:p w14:paraId="658E9A1F" w14:textId="77777777" w:rsidR="00431357" w:rsidRDefault="00431357" w:rsidP="00431357">
      <w:pPr>
        <w:pStyle w:val="Lbjegyzetszveg"/>
        <w:rPr>
          <w:lang w:val="hu-HU"/>
        </w:rPr>
      </w:pPr>
      <w:r>
        <w:tab/>
      </w:r>
      <w:r>
        <w:rPr>
          <w:rStyle w:val="Lbjegyzet-hivatkozs"/>
        </w:rPr>
        <w:footnoteRef/>
      </w:r>
      <w:r>
        <w:tab/>
        <w:t>Although further “vulgar fraction” signs are available in the Unicode code table, they are absent from many fonts and not easily accessible via the keyboard. We have therefore chosen to use single Unicode characters only for an arbitrarily delimited set of common fractions.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7288F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0AF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107C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FAD3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C6D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F81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ACB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B800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32FF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A476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46E5"/>
    <w:multiLevelType w:val="multilevel"/>
    <w:tmpl w:val="0526F8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20776C2"/>
    <w:multiLevelType w:val="hybridMultilevel"/>
    <w:tmpl w:val="F97A8352"/>
    <w:lvl w:ilvl="0" w:tplc="B96038A8">
      <w:start w:val="1"/>
      <w:numFmt w:val="bullet"/>
      <w:pStyle w:val="TableNot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2FD5A07"/>
    <w:multiLevelType w:val="multilevel"/>
    <w:tmpl w:val="2CAC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232C3"/>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18E42628"/>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0923986"/>
    <w:multiLevelType w:val="multilevel"/>
    <w:tmpl w:val="29A4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2D14"/>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4FF06EF"/>
    <w:multiLevelType w:val="multilevel"/>
    <w:tmpl w:val="E00226F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5C0657B"/>
    <w:multiLevelType w:val="multilevel"/>
    <w:tmpl w:val="28ACCB18"/>
    <w:lvl w:ilvl="0">
      <w:start w:val="1"/>
      <w:numFmt w:val="bullet"/>
      <w:pStyle w:val="Lista"/>
      <w:lvlText w:val="–"/>
      <w:lvlJc w:val="left"/>
      <w:pPr>
        <w:ind w:left="170" w:hanging="170"/>
      </w:pPr>
      <w:rPr>
        <w:rFonts w:hint="default"/>
      </w:rPr>
    </w:lvl>
    <w:lvl w:ilvl="1">
      <w:start w:val="1"/>
      <w:numFmt w:val="bullet"/>
      <w:pStyle w:val="Lista2"/>
      <w:lvlText w:val="–"/>
      <w:lvlJc w:val="left"/>
      <w:pPr>
        <w:ind w:left="340" w:hanging="170"/>
      </w:pPr>
      <w:rPr>
        <w:rFonts w:hint="default"/>
      </w:rPr>
    </w:lvl>
    <w:lvl w:ilvl="2">
      <w:start w:val="1"/>
      <w:numFmt w:val="bullet"/>
      <w:pStyle w:val="Lista3"/>
      <w:lvlText w:val="–"/>
      <w:lvlJc w:val="left"/>
      <w:pPr>
        <w:ind w:left="510" w:hanging="170"/>
      </w:pPr>
      <w:rPr>
        <w:rFonts w:hint="default"/>
      </w:rPr>
    </w:lvl>
    <w:lvl w:ilvl="3">
      <w:start w:val="1"/>
      <w:numFmt w:val="bullet"/>
      <w:pStyle w:val="Lista4"/>
      <w:lvlText w:val="–"/>
      <w:lvlJc w:val="left"/>
      <w:pPr>
        <w:ind w:left="680" w:hanging="170"/>
      </w:pPr>
      <w:rPr>
        <w:rFonts w:hint="default"/>
      </w:rPr>
    </w:lvl>
    <w:lvl w:ilvl="4">
      <w:start w:val="1"/>
      <w:numFmt w:val="bullet"/>
      <w:pStyle w:val="Lista5"/>
      <w:lvlText w:val="–"/>
      <w:lvlJc w:val="left"/>
      <w:pPr>
        <w:ind w:left="850" w:hanging="170"/>
      </w:pPr>
      <w:rPr>
        <w:rFonts w:hint="default"/>
      </w:rPr>
    </w:lvl>
    <w:lvl w:ilvl="5">
      <w:start w:val="1"/>
      <w:numFmt w:val="bullet"/>
      <w:lvlText w:val="–"/>
      <w:lvlJc w:val="left"/>
      <w:pPr>
        <w:ind w:left="1020" w:hanging="170"/>
      </w:pPr>
      <w:rPr>
        <w:rFonts w:hint="default"/>
      </w:rPr>
    </w:lvl>
    <w:lvl w:ilvl="6">
      <w:start w:val="1"/>
      <w:numFmt w:val="bullet"/>
      <w:lvlText w:val="–"/>
      <w:lvlJc w:val="left"/>
      <w:pPr>
        <w:ind w:left="1190" w:hanging="170"/>
      </w:pPr>
      <w:rPr>
        <w:rFonts w:hint="default"/>
      </w:rPr>
    </w:lvl>
    <w:lvl w:ilvl="7">
      <w:start w:val="1"/>
      <w:numFmt w:val="bullet"/>
      <w:lvlText w:val="–"/>
      <w:lvlJc w:val="left"/>
      <w:pPr>
        <w:ind w:left="1360" w:hanging="170"/>
      </w:pPr>
      <w:rPr>
        <w:rFonts w:hint="default"/>
      </w:rPr>
    </w:lvl>
    <w:lvl w:ilvl="8">
      <w:start w:val="1"/>
      <w:numFmt w:val="bullet"/>
      <w:lvlText w:val="–"/>
      <w:lvlJc w:val="left"/>
      <w:pPr>
        <w:ind w:left="1530" w:hanging="170"/>
      </w:pPr>
      <w:rPr>
        <w:rFonts w:hint="default"/>
      </w:rPr>
    </w:lvl>
  </w:abstractNum>
  <w:abstractNum w:abstractNumId="19" w15:restartNumberingAfterBreak="0">
    <w:nsid w:val="25F607E2"/>
    <w:multiLevelType w:val="multilevel"/>
    <w:tmpl w:val="2B92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E20B5"/>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2B7A2E39"/>
    <w:multiLevelType w:val="multilevel"/>
    <w:tmpl w:val="09AA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F4B47"/>
    <w:multiLevelType w:val="multilevel"/>
    <w:tmpl w:val="56E2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0127F"/>
    <w:multiLevelType w:val="hybridMultilevel"/>
    <w:tmpl w:val="BA0CE19C"/>
    <w:lvl w:ilvl="0" w:tplc="C04012B0">
      <w:start w:val="1"/>
      <w:numFmt w:val="bullet"/>
      <w:lvlText w:val="–"/>
      <w:lvlJc w:val="left"/>
      <w:pPr>
        <w:ind w:left="720" w:hanging="360"/>
      </w:pPr>
      <w:rPr>
        <w:rFonts w:ascii="Arial" w:hAnsi="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6BD2E59"/>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385C5177"/>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4089003F"/>
    <w:multiLevelType w:val="multilevel"/>
    <w:tmpl w:val="C69AAC88"/>
    <w:lvl w:ilvl="0">
      <w:start w:val="1"/>
      <w:numFmt w:val="bullet"/>
      <w:lvlText w:val="–"/>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3C769A7"/>
    <w:multiLevelType w:val="multilevel"/>
    <w:tmpl w:val="2A5C878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7D90FCF"/>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49296B4C"/>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49712D0C"/>
    <w:multiLevelType w:val="multilevel"/>
    <w:tmpl w:val="C57E0F84"/>
    <w:lvl w:ilvl="0">
      <w:start w:val="1"/>
      <w:numFmt w:val="bullet"/>
      <w:lvlText w:val="–"/>
      <w:lvlJc w:val="left"/>
      <w:pPr>
        <w:ind w:left="170" w:hanging="170"/>
      </w:pPr>
      <w:rPr>
        <w:rFonts w:ascii="Arial" w:eastAsia="Arial" w:hAnsi="Arial" w:cs="Arial"/>
      </w:rPr>
    </w:lvl>
    <w:lvl w:ilvl="1">
      <w:start w:val="1"/>
      <w:numFmt w:val="bullet"/>
      <w:lvlText w:val="–"/>
      <w:lvlJc w:val="left"/>
      <w:pPr>
        <w:ind w:left="340" w:hanging="170"/>
      </w:pPr>
      <w:rPr>
        <w:rFonts w:ascii="Arial" w:eastAsia="Arial" w:hAnsi="Arial" w:cs="Arial"/>
      </w:rPr>
    </w:lvl>
    <w:lvl w:ilvl="2">
      <w:start w:val="1"/>
      <w:numFmt w:val="bullet"/>
      <w:lvlText w:val="–"/>
      <w:lvlJc w:val="left"/>
      <w:pPr>
        <w:ind w:left="510" w:hanging="170"/>
      </w:pPr>
      <w:rPr>
        <w:rFonts w:ascii="Arial" w:eastAsia="Arial" w:hAnsi="Arial" w:cs="Arial"/>
      </w:rPr>
    </w:lvl>
    <w:lvl w:ilvl="3">
      <w:start w:val="1"/>
      <w:numFmt w:val="bullet"/>
      <w:lvlText w:val="–"/>
      <w:lvlJc w:val="left"/>
      <w:pPr>
        <w:ind w:left="680" w:hanging="170"/>
      </w:pPr>
      <w:rPr>
        <w:rFonts w:ascii="Arial" w:eastAsia="Arial" w:hAnsi="Arial" w:cs="Arial"/>
      </w:rPr>
    </w:lvl>
    <w:lvl w:ilvl="4">
      <w:start w:val="1"/>
      <w:numFmt w:val="bullet"/>
      <w:lvlText w:val="–"/>
      <w:lvlJc w:val="left"/>
      <w:pPr>
        <w:ind w:left="850" w:hanging="170"/>
      </w:pPr>
      <w:rPr>
        <w:rFonts w:ascii="Arial" w:eastAsia="Arial" w:hAnsi="Arial" w:cs="Arial"/>
      </w:r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31" w15:restartNumberingAfterBreak="0">
    <w:nsid w:val="59B4142A"/>
    <w:multiLevelType w:val="hybridMultilevel"/>
    <w:tmpl w:val="9612D1C8"/>
    <w:lvl w:ilvl="0" w:tplc="ED1A94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77591"/>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F6E0493"/>
    <w:multiLevelType w:val="hybridMultilevel"/>
    <w:tmpl w:val="4CB8B6D8"/>
    <w:lvl w:ilvl="0" w:tplc="40381EE0">
      <w:start w:val="1"/>
      <w:numFmt w:val="bullet"/>
      <w:lvlText w:val="–"/>
      <w:lvlJc w:val="left"/>
      <w:pPr>
        <w:tabs>
          <w:tab w:val="num" w:pos="720"/>
        </w:tabs>
        <w:ind w:left="720" w:hanging="360"/>
      </w:pPr>
      <w:rPr>
        <w:rFonts w:ascii="Arial" w:hAnsi="Aria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16cid:durableId="2057702167">
    <w:abstractNumId w:val="18"/>
  </w:num>
  <w:num w:numId="2" w16cid:durableId="83455366">
    <w:abstractNumId w:val="11"/>
  </w:num>
  <w:num w:numId="3" w16cid:durableId="331765241">
    <w:abstractNumId w:val="27"/>
  </w:num>
  <w:num w:numId="4" w16cid:durableId="2066298926">
    <w:abstractNumId w:val="27"/>
  </w:num>
  <w:num w:numId="5" w16cid:durableId="1946305517">
    <w:abstractNumId w:val="10"/>
  </w:num>
  <w:num w:numId="6" w16cid:durableId="1070925572">
    <w:abstractNumId w:val="26"/>
  </w:num>
  <w:num w:numId="7" w16cid:durableId="1028873684">
    <w:abstractNumId w:val="27"/>
  </w:num>
  <w:num w:numId="8" w16cid:durableId="710344916">
    <w:abstractNumId w:val="27"/>
  </w:num>
  <w:num w:numId="9" w16cid:durableId="1442066666">
    <w:abstractNumId w:val="27"/>
  </w:num>
  <w:num w:numId="10" w16cid:durableId="331613568">
    <w:abstractNumId w:val="27"/>
  </w:num>
  <w:num w:numId="11" w16cid:durableId="178550524">
    <w:abstractNumId w:val="27"/>
  </w:num>
  <w:num w:numId="12" w16cid:durableId="252207383">
    <w:abstractNumId w:val="11"/>
  </w:num>
  <w:num w:numId="13" w16cid:durableId="824589248">
    <w:abstractNumId w:val="11"/>
  </w:num>
  <w:num w:numId="14" w16cid:durableId="976489849">
    <w:abstractNumId w:val="11"/>
  </w:num>
  <w:num w:numId="15" w16cid:durableId="792332305">
    <w:abstractNumId w:val="30"/>
  </w:num>
  <w:num w:numId="16" w16cid:durableId="1259405714">
    <w:abstractNumId w:val="33"/>
  </w:num>
  <w:num w:numId="17" w16cid:durableId="214196320">
    <w:abstractNumId w:val="23"/>
  </w:num>
  <w:num w:numId="18" w16cid:durableId="1781220842">
    <w:abstractNumId w:val="9"/>
  </w:num>
  <w:num w:numId="19" w16cid:durableId="1779181840">
    <w:abstractNumId w:val="7"/>
  </w:num>
  <w:num w:numId="20" w16cid:durableId="472143331">
    <w:abstractNumId w:val="6"/>
  </w:num>
  <w:num w:numId="21" w16cid:durableId="1196889334">
    <w:abstractNumId w:val="5"/>
  </w:num>
  <w:num w:numId="22" w16cid:durableId="255290938">
    <w:abstractNumId w:val="4"/>
  </w:num>
  <w:num w:numId="23" w16cid:durableId="1845514593">
    <w:abstractNumId w:val="8"/>
  </w:num>
  <w:num w:numId="24" w16cid:durableId="299924871">
    <w:abstractNumId w:val="3"/>
  </w:num>
  <w:num w:numId="25" w16cid:durableId="985011726">
    <w:abstractNumId w:val="2"/>
  </w:num>
  <w:num w:numId="26" w16cid:durableId="1415473489">
    <w:abstractNumId w:val="1"/>
  </w:num>
  <w:num w:numId="27" w16cid:durableId="1035740906">
    <w:abstractNumId w:val="0"/>
  </w:num>
  <w:num w:numId="28" w16cid:durableId="51585552">
    <w:abstractNumId w:val="24"/>
  </w:num>
  <w:num w:numId="29" w16cid:durableId="1493527981">
    <w:abstractNumId w:val="31"/>
  </w:num>
  <w:num w:numId="30" w16cid:durableId="1734115260">
    <w:abstractNumId w:val="16"/>
  </w:num>
  <w:num w:numId="31" w16cid:durableId="873620127">
    <w:abstractNumId w:val="32"/>
  </w:num>
  <w:num w:numId="32" w16cid:durableId="150026328">
    <w:abstractNumId w:val="25"/>
  </w:num>
  <w:num w:numId="33" w16cid:durableId="1674184613">
    <w:abstractNumId w:val="20"/>
  </w:num>
  <w:num w:numId="34" w16cid:durableId="55275941">
    <w:abstractNumId w:val="13"/>
  </w:num>
  <w:num w:numId="35" w16cid:durableId="691541724">
    <w:abstractNumId w:val="15"/>
  </w:num>
  <w:num w:numId="36" w16cid:durableId="2145267758">
    <w:abstractNumId w:val="22"/>
  </w:num>
  <w:num w:numId="37" w16cid:durableId="84809069">
    <w:abstractNumId w:val="19"/>
  </w:num>
  <w:num w:numId="38" w16cid:durableId="1475835976">
    <w:abstractNumId w:val="14"/>
  </w:num>
  <w:num w:numId="39" w16cid:durableId="1033843732">
    <w:abstractNumId w:val="12"/>
  </w:num>
  <w:num w:numId="40" w16cid:durableId="1193879245">
    <w:abstractNumId w:val="21"/>
  </w:num>
  <w:num w:numId="41" w16cid:durableId="1144353052">
    <w:abstractNumId w:val="29"/>
  </w:num>
  <w:num w:numId="42" w16cid:durableId="646857827">
    <w:abstractNumId w:val="28"/>
  </w:num>
  <w:num w:numId="43" w16cid:durableId="136158809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avedView" w:val="3"/>
    <w:docVar w:name="varHeight1" w:val="1085"/>
    <w:docVar w:name="varLeft1" w:val="-5"/>
    <w:docVar w:name="varNavHeight" w:val="1238"/>
    <w:docVar w:name="varNavLeft" w:val="0"/>
    <w:docVar w:name="varNavPosition" w:val="0"/>
    <w:docVar w:name="varNavTop" w:val="0"/>
    <w:docVar w:name="varNavVisible" w:val="True"/>
    <w:docVar w:name="varNavWidth" w:val="314"/>
    <w:docVar w:name="varPagination1" w:val="True"/>
    <w:docVar w:name="varRevCount1" w:val="0"/>
    <w:docVar w:name="varSavedView1" w:val="3"/>
    <w:docVar w:name="varSelStart1" w:val="151354"/>
    <w:docVar w:name="varTop1" w:val="0"/>
    <w:docVar w:name="varWidth1" w:val="1111"/>
    <w:docVar w:name="varWindowCount" w:val="1"/>
    <w:docVar w:name="varZoom" w:val="140"/>
    <w:docVar w:name="varZoom1" w:val="140"/>
  </w:docVars>
  <w:rsids>
    <w:rsidRoot w:val="00431357"/>
    <w:rsid w:val="00012166"/>
    <w:rsid w:val="000338DB"/>
    <w:rsid w:val="000C32C7"/>
    <w:rsid w:val="00163D20"/>
    <w:rsid w:val="0019197A"/>
    <w:rsid w:val="00230919"/>
    <w:rsid w:val="00233227"/>
    <w:rsid w:val="0024145F"/>
    <w:rsid w:val="00270F8F"/>
    <w:rsid w:val="002C57C5"/>
    <w:rsid w:val="004045EF"/>
    <w:rsid w:val="00431357"/>
    <w:rsid w:val="004355F3"/>
    <w:rsid w:val="004502D2"/>
    <w:rsid w:val="00492C05"/>
    <w:rsid w:val="004C06F8"/>
    <w:rsid w:val="004F4D35"/>
    <w:rsid w:val="0053613B"/>
    <w:rsid w:val="005A7DE3"/>
    <w:rsid w:val="005C76DB"/>
    <w:rsid w:val="005F447B"/>
    <w:rsid w:val="0061069C"/>
    <w:rsid w:val="006239EE"/>
    <w:rsid w:val="00625248"/>
    <w:rsid w:val="006B3D2E"/>
    <w:rsid w:val="006E06E0"/>
    <w:rsid w:val="007465A4"/>
    <w:rsid w:val="0077512E"/>
    <w:rsid w:val="007F36CC"/>
    <w:rsid w:val="00825900"/>
    <w:rsid w:val="0087033A"/>
    <w:rsid w:val="00A37F47"/>
    <w:rsid w:val="00A73125"/>
    <w:rsid w:val="00B34223"/>
    <w:rsid w:val="00BA03B9"/>
    <w:rsid w:val="00BE27A3"/>
    <w:rsid w:val="00C00EF3"/>
    <w:rsid w:val="00CA5448"/>
    <w:rsid w:val="00CB3143"/>
    <w:rsid w:val="00CC4081"/>
    <w:rsid w:val="00CD4529"/>
    <w:rsid w:val="00CF06CF"/>
    <w:rsid w:val="00D61448"/>
    <w:rsid w:val="00DC2002"/>
    <w:rsid w:val="00E564D2"/>
    <w:rsid w:val="00F42AF8"/>
    <w:rsid w:val="00FA7FDE"/>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264EC"/>
  <w15:docId w15:val="{20D93301-9382-4E79-8A0F-4475F48D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ntium Plus" w:eastAsia="Arial Unicode MS" w:hAnsi="Gentium Plus" w:cs="Gentium Plus"/>
        <w:sz w:val="24"/>
        <w:szCs w:val="24"/>
        <w:lang w:val="en-GB" w:eastAsia="zh-TW" w:bidi="hi-IN"/>
      </w:rPr>
    </w:rPrDefault>
    <w:pPrDefault>
      <w:pPr>
        <w:widowControl w:val="0"/>
        <w:ind w:left="170"/>
        <w:jc w:val="both"/>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24" w:unhideWhenUsed="1" w:qFormat="1"/>
    <w:lsdException w:name="footer" w:semiHidden="1" w:uiPriority="2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 w:unhideWhenUsed="1" w:qFormat="1"/>
    <w:lsdException w:name="List Bullet" w:semiHidden="1" w:unhideWhenUsed="1"/>
    <w:lsdException w:name="List Number" w:semiHidden="1" w:unhideWhenUsed="1"/>
    <w:lsdException w:name="List 2" w:semiHidden="1" w:uiPriority="7" w:unhideWhenUsed="1"/>
    <w:lsdException w:name="List 3" w:semiHidden="1" w:uiPriority="7" w:unhideWhenUsed="1"/>
    <w:lsdException w:name="List 4" w:semiHidden="1" w:uiPriority="7" w:unhideWhenUsed="1"/>
    <w:lsdException w:name="List 5" w:semiHidden="1" w:uiPriority="7"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7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42AF8"/>
    <w:pPr>
      <w:widowControl/>
      <w:spacing w:line="280" w:lineRule="exact"/>
      <w:ind w:left="0"/>
    </w:pPr>
    <w:rPr>
      <w:rFonts w:ascii="Gentium" w:eastAsiaTheme="minorEastAsia" w:hAnsi="Gentium" w:cs="Tiro Devanagari Sanskrit"/>
      <w:kern w:val="2"/>
      <w:sz w:val="22"/>
      <w:szCs w:val="22"/>
      <w14:ligatures w14:val="standardContextual"/>
    </w:rPr>
  </w:style>
  <w:style w:type="paragraph" w:styleId="Cmsor1">
    <w:name w:val="heading 1"/>
    <w:basedOn w:val="Norml"/>
    <w:next w:val="Norml"/>
    <w:link w:val="Cmsor1Char"/>
    <w:uiPriority w:val="4"/>
    <w:qFormat/>
    <w:rsid w:val="00F42AF8"/>
    <w:pPr>
      <w:keepNext/>
      <w:pageBreakBefore/>
      <w:numPr>
        <w:numId w:val="11"/>
      </w:numPr>
      <w:pBdr>
        <w:bottom w:val="thinThickMediumGap" w:sz="24" w:space="1" w:color="auto"/>
      </w:pBdr>
      <w:tabs>
        <w:tab w:val="left" w:pos="425"/>
      </w:tabs>
      <w:autoSpaceDE w:val="0"/>
      <w:autoSpaceDN w:val="0"/>
      <w:spacing w:before="240" w:after="240" w:line="360" w:lineRule="exact"/>
      <w:jc w:val="center"/>
      <w:outlineLvl w:val="0"/>
    </w:pPr>
    <w:rPr>
      <w:rFonts w:ascii="Calibri" w:eastAsia="Arial Unicode MS" w:hAnsi="Calibri"/>
      <w:b/>
      <w:bCs/>
      <w:kern w:val="32"/>
      <w:sz w:val="32"/>
      <w:szCs w:val="30"/>
      <w:lang w:eastAsia="en-US" w:bidi="ar-SA"/>
      <w14:ligatures w14:val="none"/>
    </w:rPr>
  </w:style>
  <w:style w:type="paragraph" w:styleId="Cmsor2">
    <w:name w:val="heading 2"/>
    <w:basedOn w:val="Cmsor1"/>
    <w:next w:val="Norml"/>
    <w:link w:val="Cmsor2Char"/>
    <w:uiPriority w:val="4"/>
    <w:qFormat/>
    <w:rsid w:val="00F42AF8"/>
    <w:pPr>
      <w:pageBreakBefore w:val="0"/>
      <w:numPr>
        <w:ilvl w:val="1"/>
      </w:numPr>
      <w:pBdr>
        <w:bottom w:val="double" w:sz="12" w:space="1" w:color="auto"/>
      </w:pBdr>
      <w:tabs>
        <w:tab w:val="left" w:pos="567"/>
      </w:tabs>
      <w:jc w:val="left"/>
      <w:outlineLvl w:val="1"/>
    </w:pPr>
    <w:rPr>
      <w:b w:val="0"/>
      <w:bCs w:val="0"/>
      <w:sz w:val="28"/>
      <w:szCs w:val="26"/>
    </w:rPr>
  </w:style>
  <w:style w:type="paragraph" w:styleId="Cmsor3">
    <w:name w:val="heading 3"/>
    <w:basedOn w:val="Cmsor1"/>
    <w:next w:val="Norml"/>
    <w:link w:val="Cmsor3Char"/>
    <w:uiPriority w:val="4"/>
    <w:qFormat/>
    <w:rsid w:val="00F42AF8"/>
    <w:pPr>
      <w:pageBreakBefore w:val="0"/>
      <w:numPr>
        <w:ilvl w:val="2"/>
      </w:numPr>
      <w:pBdr>
        <w:bottom w:val="single" w:sz="12" w:space="1" w:color="auto"/>
      </w:pBdr>
      <w:tabs>
        <w:tab w:val="left" w:pos="709"/>
      </w:tabs>
      <w:spacing w:before="120" w:after="120" w:line="320" w:lineRule="exact"/>
      <w:jc w:val="left"/>
      <w:outlineLvl w:val="2"/>
    </w:pPr>
    <w:rPr>
      <w:b w:val="0"/>
      <w:bCs w:val="0"/>
      <w:sz w:val="24"/>
      <w:szCs w:val="24"/>
    </w:rPr>
  </w:style>
  <w:style w:type="paragraph" w:styleId="Cmsor4">
    <w:name w:val="heading 4"/>
    <w:basedOn w:val="Cmsor3"/>
    <w:next w:val="Norml"/>
    <w:link w:val="Cmsor4Char"/>
    <w:uiPriority w:val="4"/>
    <w:qFormat/>
    <w:rsid w:val="00F42AF8"/>
    <w:pPr>
      <w:numPr>
        <w:ilvl w:val="3"/>
      </w:numPr>
      <w:pBdr>
        <w:bottom w:val="single" w:sz="4" w:space="1" w:color="auto"/>
      </w:pBdr>
      <w:spacing w:before="240" w:after="60" w:line="280" w:lineRule="exact"/>
      <w:outlineLvl w:val="3"/>
    </w:pPr>
    <w:rPr>
      <w:sz w:val="22"/>
    </w:rPr>
  </w:style>
  <w:style w:type="paragraph" w:styleId="Cmsor5">
    <w:name w:val="heading 5"/>
    <w:basedOn w:val="Norml"/>
    <w:next w:val="Cmsor3"/>
    <w:link w:val="Cmsor5Char"/>
    <w:uiPriority w:val="4"/>
    <w:qFormat/>
    <w:rsid w:val="00F42AF8"/>
    <w:pPr>
      <w:numPr>
        <w:ilvl w:val="4"/>
        <w:numId w:val="11"/>
      </w:numPr>
      <w:autoSpaceDE w:val="0"/>
      <w:autoSpaceDN w:val="0"/>
      <w:spacing w:before="120" w:after="60"/>
      <w:outlineLvl w:val="4"/>
    </w:pPr>
    <w:rPr>
      <w:rFonts w:ascii="Tahoma" w:eastAsia="Arial Unicode MS" w:hAnsi="Tahoma"/>
      <w:kern w:val="0"/>
      <w:lang w:val="hu-HU" w:eastAsia="en-US" w:bidi="ar-SA"/>
      <w14:ligatures w14:val="none"/>
    </w:rPr>
  </w:style>
  <w:style w:type="paragraph" w:styleId="Cmsor6">
    <w:name w:val="heading 6"/>
    <w:basedOn w:val="Norml"/>
    <w:next w:val="Norml"/>
    <w:uiPriority w:val="9"/>
    <w:semiHidden/>
    <w:unhideWhenUsed/>
    <w:qFormat/>
    <w:rsid w:val="00F42AF8"/>
    <w:pPr>
      <w:keepNext/>
      <w:keepLines/>
      <w:autoSpaceDE w:val="0"/>
      <w:autoSpaceDN w:val="0"/>
      <w:spacing w:before="200" w:after="40"/>
      <w:outlineLvl w:val="5"/>
    </w:pPr>
    <w:rPr>
      <w:rFonts w:eastAsia="Arial Unicode MS"/>
      <w:b/>
      <w:kern w:val="0"/>
      <w:sz w:val="20"/>
      <w:szCs w:val="20"/>
      <w:lang w:eastAsia="en-US" w:bidi="ar-SA"/>
      <w14:ligatures w14:val="none"/>
    </w:rPr>
  </w:style>
  <w:style w:type="character" w:default="1" w:styleId="Bekezdsalapbettpusa">
    <w:name w:val="Default Paragraph Font"/>
    <w:uiPriority w:val="1"/>
    <w:semiHidden/>
    <w:unhideWhenUsed/>
    <w:rsid w:val="00F42AF8"/>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rsid w:val="00F42AF8"/>
  </w:style>
  <w:style w:type="character" w:customStyle="1" w:styleId="Cmsor1Char">
    <w:name w:val="Címsor 1 Char"/>
    <w:basedOn w:val="Bekezdsalapbettpusa"/>
    <w:link w:val="Cmsor1"/>
    <w:uiPriority w:val="4"/>
    <w:rsid w:val="00F42AF8"/>
    <w:rPr>
      <w:rFonts w:ascii="Calibri" w:hAnsi="Calibri" w:cs="Tiro Devanagari Sanskrit"/>
      <w:b/>
      <w:bCs/>
      <w:kern w:val="32"/>
      <w:sz w:val="32"/>
      <w:szCs w:val="30"/>
      <w:lang w:eastAsia="en-US" w:bidi="ar-SA"/>
    </w:rPr>
  </w:style>
  <w:style w:type="character" w:customStyle="1" w:styleId="Cmsor2Char">
    <w:name w:val="Címsor 2 Char"/>
    <w:basedOn w:val="Bekezdsalapbettpusa"/>
    <w:link w:val="Cmsor2"/>
    <w:uiPriority w:val="4"/>
    <w:rsid w:val="00F42AF8"/>
    <w:rPr>
      <w:rFonts w:ascii="Calibri" w:hAnsi="Calibri" w:cs="Tiro Devanagari Sanskrit"/>
      <w:kern w:val="32"/>
      <w:sz w:val="28"/>
      <w:szCs w:val="26"/>
      <w:lang w:eastAsia="en-US" w:bidi="ar-SA"/>
    </w:rPr>
  </w:style>
  <w:style w:type="character" w:customStyle="1" w:styleId="Cmsor3Char">
    <w:name w:val="Címsor 3 Char"/>
    <w:basedOn w:val="Bekezdsalapbettpusa"/>
    <w:link w:val="Cmsor3"/>
    <w:uiPriority w:val="4"/>
    <w:rsid w:val="00F42AF8"/>
    <w:rPr>
      <w:rFonts w:ascii="Calibri" w:hAnsi="Calibri" w:cs="Tiro Devanagari Sanskrit"/>
      <w:kern w:val="32"/>
      <w:lang w:eastAsia="en-US" w:bidi="ar-SA"/>
    </w:rPr>
  </w:style>
  <w:style w:type="character" w:customStyle="1" w:styleId="Cmsor4Char">
    <w:name w:val="Címsor 4 Char"/>
    <w:basedOn w:val="Bekezdsalapbettpusa"/>
    <w:link w:val="Cmsor4"/>
    <w:uiPriority w:val="4"/>
    <w:rsid w:val="00F42AF8"/>
    <w:rPr>
      <w:rFonts w:ascii="Calibri" w:hAnsi="Calibri" w:cs="Tiro Devanagari Sanskrit"/>
      <w:kern w:val="32"/>
      <w:sz w:val="22"/>
      <w:lang w:eastAsia="en-US" w:bidi="ar-SA"/>
    </w:rPr>
  </w:style>
  <w:style w:type="character" w:customStyle="1" w:styleId="Cmsor5Char">
    <w:name w:val="Címsor 5 Char"/>
    <w:basedOn w:val="Bekezdsalapbettpusa"/>
    <w:link w:val="Cmsor5"/>
    <w:uiPriority w:val="4"/>
    <w:rsid w:val="00F42AF8"/>
    <w:rPr>
      <w:rFonts w:ascii="Tahoma" w:hAnsi="Tahoma" w:cs="Tiro Devanagari Sanskrit"/>
      <w:sz w:val="22"/>
      <w:szCs w:val="22"/>
      <w:lang w:val="hu-HU" w:eastAsia="en-US" w:bidi="ar-SA"/>
    </w:rPr>
  </w:style>
  <w:style w:type="table" w:customStyle="1" w:styleId="TableNormal">
    <w:name w:val="Table Normal"/>
    <w:rsid w:val="00F42AF8"/>
    <w:pPr>
      <w:ind w:left="0"/>
    </w:pPr>
    <w:rPr>
      <w:rFonts w:cs="Murty Sanskrit"/>
    </w:rPr>
    <w:tblPr>
      <w:tblCellMar>
        <w:top w:w="0" w:type="dxa"/>
        <w:left w:w="0" w:type="dxa"/>
        <w:bottom w:w="0" w:type="dxa"/>
        <w:right w:w="0" w:type="dxa"/>
      </w:tblCellMar>
    </w:tblPr>
  </w:style>
  <w:style w:type="paragraph" w:styleId="Cm">
    <w:name w:val="Title"/>
    <w:basedOn w:val="Norml"/>
    <w:link w:val="CmChar"/>
    <w:uiPriority w:val="9"/>
    <w:qFormat/>
    <w:rsid w:val="00F42AF8"/>
    <w:pPr>
      <w:pageBreakBefore/>
      <w:autoSpaceDE w:val="0"/>
      <w:autoSpaceDN w:val="0"/>
      <w:spacing w:after="240" w:line="240" w:lineRule="auto"/>
      <w:jc w:val="center"/>
      <w:outlineLvl w:val="0"/>
    </w:pPr>
    <w:rPr>
      <w:rFonts w:ascii="Calibri" w:eastAsia="Arial Unicode MS" w:hAnsi="Calibri"/>
      <w:b/>
      <w:bCs/>
      <w:kern w:val="28"/>
      <w:sz w:val="96"/>
      <w:szCs w:val="32"/>
      <w:lang w:eastAsia="en-US" w:bidi="ar-SA"/>
      <w14:ligatures w14:val="none"/>
    </w:rPr>
  </w:style>
  <w:style w:type="character" w:customStyle="1" w:styleId="CmChar">
    <w:name w:val="Cím Char"/>
    <w:basedOn w:val="Bekezdsalapbettpusa"/>
    <w:link w:val="Cm"/>
    <w:uiPriority w:val="9"/>
    <w:rsid w:val="00F42AF8"/>
    <w:rPr>
      <w:rFonts w:ascii="Calibri" w:hAnsi="Calibri" w:cs="Tiro Devanagari Sanskrit"/>
      <w:b/>
      <w:bCs/>
      <w:kern w:val="28"/>
      <w:sz w:val="96"/>
      <w:szCs w:val="32"/>
      <w:lang w:eastAsia="en-US" w:bidi="ar-SA"/>
    </w:rPr>
  </w:style>
  <w:style w:type="paragraph" w:styleId="Alcm">
    <w:name w:val="Subtitle"/>
    <w:basedOn w:val="Norml"/>
    <w:link w:val="AlcmChar"/>
    <w:uiPriority w:val="9"/>
    <w:qFormat/>
    <w:rsid w:val="00F42AF8"/>
    <w:pPr>
      <w:spacing w:before="120" w:after="120"/>
      <w:jc w:val="center"/>
      <w:outlineLvl w:val="1"/>
    </w:pPr>
    <w:rPr>
      <w:rFonts w:ascii="Tahoma" w:hAnsi="Tahoma"/>
      <w:sz w:val="28"/>
      <w:szCs w:val="26"/>
    </w:rPr>
  </w:style>
  <w:style w:type="character" w:customStyle="1" w:styleId="AlcmChar">
    <w:name w:val="Alcím Char"/>
    <w:basedOn w:val="Bekezdsalapbettpusa"/>
    <w:link w:val="Alcm"/>
    <w:uiPriority w:val="9"/>
    <w:rsid w:val="00F42AF8"/>
    <w:rPr>
      <w:rFonts w:ascii="Tahoma" w:eastAsiaTheme="minorEastAsia" w:hAnsi="Tahoma" w:cs="Tiro Devanagari Sanskrit"/>
      <w:kern w:val="2"/>
      <w:sz w:val="28"/>
      <w:szCs w:val="26"/>
      <w14:ligatures w14:val="standardContextual"/>
    </w:rPr>
  </w:style>
  <w:style w:type="paragraph" w:styleId="Jegyzetszveg">
    <w:name w:val="annotation text"/>
    <w:basedOn w:val="Norml"/>
    <w:link w:val="JegyzetszvegChar"/>
    <w:uiPriority w:val="99"/>
    <w:unhideWhenUsed/>
    <w:rsid w:val="00F42AF8"/>
    <w:rPr>
      <w:rFonts w:cs="Murty Sanskrit"/>
      <w:sz w:val="20"/>
      <w:szCs w:val="18"/>
    </w:rPr>
  </w:style>
  <w:style w:type="character" w:customStyle="1" w:styleId="JegyzetszvegChar">
    <w:name w:val="Jegyzetszöveg Char"/>
    <w:basedOn w:val="Bekezdsalapbettpusa"/>
    <w:link w:val="Jegyzetszveg"/>
    <w:uiPriority w:val="99"/>
    <w:rsid w:val="00F42AF8"/>
    <w:rPr>
      <w:rFonts w:ascii="Gentium" w:eastAsiaTheme="minorEastAsia" w:hAnsi="Gentium" w:cs="Murty Sanskrit"/>
      <w:kern w:val="2"/>
      <w:sz w:val="20"/>
      <w:szCs w:val="18"/>
      <w14:ligatures w14:val="standardContextual"/>
    </w:rPr>
  </w:style>
  <w:style w:type="character" w:styleId="Jegyzethivatkozs">
    <w:name w:val="annotation reference"/>
    <w:basedOn w:val="Bekezdsalapbettpusa"/>
    <w:uiPriority w:val="99"/>
    <w:semiHidden/>
    <w:unhideWhenUsed/>
    <w:rsid w:val="00F42AF8"/>
    <w:rPr>
      <w:sz w:val="16"/>
      <w:szCs w:val="16"/>
    </w:rPr>
  </w:style>
  <w:style w:type="paragraph" w:styleId="Buborkszveg">
    <w:name w:val="Balloon Text"/>
    <w:basedOn w:val="Norml"/>
    <w:link w:val="BuborkszvegChar"/>
    <w:uiPriority w:val="99"/>
    <w:semiHidden/>
    <w:unhideWhenUsed/>
    <w:rsid w:val="00F42AF8"/>
    <w:rPr>
      <w:rFonts w:ascii="Segoe UI" w:hAnsi="Segoe UI" w:cs="Murty Sanskrit"/>
      <w:sz w:val="18"/>
      <w:szCs w:val="16"/>
    </w:rPr>
  </w:style>
  <w:style w:type="character" w:customStyle="1" w:styleId="BuborkszvegChar">
    <w:name w:val="Buborékszöveg Char"/>
    <w:basedOn w:val="Bekezdsalapbettpusa"/>
    <w:link w:val="Buborkszveg"/>
    <w:uiPriority w:val="99"/>
    <w:semiHidden/>
    <w:rsid w:val="00F42AF8"/>
    <w:rPr>
      <w:rFonts w:ascii="Segoe UI" w:eastAsiaTheme="minorEastAsia" w:hAnsi="Segoe UI" w:cs="Murty Sanskrit"/>
      <w:kern w:val="2"/>
      <w:sz w:val="18"/>
      <w:szCs w:val="16"/>
      <w14:ligatures w14:val="standardContextual"/>
    </w:rPr>
  </w:style>
  <w:style w:type="paragraph" w:styleId="llb">
    <w:name w:val="footer"/>
    <w:basedOn w:val="Norml"/>
    <w:link w:val="llbChar"/>
    <w:uiPriority w:val="24"/>
    <w:rsid w:val="00F42AF8"/>
    <w:pPr>
      <w:tabs>
        <w:tab w:val="center" w:pos="4536"/>
        <w:tab w:val="right" w:pos="9072"/>
      </w:tabs>
    </w:pPr>
  </w:style>
  <w:style w:type="character" w:customStyle="1" w:styleId="llbChar">
    <w:name w:val="Élőláb Char"/>
    <w:basedOn w:val="Bekezdsalapbettpusa"/>
    <w:link w:val="llb"/>
    <w:uiPriority w:val="24"/>
    <w:rsid w:val="00F42AF8"/>
    <w:rPr>
      <w:rFonts w:ascii="Gentium" w:eastAsiaTheme="minorEastAsia" w:hAnsi="Gentium" w:cs="Tiro Devanagari Sanskrit"/>
      <w:kern w:val="2"/>
      <w:sz w:val="22"/>
      <w:szCs w:val="22"/>
      <w14:ligatures w14:val="standardContextual"/>
    </w:rPr>
  </w:style>
  <w:style w:type="character" w:customStyle="1" w:styleId="Foreign">
    <w:name w:val="Foreign"/>
    <w:basedOn w:val="Bekezdsalapbettpusa"/>
    <w:uiPriority w:val="1"/>
    <w:rsid w:val="00F42AF8"/>
    <w:rPr>
      <w:i/>
      <w:iCs/>
      <w:noProof/>
    </w:rPr>
  </w:style>
  <w:style w:type="paragraph" w:styleId="Lista">
    <w:name w:val="List"/>
    <w:basedOn w:val="Norml"/>
    <w:uiPriority w:val="7"/>
    <w:qFormat/>
    <w:rsid w:val="00F42AF8"/>
    <w:pPr>
      <w:numPr>
        <w:numId w:val="1"/>
      </w:numPr>
      <w:jc w:val="left"/>
    </w:pPr>
  </w:style>
  <w:style w:type="paragraph" w:styleId="Lista2">
    <w:name w:val="List 2"/>
    <w:basedOn w:val="Lista"/>
    <w:uiPriority w:val="7"/>
    <w:rsid w:val="00F42AF8"/>
    <w:pPr>
      <w:numPr>
        <w:ilvl w:val="1"/>
      </w:numPr>
    </w:pPr>
  </w:style>
  <w:style w:type="paragraph" w:styleId="Lista3">
    <w:name w:val="List 3"/>
    <w:basedOn w:val="Lista"/>
    <w:uiPriority w:val="7"/>
    <w:rsid w:val="00F42AF8"/>
    <w:pPr>
      <w:numPr>
        <w:ilvl w:val="2"/>
      </w:numPr>
    </w:pPr>
  </w:style>
  <w:style w:type="paragraph" w:styleId="Lista4">
    <w:name w:val="List 4"/>
    <w:basedOn w:val="Lista"/>
    <w:uiPriority w:val="7"/>
    <w:rsid w:val="00F42AF8"/>
    <w:pPr>
      <w:numPr>
        <w:ilvl w:val="3"/>
      </w:numPr>
    </w:pPr>
  </w:style>
  <w:style w:type="paragraph" w:styleId="Lista5">
    <w:name w:val="List 5"/>
    <w:basedOn w:val="Lista"/>
    <w:uiPriority w:val="7"/>
    <w:rsid w:val="00F42AF8"/>
    <w:pPr>
      <w:numPr>
        <w:ilvl w:val="4"/>
      </w:numPr>
    </w:pPr>
  </w:style>
  <w:style w:type="character" w:customStyle="1" w:styleId="Nv">
    <w:name w:val="Név"/>
    <w:basedOn w:val="Bekezdsalapbettpusa"/>
    <w:uiPriority w:val="1"/>
    <w:rsid w:val="00F42AF8"/>
    <w:rPr>
      <w:smallCaps/>
      <w:noProof/>
    </w:rPr>
  </w:style>
  <w:style w:type="paragraph" w:styleId="lfej">
    <w:name w:val="header"/>
    <w:basedOn w:val="Norml"/>
    <w:link w:val="lfejChar"/>
    <w:uiPriority w:val="24"/>
    <w:qFormat/>
    <w:rsid w:val="00F42AF8"/>
    <w:pPr>
      <w:tabs>
        <w:tab w:val="center" w:pos="4536"/>
        <w:tab w:val="right" w:pos="9072"/>
      </w:tabs>
    </w:pPr>
  </w:style>
  <w:style w:type="character" w:customStyle="1" w:styleId="lfejChar">
    <w:name w:val="Élőfej Char"/>
    <w:basedOn w:val="Bekezdsalapbettpusa"/>
    <w:link w:val="lfej"/>
    <w:uiPriority w:val="24"/>
    <w:rsid w:val="00F42AF8"/>
    <w:rPr>
      <w:rFonts w:ascii="Gentium" w:eastAsiaTheme="minorEastAsia" w:hAnsi="Gentium" w:cs="Tiro Devanagari Sanskrit"/>
      <w:kern w:val="2"/>
      <w:sz w:val="22"/>
      <w:szCs w:val="22"/>
      <w14:ligatures w14:val="standardContextual"/>
    </w:rPr>
  </w:style>
  <w:style w:type="paragraph" w:styleId="Irodalomjegyzk">
    <w:name w:val="Bibliography"/>
    <w:aliases w:val="Bibliography"/>
    <w:basedOn w:val="Norml"/>
    <w:uiPriority w:val="37"/>
    <w:rsid w:val="00F42AF8"/>
    <w:pPr>
      <w:spacing w:line="300" w:lineRule="exact"/>
      <w:ind w:left="720" w:hanging="720"/>
    </w:pPr>
  </w:style>
  <w:style w:type="character" w:customStyle="1" w:styleId="Code">
    <w:name w:val="Code"/>
    <w:uiPriority w:val="1"/>
    <w:qFormat/>
    <w:rsid w:val="00F42AF8"/>
    <w:rPr>
      <w:rFonts w:ascii="Consolas" w:hAnsi="Consolas" w:cs="Consolas"/>
      <w:noProof/>
      <w:color w:val="002060"/>
      <w:bdr w:val="none" w:sz="0" w:space="0" w:color="auto"/>
      <w:shd w:val="clear" w:color="auto" w:fill="F2F2F2" w:themeFill="background1" w:themeFillShade="F2"/>
    </w:rPr>
  </w:style>
  <w:style w:type="character" w:customStyle="1" w:styleId="Comment">
    <w:name w:val="Comment"/>
    <w:basedOn w:val="Bekezdsalapbettpusa"/>
    <w:uiPriority w:val="1"/>
    <w:qFormat/>
    <w:rsid w:val="00F42AF8"/>
    <w:rPr>
      <w:rFonts w:ascii="Tahoma" w:hAnsi="Tahoma"/>
      <w:noProof/>
      <w:color w:val="00B050"/>
      <w:sz w:val="20"/>
    </w:rPr>
  </w:style>
  <w:style w:type="paragraph" w:styleId="Lbjegyzetszveg">
    <w:name w:val="footnote text"/>
    <w:basedOn w:val="Norml"/>
    <w:link w:val="LbjegyzetszvegChar"/>
    <w:rsid w:val="00F42AF8"/>
    <w:pPr>
      <w:tabs>
        <w:tab w:val="right" w:pos="227"/>
        <w:tab w:val="left" w:pos="284"/>
      </w:tabs>
      <w:spacing w:line="240" w:lineRule="exact"/>
      <w:ind w:left="284" w:hanging="284"/>
      <w:jc w:val="left"/>
    </w:pPr>
    <w:rPr>
      <w:sz w:val="20"/>
      <w:szCs w:val="20"/>
    </w:rPr>
  </w:style>
  <w:style w:type="character" w:customStyle="1" w:styleId="LbjegyzetszvegChar">
    <w:name w:val="Lábjegyzetszöveg Char"/>
    <w:basedOn w:val="Bekezdsalapbettpusa"/>
    <w:link w:val="Lbjegyzetszveg"/>
    <w:rsid w:val="00F42AF8"/>
    <w:rPr>
      <w:rFonts w:ascii="Gentium" w:eastAsiaTheme="minorEastAsia" w:hAnsi="Gentium" w:cs="Tiro Devanagari Sanskrit"/>
      <w:kern w:val="2"/>
      <w:sz w:val="20"/>
      <w:szCs w:val="20"/>
      <w14:ligatures w14:val="standardContextual"/>
    </w:rPr>
  </w:style>
  <w:style w:type="character" w:styleId="Lbjegyzet-hivatkozs">
    <w:name w:val="footnote reference"/>
    <w:basedOn w:val="Bekezdsalapbettpusa"/>
    <w:uiPriority w:val="99"/>
    <w:unhideWhenUsed/>
    <w:rsid w:val="00F42AF8"/>
    <w:rPr>
      <w:vertAlign w:val="superscript"/>
    </w:rPr>
  </w:style>
  <w:style w:type="character" w:customStyle="1" w:styleId="ForeignKannadaScript">
    <w:name w:val="Foreign: KannadaScript"/>
    <w:basedOn w:val="Foreign"/>
    <w:uiPriority w:val="1"/>
    <w:qFormat/>
    <w:rsid w:val="00F42AF8"/>
    <w:rPr>
      <w:rFonts w:ascii="Tiro Kannada" w:hAnsi="Tiro Kannada" w:cs="Tiro Kannada"/>
      <w:b w:val="0"/>
      <w:bCs w:val="0"/>
      <w:i w:val="0"/>
      <w:iCs w:val="0"/>
      <w:noProof/>
    </w:rPr>
  </w:style>
  <w:style w:type="character" w:customStyle="1" w:styleId="ForeignTamilScript">
    <w:name w:val="Foreign: TamilScript"/>
    <w:basedOn w:val="Foreign"/>
    <w:uiPriority w:val="1"/>
    <w:qFormat/>
    <w:rsid w:val="00F42AF8"/>
    <w:rPr>
      <w:rFonts w:ascii="Tiro Tamil" w:hAnsi="Tiro Tamil" w:cs="Tiro Tamil"/>
      <w:b w:val="0"/>
      <w:bCs w:val="0"/>
      <w:i w:val="0"/>
      <w:iCs w:val="0"/>
      <w:noProof/>
      <w:szCs w:val="24"/>
    </w:rPr>
  </w:style>
  <w:style w:type="character" w:customStyle="1" w:styleId="ForeignBalineseScript">
    <w:name w:val="Foreign: BalineseScript"/>
    <w:basedOn w:val="Foreign"/>
    <w:uiPriority w:val="1"/>
    <w:qFormat/>
    <w:rsid w:val="00F42AF8"/>
    <w:rPr>
      <w:rFonts w:ascii="Noto Sans Balinese" w:hAnsi="Noto Sans Balinese" w:cs="Noto Sans Balinese"/>
      <w:b w:val="0"/>
      <w:bCs w:val="0"/>
      <w:i/>
      <w:iCs/>
      <w:noProof/>
      <w:position w:val="0"/>
      <w:szCs w:val="24"/>
    </w:rPr>
  </w:style>
  <w:style w:type="character" w:customStyle="1" w:styleId="ForeignThaiScript">
    <w:name w:val="Foreign: ThaiScript"/>
    <w:basedOn w:val="Foreign"/>
    <w:uiPriority w:val="1"/>
    <w:qFormat/>
    <w:rsid w:val="00F42AF8"/>
    <w:rPr>
      <w:rFonts w:ascii="Leelawadee UI" w:hAnsi="Leelawadee UI" w:cs="Leelawadee UI"/>
      <w:b w:val="0"/>
      <w:bCs w:val="0"/>
      <w:i w:val="0"/>
      <w:iCs w:val="0"/>
      <w:noProof/>
    </w:rPr>
  </w:style>
  <w:style w:type="character" w:customStyle="1" w:styleId="ForeignBrahmiScript">
    <w:name w:val="Foreign: BrahmiScript"/>
    <w:basedOn w:val="Foreign"/>
    <w:uiPriority w:val="1"/>
    <w:qFormat/>
    <w:rsid w:val="00F42AF8"/>
    <w:rPr>
      <w:rFonts w:ascii="Segoe UI Historic" w:hAnsi="Segoe UI Historic" w:cs="Segoe UI Historic"/>
      <w:b w:val="0"/>
      <w:bCs w:val="0"/>
      <w:i w:val="0"/>
      <w:iCs w:val="0"/>
      <w:noProof/>
    </w:rPr>
  </w:style>
  <w:style w:type="character" w:customStyle="1" w:styleId="ForeignOriyaScript">
    <w:name w:val="Foreign: OriyaScript"/>
    <w:basedOn w:val="Foreign"/>
    <w:uiPriority w:val="1"/>
    <w:qFormat/>
    <w:rsid w:val="00F42AF8"/>
    <w:rPr>
      <w:rFonts w:ascii="Arial Unicode MS" w:eastAsia="Arial Unicode MS" w:hAnsi="Arial Unicode MS" w:cs="Arial Unicode MS"/>
      <w:b w:val="0"/>
      <w:bCs w:val="0"/>
      <w:i w:val="0"/>
      <w:iCs w:val="0"/>
      <w:noProof/>
    </w:rPr>
  </w:style>
  <w:style w:type="paragraph" w:styleId="NormlWeb">
    <w:name w:val="Normal (Web)"/>
    <w:basedOn w:val="Norml"/>
    <w:uiPriority w:val="99"/>
    <w:semiHidden/>
    <w:unhideWhenUsed/>
    <w:rsid w:val="00F42AF8"/>
    <w:pPr>
      <w:spacing w:before="100" w:beforeAutospacing="1" w:after="100" w:afterAutospacing="1" w:line="240" w:lineRule="auto"/>
    </w:pPr>
    <w:rPr>
      <w:rFonts w:ascii="Times New Roman" w:hAnsi="Times New Roman" w:cs="Times New Roman"/>
      <w:szCs w:val="24"/>
    </w:rPr>
  </w:style>
  <w:style w:type="paragraph" w:customStyle="1" w:styleId="Legend">
    <w:name w:val="Legend"/>
    <w:basedOn w:val="Norml"/>
    <w:qFormat/>
    <w:rsid w:val="00F42AF8"/>
    <w:pPr>
      <w:tabs>
        <w:tab w:val="right" w:pos="851"/>
        <w:tab w:val="left" w:pos="1134"/>
      </w:tabs>
      <w:jc w:val="left"/>
    </w:pPr>
  </w:style>
  <w:style w:type="character" w:styleId="Hiperhivatkozs">
    <w:name w:val="Hyperlink"/>
    <w:basedOn w:val="Bekezdsalapbettpusa"/>
    <w:uiPriority w:val="99"/>
    <w:unhideWhenUsed/>
    <w:rsid w:val="00F42AF8"/>
    <w:rPr>
      <w:color w:val="002060"/>
      <w:u w:val="single"/>
    </w:rPr>
  </w:style>
  <w:style w:type="character" w:styleId="Feloldatlanmegemlts">
    <w:name w:val="Unresolved Mention"/>
    <w:basedOn w:val="Bekezdsalapbettpusa"/>
    <w:uiPriority w:val="99"/>
    <w:semiHidden/>
    <w:unhideWhenUsed/>
    <w:rsid w:val="00F42AF8"/>
    <w:rPr>
      <w:color w:val="605E5C"/>
      <w:shd w:val="clear" w:color="auto" w:fill="E1DFDD"/>
    </w:rPr>
  </w:style>
  <w:style w:type="character" w:styleId="Mrltotthiperhivatkozs">
    <w:name w:val="FollowedHyperlink"/>
    <w:basedOn w:val="Bekezdsalapbettpusa"/>
    <w:uiPriority w:val="99"/>
    <w:semiHidden/>
    <w:unhideWhenUsed/>
    <w:rsid w:val="00F42AF8"/>
    <w:rPr>
      <w:color w:val="800080" w:themeColor="followedHyperlink"/>
      <w:u w:val="single"/>
    </w:rPr>
  </w:style>
  <w:style w:type="table" w:styleId="Rcsostblzat">
    <w:name w:val="Table Grid"/>
    <w:basedOn w:val="Normltblzat"/>
    <w:uiPriority w:val="39"/>
    <w:rsid w:val="00F42AF8"/>
    <w:pPr>
      <w:ind w:left="0"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l"/>
    <w:qFormat/>
    <w:rsid w:val="00F42AF8"/>
    <w:pPr>
      <w:spacing w:line="240" w:lineRule="auto"/>
      <w:jc w:val="left"/>
    </w:pPr>
    <w:rPr>
      <w:rFonts w:ascii="Calibri" w:hAnsi="Calibri"/>
      <w:sz w:val="20"/>
      <w:szCs w:val="20"/>
    </w:rPr>
  </w:style>
  <w:style w:type="character" w:customStyle="1" w:styleId="ImageInsetSundanese">
    <w:name w:val="ImageInsetSundanese"/>
    <w:basedOn w:val="Bekezdsalapbettpusa"/>
    <w:uiPriority w:val="1"/>
    <w:qFormat/>
    <w:rsid w:val="00F42AF8"/>
    <w:rPr>
      <w:noProof/>
      <w:position w:val="-10"/>
    </w:rPr>
  </w:style>
  <w:style w:type="character" w:customStyle="1" w:styleId="ForeignKhmerScript">
    <w:name w:val="Foreign: KhmerScript"/>
    <w:basedOn w:val="Bekezdsalapbettpusa"/>
    <w:uiPriority w:val="1"/>
    <w:qFormat/>
    <w:rsid w:val="00F42AF8"/>
    <w:rPr>
      <w:rFonts w:ascii="DaunPenh" w:hAnsi="DaunPenh" w:cs="DaunPenh"/>
      <w:bCs w:val="0"/>
      <w:iCs w:val="0"/>
      <w:szCs w:val="36"/>
      <w:lang w:bidi="km-KH"/>
    </w:rPr>
  </w:style>
  <w:style w:type="character" w:customStyle="1" w:styleId="MetreCode">
    <w:name w:val="MetreCode"/>
    <w:basedOn w:val="Bekezdsalapbettpusa"/>
    <w:uiPriority w:val="1"/>
    <w:qFormat/>
    <w:rsid w:val="00F42AF8"/>
    <w:rPr>
      <w:rFonts w:ascii="Cardo" w:hAnsi="Cardo" w:cs="Murty Sanskrit"/>
      <w:spacing w:val="30"/>
    </w:rPr>
  </w:style>
  <w:style w:type="paragraph" w:styleId="Tartalomjegyzkcmsora">
    <w:name w:val="TOC Heading"/>
    <w:basedOn w:val="Cmsor1"/>
    <w:next w:val="Norml"/>
    <w:uiPriority w:val="39"/>
    <w:unhideWhenUsed/>
    <w:qFormat/>
    <w:rsid w:val="00F42AF8"/>
    <w:pPr>
      <w:spacing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J1">
    <w:name w:val="toc 1"/>
    <w:basedOn w:val="Norml"/>
    <w:next w:val="Norml"/>
    <w:uiPriority w:val="39"/>
    <w:unhideWhenUsed/>
    <w:rsid w:val="00F42AF8"/>
    <w:pPr>
      <w:pBdr>
        <w:bottom w:val="single" w:sz="12" w:space="1" w:color="auto"/>
      </w:pBdr>
      <w:tabs>
        <w:tab w:val="left" w:pos="284"/>
        <w:tab w:val="right" w:pos="9639"/>
      </w:tabs>
      <w:spacing w:before="60" w:line="240" w:lineRule="exact"/>
    </w:pPr>
    <w:rPr>
      <w:rFonts w:ascii="Calibri" w:hAnsi="Calibri"/>
      <w:b/>
    </w:rPr>
  </w:style>
  <w:style w:type="paragraph" w:styleId="TJ2">
    <w:name w:val="toc 2"/>
    <w:basedOn w:val="Norml"/>
    <w:next w:val="Norml"/>
    <w:uiPriority w:val="39"/>
    <w:unhideWhenUsed/>
    <w:rsid w:val="00F42AF8"/>
    <w:pPr>
      <w:tabs>
        <w:tab w:val="left" w:pos="567"/>
        <w:tab w:val="right" w:leader="dot" w:pos="9639"/>
      </w:tabs>
      <w:spacing w:line="220" w:lineRule="exact"/>
      <w:ind w:left="227"/>
    </w:pPr>
    <w:rPr>
      <w:rFonts w:asciiTheme="majorHAnsi" w:hAnsiTheme="majorHAnsi"/>
      <w:sz w:val="18"/>
      <w:szCs w:val="18"/>
    </w:rPr>
  </w:style>
  <w:style w:type="paragraph" w:styleId="TJ3">
    <w:name w:val="toc 3"/>
    <w:basedOn w:val="Norml"/>
    <w:next w:val="Norml"/>
    <w:uiPriority w:val="39"/>
    <w:unhideWhenUsed/>
    <w:rsid w:val="00F42AF8"/>
    <w:pPr>
      <w:tabs>
        <w:tab w:val="left" w:pos="1134"/>
        <w:tab w:val="right" w:leader="dot" w:pos="9639"/>
      </w:tabs>
      <w:spacing w:line="220" w:lineRule="exact"/>
      <w:ind w:left="567"/>
    </w:pPr>
    <w:rPr>
      <w:rFonts w:asciiTheme="majorHAnsi" w:hAnsiTheme="majorHAnsi"/>
      <w:sz w:val="18"/>
    </w:rPr>
  </w:style>
  <w:style w:type="paragraph" w:styleId="Vltozat">
    <w:name w:val="Revision"/>
    <w:hidden/>
    <w:uiPriority w:val="99"/>
    <w:semiHidden/>
    <w:rsid w:val="00F42AF8"/>
    <w:pPr>
      <w:widowControl/>
      <w:ind w:left="0"/>
      <w:jc w:val="left"/>
    </w:pPr>
    <w:rPr>
      <w:szCs w:val="22"/>
    </w:rPr>
  </w:style>
  <w:style w:type="character" w:customStyle="1" w:styleId="Codeattribute">
    <w:name w:val="Code_attribute"/>
    <w:basedOn w:val="Code"/>
    <w:uiPriority w:val="1"/>
    <w:qFormat/>
    <w:rsid w:val="00F42AF8"/>
    <w:rPr>
      <w:rFonts w:ascii="Consolas" w:hAnsi="Consolas" w:cs="Consolas"/>
      <w:noProof/>
      <w:color w:val="008080"/>
      <w:bdr w:val="none" w:sz="0" w:space="0" w:color="auto"/>
      <w:shd w:val="clear" w:color="auto" w:fill="F2F2F2" w:themeFill="background1" w:themeFillShade="F2"/>
    </w:rPr>
  </w:style>
  <w:style w:type="character" w:customStyle="1" w:styleId="Codevalue">
    <w:name w:val="Code_value"/>
    <w:basedOn w:val="Code"/>
    <w:uiPriority w:val="1"/>
    <w:qFormat/>
    <w:rsid w:val="00F42AF8"/>
    <w:rPr>
      <w:rFonts w:ascii="Consolas" w:eastAsia="Consolas" w:hAnsi="Consolas" w:cs="Consolas"/>
      <w:noProof/>
      <w:color w:val="C00000"/>
      <w:bdr w:val="none" w:sz="0" w:space="0" w:color="auto"/>
      <w:shd w:val="clear" w:color="auto" w:fill="F2F2F2" w:themeFill="background1" w:themeFillShade="F2"/>
    </w:rPr>
  </w:style>
  <w:style w:type="character" w:customStyle="1" w:styleId="Codecomment">
    <w:name w:val="Code_comment"/>
    <w:basedOn w:val="Code"/>
    <w:uiPriority w:val="1"/>
    <w:qFormat/>
    <w:rsid w:val="00F42AF8"/>
    <w:rPr>
      <w:rFonts w:ascii="Consolas" w:eastAsia="Consolas" w:hAnsi="Consolas" w:cs="Consolas"/>
      <w:i/>
      <w:iCs/>
      <w:noProof/>
      <w:color w:val="999988"/>
      <w:bdr w:val="none" w:sz="0" w:space="0" w:color="auto"/>
      <w:shd w:val="clear" w:color="auto" w:fill="F2F2F2" w:themeFill="background1" w:themeFillShade="F2"/>
    </w:rPr>
  </w:style>
  <w:style w:type="character" w:customStyle="1" w:styleId="Codeinstruction">
    <w:name w:val="Code_instruction"/>
    <w:basedOn w:val="Code"/>
    <w:uiPriority w:val="1"/>
    <w:qFormat/>
    <w:rsid w:val="00F42AF8"/>
    <w:rPr>
      <w:rFonts w:ascii="Consolas" w:eastAsia="Consolas" w:hAnsi="Consolas" w:cs="Consolas"/>
      <w:b/>
      <w:bCs/>
      <w:noProof/>
      <w:color w:val="969696"/>
      <w:bdr w:val="none" w:sz="0" w:space="0" w:color="auto"/>
      <w:shd w:val="clear" w:color="auto" w:fill="F2F2F2" w:themeFill="background1" w:themeFillShade="F2"/>
    </w:rPr>
  </w:style>
  <w:style w:type="character" w:customStyle="1" w:styleId="Codetext">
    <w:name w:val="Code_text"/>
    <w:basedOn w:val="Code"/>
    <w:uiPriority w:val="1"/>
    <w:qFormat/>
    <w:rsid w:val="00F42AF8"/>
    <w:rPr>
      <w:rFonts w:ascii="Consolas" w:hAnsi="Consolas" w:cs="Consolas"/>
      <w:noProof/>
      <w:color w:val="000000" w:themeColor="text1"/>
      <w:bdr w:val="none" w:sz="0" w:space="0" w:color="auto"/>
      <w:shd w:val="clear" w:color="auto" w:fill="F2F2F2" w:themeFill="background1" w:themeFillShade="F2"/>
    </w:rPr>
  </w:style>
  <w:style w:type="paragraph" w:styleId="Kpalrs">
    <w:name w:val="caption"/>
    <w:basedOn w:val="Norml"/>
    <w:next w:val="Norml"/>
    <w:uiPriority w:val="35"/>
    <w:qFormat/>
    <w:rsid w:val="00F42AF8"/>
    <w:pPr>
      <w:keepNext/>
      <w:spacing w:line="240" w:lineRule="auto"/>
      <w:jc w:val="center"/>
    </w:pPr>
    <w:rPr>
      <w:i/>
      <w:iCs/>
      <w:sz w:val="20"/>
      <w:szCs w:val="18"/>
    </w:rPr>
  </w:style>
  <w:style w:type="table" w:customStyle="1" w:styleId="CodeSampleTable">
    <w:name w:val="CodeSampleTable"/>
    <w:basedOn w:val="Normltblzat"/>
    <w:uiPriority w:val="99"/>
    <w:rsid w:val="00F42AF8"/>
    <w:pPr>
      <w:widowControl/>
      <w:ind w:left="0"/>
      <w:jc w:val="left"/>
    </w:pPr>
    <w:rPr>
      <w:sz w:val="18"/>
    </w:rPr>
    <w:tblPr>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Pr>
    <w:trPr>
      <w:cantSplit/>
    </w:trPr>
    <w:tcPr>
      <w:shd w:val="clear" w:color="auto" w:fill="auto"/>
    </w:tcPr>
    <w:tblStylePr w:type="firstRow">
      <w:rPr>
        <w:rFonts w:asciiTheme="majorHAnsi" w:hAnsiTheme="majorHAnsi"/>
        <w:sz w:val="18"/>
      </w:rPr>
      <w:tblPr/>
      <w:tcPr>
        <w:shd w:val="clear" w:color="auto" w:fill="F0F7D7"/>
      </w:tcPr>
    </w:tblStylePr>
  </w:style>
  <w:style w:type="paragraph" w:customStyle="1" w:styleId="CodeParagraph">
    <w:name w:val="CodeParagraph"/>
    <w:basedOn w:val="Norml"/>
    <w:qFormat/>
    <w:rsid w:val="00F42AF8"/>
    <w:pPr>
      <w:shd w:val="clear" w:color="auto" w:fill="F2F2F2" w:themeFill="background1" w:themeFillShade="F2"/>
      <w:spacing w:line="220" w:lineRule="exact"/>
      <w:jc w:val="left"/>
    </w:pPr>
    <w:rPr>
      <w:sz w:val="18"/>
      <w:szCs w:val="18"/>
    </w:rPr>
  </w:style>
  <w:style w:type="paragraph" w:customStyle="1" w:styleId="TableNote">
    <w:name w:val="TableNote"/>
    <w:basedOn w:val="Tabletext"/>
    <w:qFormat/>
    <w:rsid w:val="00F42AF8"/>
    <w:pPr>
      <w:numPr>
        <w:numId w:val="14"/>
      </w:numPr>
      <w:spacing w:before="60"/>
      <w:contextualSpacing/>
    </w:pPr>
  </w:style>
  <w:style w:type="paragraph" w:styleId="TJ4">
    <w:name w:val="toc 4"/>
    <w:basedOn w:val="TJ3"/>
    <w:next w:val="Norml"/>
    <w:autoRedefine/>
    <w:uiPriority w:val="39"/>
    <w:unhideWhenUsed/>
    <w:rsid w:val="00F42AF8"/>
    <w:pPr>
      <w:tabs>
        <w:tab w:val="clear" w:pos="1134"/>
      </w:tabs>
      <w:ind w:left="1021"/>
    </w:pPr>
  </w:style>
  <w:style w:type="paragraph" w:styleId="TJ5">
    <w:name w:val="toc 5"/>
    <w:basedOn w:val="Norml"/>
    <w:next w:val="Norml"/>
    <w:autoRedefine/>
    <w:uiPriority w:val="39"/>
    <w:unhideWhenUsed/>
    <w:rsid w:val="00F42AF8"/>
    <w:pPr>
      <w:spacing w:after="100" w:line="259" w:lineRule="auto"/>
      <w:ind w:left="880"/>
    </w:pPr>
    <w:rPr>
      <w:rFonts w:asciiTheme="minorHAnsi" w:hAnsiTheme="minorHAnsi" w:cstheme="minorBidi"/>
      <w:szCs w:val="20"/>
    </w:rPr>
  </w:style>
  <w:style w:type="paragraph" w:styleId="TJ6">
    <w:name w:val="toc 6"/>
    <w:basedOn w:val="Norml"/>
    <w:next w:val="Norml"/>
    <w:autoRedefine/>
    <w:uiPriority w:val="39"/>
    <w:unhideWhenUsed/>
    <w:rsid w:val="00F42AF8"/>
    <w:pPr>
      <w:spacing w:after="100" w:line="259" w:lineRule="auto"/>
      <w:ind w:left="1100"/>
    </w:pPr>
    <w:rPr>
      <w:rFonts w:asciiTheme="minorHAnsi" w:hAnsiTheme="minorHAnsi" w:cstheme="minorBidi"/>
      <w:szCs w:val="20"/>
    </w:rPr>
  </w:style>
  <w:style w:type="paragraph" w:styleId="TJ7">
    <w:name w:val="toc 7"/>
    <w:basedOn w:val="Norml"/>
    <w:next w:val="Norml"/>
    <w:autoRedefine/>
    <w:uiPriority w:val="39"/>
    <w:unhideWhenUsed/>
    <w:rsid w:val="00F42AF8"/>
    <w:pPr>
      <w:spacing w:after="100" w:line="259" w:lineRule="auto"/>
      <w:ind w:left="1320"/>
    </w:pPr>
    <w:rPr>
      <w:rFonts w:asciiTheme="minorHAnsi" w:hAnsiTheme="minorHAnsi" w:cstheme="minorBidi"/>
      <w:szCs w:val="20"/>
    </w:rPr>
  </w:style>
  <w:style w:type="paragraph" w:styleId="TJ8">
    <w:name w:val="toc 8"/>
    <w:basedOn w:val="Norml"/>
    <w:next w:val="Norml"/>
    <w:autoRedefine/>
    <w:uiPriority w:val="39"/>
    <w:unhideWhenUsed/>
    <w:rsid w:val="00F42AF8"/>
    <w:pPr>
      <w:spacing w:after="100" w:line="259" w:lineRule="auto"/>
      <w:ind w:left="1540"/>
    </w:pPr>
    <w:rPr>
      <w:rFonts w:asciiTheme="minorHAnsi" w:hAnsiTheme="minorHAnsi" w:cstheme="minorBidi"/>
      <w:szCs w:val="20"/>
    </w:rPr>
  </w:style>
  <w:style w:type="paragraph" w:styleId="TJ9">
    <w:name w:val="toc 9"/>
    <w:basedOn w:val="Norml"/>
    <w:next w:val="Norml"/>
    <w:autoRedefine/>
    <w:uiPriority w:val="39"/>
    <w:unhideWhenUsed/>
    <w:rsid w:val="00F42AF8"/>
    <w:pPr>
      <w:spacing w:after="100" w:line="259" w:lineRule="auto"/>
      <w:ind w:left="1760"/>
    </w:pPr>
    <w:rPr>
      <w:rFonts w:asciiTheme="minorHAnsi" w:hAnsiTheme="minorHAnsi" w:cstheme="minorBidi"/>
      <w:szCs w:val="20"/>
    </w:rPr>
  </w:style>
  <w:style w:type="paragraph" w:customStyle="1" w:styleId="Frontmatter">
    <w:name w:val="Frontmatter"/>
    <w:basedOn w:val="Norml"/>
    <w:qFormat/>
    <w:rsid w:val="00F42AF8"/>
    <w:pPr>
      <w:spacing w:line="360" w:lineRule="exact"/>
      <w:jc w:val="center"/>
    </w:pPr>
    <w:rPr>
      <w:rFonts w:ascii="Calibri" w:hAnsi="Calibri"/>
      <w:sz w:val="28"/>
      <w:szCs w:val="28"/>
    </w:rPr>
  </w:style>
  <w:style w:type="paragraph" w:styleId="Megjegyzstrgya">
    <w:name w:val="annotation subject"/>
    <w:basedOn w:val="Jegyzetszveg"/>
    <w:next w:val="Jegyzetszveg"/>
    <w:link w:val="MegjegyzstrgyaChar"/>
    <w:uiPriority w:val="99"/>
    <w:semiHidden/>
    <w:unhideWhenUsed/>
    <w:rsid w:val="00F42AF8"/>
    <w:pPr>
      <w:spacing w:line="240" w:lineRule="auto"/>
    </w:pPr>
    <w:rPr>
      <w:b/>
      <w:bCs/>
      <w:szCs w:val="20"/>
    </w:rPr>
  </w:style>
  <w:style w:type="character" w:customStyle="1" w:styleId="MegjegyzstrgyaChar">
    <w:name w:val="Megjegyzés tárgya Char"/>
    <w:basedOn w:val="JegyzetszvegChar"/>
    <w:link w:val="Megjegyzstrgya"/>
    <w:uiPriority w:val="99"/>
    <w:semiHidden/>
    <w:rsid w:val="00F42AF8"/>
    <w:rPr>
      <w:rFonts w:ascii="Gentium" w:eastAsiaTheme="minorEastAsia" w:hAnsi="Gentium" w:cs="Murty Sanskrit"/>
      <w:b/>
      <w:bCs/>
      <w:kern w:val="2"/>
      <w:sz w:val="20"/>
      <w:szCs w:val="20"/>
      <w14:ligatures w14:val="standardContextual"/>
    </w:rPr>
  </w:style>
  <w:style w:type="character" w:customStyle="1" w:styleId="ForeignBurmeseScript">
    <w:name w:val="Foreign: BurmeseScript"/>
    <w:basedOn w:val="Foreign"/>
    <w:uiPriority w:val="1"/>
    <w:qFormat/>
    <w:rsid w:val="00F42AF8"/>
    <w:rPr>
      <w:rFonts w:ascii="Myanmar Text" w:hAnsi="Myanmar Text" w:cs="Myanmar Text"/>
      <w:i w:val="0"/>
      <w:iCs/>
      <w:noProof/>
    </w:rPr>
  </w:style>
  <w:style w:type="character" w:styleId="Vgjegyzet-hivatkozs">
    <w:name w:val="endnote reference"/>
    <w:basedOn w:val="Bekezdsalapbettpusa"/>
    <w:uiPriority w:val="99"/>
    <w:semiHidden/>
    <w:unhideWhenUsed/>
    <w:rsid w:val="00F42AF8"/>
    <w:rPr>
      <w:vertAlign w:val="superscript"/>
    </w:rPr>
  </w:style>
  <w:style w:type="paragraph" w:customStyle="1" w:styleId="BlockImage">
    <w:name w:val="BlockImage"/>
    <w:basedOn w:val="Norml"/>
    <w:qFormat/>
    <w:rsid w:val="00F42AF8"/>
    <w:pPr>
      <w:spacing w:line="240" w:lineRule="auto"/>
      <w:jc w:val="center"/>
    </w:pPr>
    <w:rPr>
      <w:noProof/>
    </w:rPr>
  </w:style>
  <w:style w:type="paragraph" w:customStyle="1" w:styleId="Image">
    <w:name w:val="Image"/>
    <w:basedOn w:val="Norml"/>
    <w:qFormat/>
    <w:rsid w:val="00F42AF8"/>
    <w:pPr>
      <w:keepNext/>
      <w:widowControl w:val="0"/>
      <w:spacing w:before="60" w:after="60" w:line="240" w:lineRule="auto"/>
      <w:jc w:val="center"/>
    </w:pPr>
    <w:rPr>
      <w:noProof/>
      <w:sz w:val="20"/>
    </w:rPr>
  </w:style>
  <w:style w:type="paragraph" w:styleId="Szvegtrzs">
    <w:name w:val="Body Text"/>
    <w:basedOn w:val="Norml"/>
    <w:link w:val="SzvegtrzsChar"/>
    <w:uiPriority w:val="74"/>
    <w:rsid w:val="00F42AF8"/>
    <w:pPr>
      <w:spacing w:before="120" w:after="120"/>
      <w:ind w:left="567" w:right="567"/>
      <w:contextualSpacing/>
    </w:pPr>
  </w:style>
  <w:style w:type="character" w:customStyle="1" w:styleId="SzvegtrzsChar">
    <w:name w:val="Szövegtörzs Char"/>
    <w:basedOn w:val="Bekezdsalapbettpusa"/>
    <w:link w:val="Szvegtrzs"/>
    <w:uiPriority w:val="74"/>
    <w:rsid w:val="00F42AF8"/>
    <w:rPr>
      <w:rFonts w:ascii="Gentium" w:eastAsiaTheme="minorEastAsia" w:hAnsi="Gentium" w:cs="Tiro Devanagari Sanskrit"/>
      <w:kern w:val="2"/>
      <w:sz w:val="22"/>
      <w:szCs w:val="22"/>
      <w14:ligatures w14:val="standardContextual"/>
    </w:rPr>
  </w:style>
  <w:style w:type="character" w:customStyle="1" w:styleId="ForeignIndic">
    <w:name w:val="Foreign: Indic"/>
    <w:basedOn w:val="Foreign"/>
    <w:uiPriority w:val="1"/>
    <w:qFormat/>
    <w:rsid w:val="00F42AF8"/>
    <w:rPr>
      <w:i w:val="0"/>
      <w:iCs w:val="0"/>
      <w:noProof/>
    </w:rPr>
  </w:style>
  <w:style w:type="paragraph" w:styleId="Idzet">
    <w:name w:val="Quote"/>
    <w:basedOn w:val="Norml"/>
    <w:next w:val="Norml"/>
    <w:link w:val="IdzetChar"/>
    <w:uiPriority w:val="29"/>
    <w:unhideWhenUsed/>
    <w:rsid w:val="00F42AF8"/>
    <w:pPr>
      <w:spacing w:before="120" w:after="120"/>
      <w:ind w:left="567" w:right="567"/>
    </w:pPr>
  </w:style>
  <w:style w:type="character" w:customStyle="1" w:styleId="IdzetChar">
    <w:name w:val="Idézet Char"/>
    <w:basedOn w:val="Bekezdsalapbettpusa"/>
    <w:link w:val="Idzet"/>
    <w:uiPriority w:val="29"/>
    <w:rsid w:val="00F42AF8"/>
    <w:rPr>
      <w:rFonts w:ascii="Gentium" w:eastAsiaTheme="minorEastAsia" w:hAnsi="Gentium" w:cs="Tiro Devanagari Sanskrit"/>
      <w:kern w:val="2"/>
      <w:sz w:val="22"/>
      <w:szCs w:val="22"/>
      <w14:ligatures w14:val="standardContextual"/>
    </w:rPr>
  </w:style>
  <w:style w:type="paragraph" w:styleId="Normlbehzs">
    <w:name w:val="Normal Indent"/>
    <w:basedOn w:val="Norml"/>
    <w:uiPriority w:val="99"/>
    <w:unhideWhenUsed/>
    <w:rsid w:val="00F42AF8"/>
    <w:pPr>
      <w:ind w:firstLine="425"/>
    </w:pPr>
  </w:style>
  <w:style w:type="paragraph" w:customStyle="1" w:styleId="TableHead">
    <w:name w:val="TableHead"/>
    <w:basedOn w:val="Norml"/>
    <w:qFormat/>
    <w:rsid w:val="00F42AF8"/>
    <w:pPr>
      <w:jc w:val="left"/>
    </w:pPr>
  </w:style>
  <w:style w:type="table" w:customStyle="1" w:styleId="Stlus1">
    <w:name w:val="Stílus1"/>
    <w:basedOn w:val="CodeSampleTable"/>
    <w:uiPriority w:val="99"/>
    <w:rsid w:val="00F42AF8"/>
    <w:tblPr>
      <w:tblCellMar>
        <w:top w:w="57" w:type="dxa"/>
        <w:bottom w:w="57" w:type="dxa"/>
      </w:tblCellMar>
    </w:tblPr>
    <w:tcPr>
      <w:shd w:val="clear" w:color="auto" w:fill="auto"/>
    </w:tcPr>
    <w:tblStylePr w:type="firstRow">
      <w:rPr>
        <w:rFonts w:asciiTheme="majorHAnsi" w:hAnsiTheme="majorHAnsi"/>
        <w:sz w:val="18"/>
      </w:rPr>
      <w:tblPr/>
      <w:tcPr>
        <w:tcBorders>
          <w:bottom w:val="nil"/>
        </w:tcBorders>
        <w:shd w:val="clear" w:color="auto" w:fill="EAF1DD" w:themeFill="accent3" w:themeFillTint="33"/>
      </w:tcPr>
    </w:tblStylePr>
  </w:style>
  <w:style w:type="table" w:customStyle="1" w:styleId="FigureTable">
    <w:name w:val="FigureTable"/>
    <w:basedOn w:val="CodeSampleTable"/>
    <w:uiPriority w:val="99"/>
    <w:rsid w:val="00F42AF8"/>
    <w:tblPr>
      <w:tblCellMar>
        <w:top w:w="57" w:type="dxa"/>
        <w:bottom w:w="57" w:type="dxa"/>
      </w:tblCellMar>
    </w:tblPr>
    <w:tcPr>
      <w:shd w:val="clear" w:color="auto" w:fill="auto"/>
    </w:tcPr>
    <w:tblStylePr w:type="firstRow">
      <w:rPr>
        <w:rFonts w:asciiTheme="majorHAnsi" w:hAnsiTheme="majorHAnsi"/>
        <w:sz w:val="18"/>
      </w:rPr>
      <w:tblPr/>
      <w:tcPr>
        <w:shd w:val="clear" w:color="auto" w:fill="F0F7D7"/>
      </w:tcPr>
    </w:tblStylePr>
  </w:style>
  <w:style w:type="character" w:customStyle="1" w:styleId="ForeignDevanagariAlt">
    <w:name w:val="Foreign: DevanagariAlt"/>
    <w:basedOn w:val="Bekezdsalapbettpusa"/>
    <w:uiPriority w:val="1"/>
    <w:qFormat/>
    <w:rsid w:val="00F42AF8"/>
    <w:rPr>
      <w:rFonts w:ascii="Uttara" w:hAnsi="Uttara" w:cs="Uttara"/>
      <w:b w:val="0"/>
      <w:bCs w:val="0"/>
      <w:i w:val="0"/>
      <w:iCs w:val="0"/>
      <w:noProof/>
      <w14:ligatures w14:val="all"/>
    </w:rPr>
  </w:style>
  <w:style w:type="character" w:customStyle="1" w:styleId="ForeignDevanagariScript">
    <w:name w:val="Foreign: DevanagariScript"/>
    <w:basedOn w:val="ForeignKannadaScript"/>
    <w:uiPriority w:val="1"/>
    <w:qFormat/>
    <w:rsid w:val="00F42AF8"/>
    <w:rPr>
      <w:rFonts w:ascii="Tiro Devanagari Sanskrit" w:hAnsi="Tiro Devanagari Sanskrit" w:cs="Tiro Devanagari Sanskrit"/>
      <w:b w:val="0"/>
      <w:bCs w:val="0"/>
      <w:i w:val="0"/>
      <w:iCs w:val="0"/>
      <w:noProof/>
    </w:rPr>
  </w:style>
  <w:style w:type="character" w:customStyle="1" w:styleId="ForeignBengaliScript">
    <w:name w:val="Foreign: BengaliScript"/>
    <w:basedOn w:val="ForeignDevanagariScript"/>
    <w:uiPriority w:val="1"/>
    <w:qFormat/>
    <w:rsid w:val="00F42AF8"/>
    <w:rPr>
      <w:rFonts w:ascii="Tiro Devanagari Sanskrit" w:hAnsi="Tiro Devanagari Sanskrit" w:cs="Tiro Devanagari Sanskrit"/>
      <w:b w:val="0"/>
      <w:bCs w:val="0"/>
      <w:i w:val="0"/>
      <w:iCs w:val="0"/>
      <w:noProof/>
    </w:rPr>
  </w:style>
  <w:style w:type="character" w:customStyle="1" w:styleId="ForeignTamilGrantha">
    <w:name w:val="Foreign: TamilGrantha"/>
    <w:basedOn w:val="ForeignTamilScript"/>
    <w:uiPriority w:val="1"/>
    <w:qFormat/>
    <w:rsid w:val="00F42AF8"/>
    <w:rPr>
      <w:rFonts w:ascii="Noto Sans Grantha" w:hAnsi="Noto Sans Grantha" w:cs="Noto Sans Grantha"/>
      <w:b w:val="0"/>
      <w:bCs w:val="0"/>
      <w:i w:val="0"/>
      <w:iCs w:val="0"/>
      <w:noProof/>
      <w:szCs w:val="24"/>
    </w:rPr>
  </w:style>
  <w:style w:type="character" w:customStyle="1" w:styleId="TextedebullesCar">
    <w:name w:val="Texte de bulles Car"/>
    <w:basedOn w:val="Bekezdsalapbettpusa"/>
    <w:uiPriority w:val="99"/>
    <w:semiHidden/>
    <w:rsid w:val="00431357"/>
    <w:rPr>
      <w:rFonts w:ascii="Segoe UI" w:eastAsia="Arial Unicode MS" w:hAnsi="Segoe UI" w:cs="Mangal"/>
      <w:sz w:val="18"/>
      <w:szCs w:val="16"/>
      <w:lang w:eastAsia="en-US" w:bidi="ar-SA"/>
    </w:rPr>
  </w:style>
  <w:style w:type="character" w:customStyle="1" w:styleId="Metrum">
    <w:name w:val="Metrum"/>
    <w:rsid w:val="00431357"/>
    <w:rPr>
      <w:rFonts w:ascii="Cardo" w:hAnsi="Cardo"/>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3290">
      <w:bodyDiv w:val="1"/>
      <w:marLeft w:val="0"/>
      <w:marRight w:val="0"/>
      <w:marTop w:val="0"/>
      <w:marBottom w:val="0"/>
      <w:divBdr>
        <w:top w:val="none" w:sz="0" w:space="0" w:color="auto"/>
        <w:left w:val="none" w:sz="0" w:space="0" w:color="auto"/>
        <w:bottom w:val="none" w:sz="0" w:space="0" w:color="auto"/>
        <w:right w:val="none" w:sz="0" w:space="0" w:color="auto"/>
      </w:divBdr>
    </w:div>
    <w:div w:id="45421345">
      <w:bodyDiv w:val="1"/>
      <w:marLeft w:val="0"/>
      <w:marRight w:val="0"/>
      <w:marTop w:val="0"/>
      <w:marBottom w:val="0"/>
      <w:divBdr>
        <w:top w:val="none" w:sz="0" w:space="0" w:color="auto"/>
        <w:left w:val="none" w:sz="0" w:space="0" w:color="auto"/>
        <w:bottom w:val="none" w:sz="0" w:space="0" w:color="auto"/>
        <w:right w:val="none" w:sz="0" w:space="0" w:color="auto"/>
      </w:divBdr>
    </w:div>
    <w:div w:id="102959600">
      <w:bodyDiv w:val="1"/>
      <w:marLeft w:val="0"/>
      <w:marRight w:val="0"/>
      <w:marTop w:val="0"/>
      <w:marBottom w:val="0"/>
      <w:divBdr>
        <w:top w:val="none" w:sz="0" w:space="0" w:color="auto"/>
        <w:left w:val="none" w:sz="0" w:space="0" w:color="auto"/>
        <w:bottom w:val="none" w:sz="0" w:space="0" w:color="auto"/>
        <w:right w:val="none" w:sz="0" w:space="0" w:color="auto"/>
      </w:divBdr>
    </w:div>
    <w:div w:id="105395730">
      <w:bodyDiv w:val="1"/>
      <w:marLeft w:val="0"/>
      <w:marRight w:val="0"/>
      <w:marTop w:val="0"/>
      <w:marBottom w:val="0"/>
      <w:divBdr>
        <w:top w:val="none" w:sz="0" w:space="0" w:color="auto"/>
        <w:left w:val="none" w:sz="0" w:space="0" w:color="auto"/>
        <w:bottom w:val="none" w:sz="0" w:space="0" w:color="auto"/>
        <w:right w:val="none" w:sz="0" w:space="0" w:color="auto"/>
      </w:divBdr>
    </w:div>
    <w:div w:id="109521671">
      <w:bodyDiv w:val="1"/>
      <w:marLeft w:val="0"/>
      <w:marRight w:val="0"/>
      <w:marTop w:val="0"/>
      <w:marBottom w:val="0"/>
      <w:divBdr>
        <w:top w:val="none" w:sz="0" w:space="0" w:color="auto"/>
        <w:left w:val="none" w:sz="0" w:space="0" w:color="auto"/>
        <w:bottom w:val="none" w:sz="0" w:space="0" w:color="auto"/>
        <w:right w:val="none" w:sz="0" w:space="0" w:color="auto"/>
      </w:divBdr>
    </w:div>
    <w:div w:id="110049882">
      <w:bodyDiv w:val="1"/>
      <w:marLeft w:val="0"/>
      <w:marRight w:val="0"/>
      <w:marTop w:val="0"/>
      <w:marBottom w:val="0"/>
      <w:divBdr>
        <w:top w:val="none" w:sz="0" w:space="0" w:color="auto"/>
        <w:left w:val="none" w:sz="0" w:space="0" w:color="auto"/>
        <w:bottom w:val="none" w:sz="0" w:space="0" w:color="auto"/>
        <w:right w:val="none" w:sz="0" w:space="0" w:color="auto"/>
      </w:divBdr>
    </w:div>
    <w:div w:id="132603217">
      <w:bodyDiv w:val="1"/>
      <w:marLeft w:val="0"/>
      <w:marRight w:val="0"/>
      <w:marTop w:val="0"/>
      <w:marBottom w:val="0"/>
      <w:divBdr>
        <w:top w:val="none" w:sz="0" w:space="0" w:color="auto"/>
        <w:left w:val="none" w:sz="0" w:space="0" w:color="auto"/>
        <w:bottom w:val="none" w:sz="0" w:space="0" w:color="auto"/>
        <w:right w:val="none" w:sz="0" w:space="0" w:color="auto"/>
      </w:divBdr>
    </w:div>
    <w:div w:id="157312634">
      <w:bodyDiv w:val="1"/>
      <w:marLeft w:val="0"/>
      <w:marRight w:val="0"/>
      <w:marTop w:val="0"/>
      <w:marBottom w:val="0"/>
      <w:divBdr>
        <w:top w:val="none" w:sz="0" w:space="0" w:color="auto"/>
        <w:left w:val="none" w:sz="0" w:space="0" w:color="auto"/>
        <w:bottom w:val="none" w:sz="0" w:space="0" w:color="auto"/>
        <w:right w:val="none" w:sz="0" w:space="0" w:color="auto"/>
      </w:divBdr>
    </w:div>
    <w:div w:id="183329715">
      <w:bodyDiv w:val="1"/>
      <w:marLeft w:val="0"/>
      <w:marRight w:val="0"/>
      <w:marTop w:val="0"/>
      <w:marBottom w:val="0"/>
      <w:divBdr>
        <w:top w:val="none" w:sz="0" w:space="0" w:color="auto"/>
        <w:left w:val="none" w:sz="0" w:space="0" w:color="auto"/>
        <w:bottom w:val="none" w:sz="0" w:space="0" w:color="auto"/>
        <w:right w:val="none" w:sz="0" w:space="0" w:color="auto"/>
      </w:divBdr>
    </w:div>
    <w:div w:id="193005767">
      <w:bodyDiv w:val="1"/>
      <w:marLeft w:val="0"/>
      <w:marRight w:val="0"/>
      <w:marTop w:val="0"/>
      <w:marBottom w:val="0"/>
      <w:divBdr>
        <w:top w:val="none" w:sz="0" w:space="0" w:color="auto"/>
        <w:left w:val="none" w:sz="0" w:space="0" w:color="auto"/>
        <w:bottom w:val="none" w:sz="0" w:space="0" w:color="auto"/>
        <w:right w:val="none" w:sz="0" w:space="0" w:color="auto"/>
      </w:divBdr>
    </w:div>
    <w:div w:id="211619433">
      <w:bodyDiv w:val="1"/>
      <w:marLeft w:val="0"/>
      <w:marRight w:val="0"/>
      <w:marTop w:val="0"/>
      <w:marBottom w:val="0"/>
      <w:divBdr>
        <w:top w:val="none" w:sz="0" w:space="0" w:color="auto"/>
        <w:left w:val="none" w:sz="0" w:space="0" w:color="auto"/>
        <w:bottom w:val="none" w:sz="0" w:space="0" w:color="auto"/>
        <w:right w:val="none" w:sz="0" w:space="0" w:color="auto"/>
      </w:divBdr>
      <w:divsChild>
        <w:div w:id="11954811">
          <w:marLeft w:val="480"/>
          <w:marRight w:val="0"/>
          <w:marTop w:val="0"/>
          <w:marBottom w:val="0"/>
          <w:divBdr>
            <w:top w:val="none" w:sz="0" w:space="0" w:color="auto"/>
            <w:left w:val="none" w:sz="0" w:space="0" w:color="auto"/>
            <w:bottom w:val="none" w:sz="0" w:space="0" w:color="auto"/>
            <w:right w:val="none" w:sz="0" w:space="0" w:color="auto"/>
          </w:divBdr>
          <w:divsChild>
            <w:div w:id="242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970">
      <w:bodyDiv w:val="1"/>
      <w:marLeft w:val="0"/>
      <w:marRight w:val="0"/>
      <w:marTop w:val="0"/>
      <w:marBottom w:val="0"/>
      <w:divBdr>
        <w:top w:val="none" w:sz="0" w:space="0" w:color="auto"/>
        <w:left w:val="none" w:sz="0" w:space="0" w:color="auto"/>
        <w:bottom w:val="none" w:sz="0" w:space="0" w:color="auto"/>
        <w:right w:val="none" w:sz="0" w:space="0" w:color="auto"/>
      </w:divBdr>
    </w:div>
    <w:div w:id="264776259">
      <w:bodyDiv w:val="1"/>
      <w:marLeft w:val="0"/>
      <w:marRight w:val="0"/>
      <w:marTop w:val="0"/>
      <w:marBottom w:val="0"/>
      <w:divBdr>
        <w:top w:val="none" w:sz="0" w:space="0" w:color="auto"/>
        <w:left w:val="none" w:sz="0" w:space="0" w:color="auto"/>
        <w:bottom w:val="none" w:sz="0" w:space="0" w:color="auto"/>
        <w:right w:val="none" w:sz="0" w:space="0" w:color="auto"/>
      </w:divBdr>
    </w:div>
    <w:div w:id="279192214">
      <w:bodyDiv w:val="1"/>
      <w:marLeft w:val="0"/>
      <w:marRight w:val="0"/>
      <w:marTop w:val="0"/>
      <w:marBottom w:val="0"/>
      <w:divBdr>
        <w:top w:val="none" w:sz="0" w:space="0" w:color="auto"/>
        <w:left w:val="none" w:sz="0" w:space="0" w:color="auto"/>
        <w:bottom w:val="none" w:sz="0" w:space="0" w:color="auto"/>
        <w:right w:val="none" w:sz="0" w:space="0" w:color="auto"/>
      </w:divBdr>
    </w:div>
    <w:div w:id="315038910">
      <w:bodyDiv w:val="1"/>
      <w:marLeft w:val="0"/>
      <w:marRight w:val="0"/>
      <w:marTop w:val="0"/>
      <w:marBottom w:val="0"/>
      <w:divBdr>
        <w:top w:val="none" w:sz="0" w:space="0" w:color="auto"/>
        <w:left w:val="none" w:sz="0" w:space="0" w:color="auto"/>
        <w:bottom w:val="none" w:sz="0" w:space="0" w:color="auto"/>
        <w:right w:val="none" w:sz="0" w:space="0" w:color="auto"/>
      </w:divBdr>
    </w:div>
    <w:div w:id="430588830">
      <w:bodyDiv w:val="1"/>
      <w:marLeft w:val="0"/>
      <w:marRight w:val="0"/>
      <w:marTop w:val="0"/>
      <w:marBottom w:val="0"/>
      <w:divBdr>
        <w:top w:val="none" w:sz="0" w:space="0" w:color="auto"/>
        <w:left w:val="none" w:sz="0" w:space="0" w:color="auto"/>
        <w:bottom w:val="none" w:sz="0" w:space="0" w:color="auto"/>
        <w:right w:val="none" w:sz="0" w:space="0" w:color="auto"/>
      </w:divBdr>
    </w:div>
    <w:div w:id="437071191">
      <w:bodyDiv w:val="1"/>
      <w:marLeft w:val="0"/>
      <w:marRight w:val="0"/>
      <w:marTop w:val="0"/>
      <w:marBottom w:val="0"/>
      <w:divBdr>
        <w:top w:val="none" w:sz="0" w:space="0" w:color="auto"/>
        <w:left w:val="none" w:sz="0" w:space="0" w:color="auto"/>
        <w:bottom w:val="none" w:sz="0" w:space="0" w:color="auto"/>
        <w:right w:val="none" w:sz="0" w:space="0" w:color="auto"/>
      </w:divBdr>
    </w:div>
    <w:div w:id="471562700">
      <w:bodyDiv w:val="1"/>
      <w:marLeft w:val="0"/>
      <w:marRight w:val="0"/>
      <w:marTop w:val="0"/>
      <w:marBottom w:val="0"/>
      <w:divBdr>
        <w:top w:val="none" w:sz="0" w:space="0" w:color="auto"/>
        <w:left w:val="none" w:sz="0" w:space="0" w:color="auto"/>
        <w:bottom w:val="none" w:sz="0" w:space="0" w:color="auto"/>
        <w:right w:val="none" w:sz="0" w:space="0" w:color="auto"/>
      </w:divBdr>
    </w:div>
    <w:div w:id="485707158">
      <w:bodyDiv w:val="1"/>
      <w:marLeft w:val="0"/>
      <w:marRight w:val="0"/>
      <w:marTop w:val="0"/>
      <w:marBottom w:val="0"/>
      <w:divBdr>
        <w:top w:val="none" w:sz="0" w:space="0" w:color="auto"/>
        <w:left w:val="none" w:sz="0" w:space="0" w:color="auto"/>
        <w:bottom w:val="none" w:sz="0" w:space="0" w:color="auto"/>
        <w:right w:val="none" w:sz="0" w:space="0" w:color="auto"/>
      </w:divBdr>
    </w:div>
    <w:div w:id="509568200">
      <w:bodyDiv w:val="1"/>
      <w:marLeft w:val="0"/>
      <w:marRight w:val="0"/>
      <w:marTop w:val="0"/>
      <w:marBottom w:val="0"/>
      <w:divBdr>
        <w:top w:val="none" w:sz="0" w:space="0" w:color="auto"/>
        <w:left w:val="none" w:sz="0" w:space="0" w:color="auto"/>
        <w:bottom w:val="none" w:sz="0" w:space="0" w:color="auto"/>
        <w:right w:val="none" w:sz="0" w:space="0" w:color="auto"/>
      </w:divBdr>
    </w:div>
    <w:div w:id="540214831">
      <w:bodyDiv w:val="1"/>
      <w:marLeft w:val="0"/>
      <w:marRight w:val="0"/>
      <w:marTop w:val="0"/>
      <w:marBottom w:val="0"/>
      <w:divBdr>
        <w:top w:val="none" w:sz="0" w:space="0" w:color="auto"/>
        <w:left w:val="none" w:sz="0" w:space="0" w:color="auto"/>
        <w:bottom w:val="none" w:sz="0" w:space="0" w:color="auto"/>
        <w:right w:val="none" w:sz="0" w:space="0" w:color="auto"/>
      </w:divBdr>
    </w:div>
    <w:div w:id="565577944">
      <w:bodyDiv w:val="1"/>
      <w:marLeft w:val="0"/>
      <w:marRight w:val="0"/>
      <w:marTop w:val="0"/>
      <w:marBottom w:val="0"/>
      <w:divBdr>
        <w:top w:val="none" w:sz="0" w:space="0" w:color="auto"/>
        <w:left w:val="none" w:sz="0" w:space="0" w:color="auto"/>
        <w:bottom w:val="none" w:sz="0" w:space="0" w:color="auto"/>
        <w:right w:val="none" w:sz="0" w:space="0" w:color="auto"/>
      </w:divBdr>
    </w:div>
    <w:div w:id="574362720">
      <w:bodyDiv w:val="1"/>
      <w:marLeft w:val="0"/>
      <w:marRight w:val="0"/>
      <w:marTop w:val="0"/>
      <w:marBottom w:val="0"/>
      <w:divBdr>
        <w:top w:val="none" w:sz="0" w:space="0" w:color="auto"/>
        <w:left w:val="none" w:sz="0" w:space="0" w:color="auto"/>
        <w:bottom w:val="none" w:sz="0" w:space="0" w:color="auto"/>
        <w:right w:val="none" w:sz="0" w:space="0" w:color="auto"/>
      </w:divBdr>
    </w:div>
    <w:div w:id="575744209">
      <w:bodyDiv w:val="1"/>
      <w:marLeft w:val="0"/>
      <w:marRight w:val="0"/>
      <w:marTop w:val="0"/>
      <w:marBottom w:val="0"/>
      <w:divBdr>
        <w:top w:val="none" w:sz="0" w:space="0" w:color="auto"/>
        <w:left w:val="none" w:sz="0" w:space="0" w:color="auto"/>
        <w:bottom w:val="none" w:sz="0" w:space="0" w:color="auto"/>
        <w:right w:val="none" w:sz="0" w:space="0" w:color="auto"/>
      </w:divBdr>
    </w:div>
    <w:div w:id="597524147">
      <w:bodyDiv w:val="1"/>
      <w:marLeft w:val="0"/>
      <w:marRight w:val="0"/>
      <w:marTop w:val="0"/>
      <w:marBottom w:val="0"/>
      <w:divBdr>
        <w:top w:val="none" w:sz="0" w:space="0" w:color="auto"/>
        <w:left w:val="none" w:sz="0" w:space="0" w:color="auto"/>
        <w:bottom w:val="none" w:sz="0" w:space="0" w:color="auto"/>
        <w:right w:val="none" w:sz="0" w:space="0" w:color="auto"/>
      </w:divBdr>
    </w:div>
    <w:div w:id="609238002">
      <w:bodyDiv w:val="1"/>
      <w:marLeft w:val="0"/>
      <w:marRight w:val="0"/>
      <w:marTop w:val="0"/>
      <w:marBottom w:val="0"/>
      <w:divBdr>
        <w:top w:val="none" w:sz="0" w:space="0" w:color="auto"/>
        <w:left w:val="none" w:sz="0" w:space="0" w:color="auto"/>
        <w:bottom w:val="none" w:sz="0" w:space="0" w:color="auto"/>
        <w:right w:val="none" w:sz="0" w:space="0" w:color="auto"/>
      </w:divBdr>
    </w:div>
    <w:div w:id="612976669">
      <w:bodyDiv w:val="1"/>
      <w:marLeft w:val="0"/>
      <w:marRight w:val="0"/>
      <w:marTop w:val="0"/>
      <w:marBottom w:val="0"/>
      <w:divBdr>
        <w:top w:val="none" w:sz="0" w:space="0" w:color="auto"/>
        <w:left w:val="none" w:sz="0" w:space="0" w:color="auto"/>
        <w:bottom w:val="none" w:sz="0" w:space="0" w:color="auto"/>
        <w:right w:val="none" w:sz="0" w:space="0" w:color="auto"/>
      </w:divBdr>
      <w:divsChild>
        <w:div w:id="23212860">
          <w:marLeft w:val="480"/>
          <w:marRight w:val="0"/>
          <w:marTop w:val="0"/>
          <w:marBottom w:val="0"/>
          <w:divBdr>
            <w:top w:val="none" w:sz="0" w:space="0" w:color="auto"/>
            <w:left w:val="none" w:sz="0" w:space="0" w:color="auto"/>
            <w:bottom w:val="none" w:sz="0" w:space="0" w:color="auto"/>
            <w:right w:val="none" w:sz="0" w:space="0" w:color="auto"/>
          </w:divBdr>
          <w:divsChild>
            <w:div w:id="19344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736">
      <w:bodyDiv w:val="1"/>
      <w:marLeft w:val="0"/>
      <w:marRight w:val="0"/>
      <w:marTop w:val="0"/>
      <w:marBottom w:val="0"/>
      <w:divBdr>
        <w:top w:val="none" w:sz="0" w:space="0" w:color="auto"/>
        <w:left w:val="none" w:sz="0" w:space="0" w:color="auto"/>
        <w:bottom w:val="none" w:sz="0" w:space="0" w:color="auto"/>
        <w:right w:val="none" w:sz="0" w:space="0" w:color="auto"/>
      </w:divBdr>
    </w:div>
    <w:div w:id="665136187">
      <w:bodyDiv w:val="1"/>
      <w:marLeft w:val="0"/>
      <w:marRight w:val="0"/>
      <w:marTop w:val="0"/>
      <w:marBottom w:val="0"/>
      <w:divBdr>
        <w:top w:val="none" w:sz="0" w:space="0" w:color="auto"/>
        <w:left w:val="none" w:sz="0" w:space="0" w:color="auto"/>
        <w:bottom w:val="none" w:sz="0" w:space="0" w:color="auto"/>
        <w:right w:val="none" w:sz="0" w:space="0" w:color="auto"/>
      </w:divBdr>
    </w:div>
    <w:div w:id="696613784">
      <w:bodyDiv w:val="1"/>
      <w:marLeft w:val="0"/>
      <w:marRight w:val="0"/>
      <w:marTop w:val="0"/>
      <w:marBottom w:val="0"/>
      <w:divBdr>
        <w:top w:val="none" w:sz="0" w:space="0" w:color="auto"/>
        <w:left w:val="none" w:sz="0" w:space="0" w:color="auto"/>
        <w:bottom w:val="none" w:sz="0" w:space="0" w:color="auto"/>
        <w:right w:val="none" w:sz="0" w:space="0" w:color="auto"/>
      </w:divBdr>
    </w:div>
    <w:div w:id="704526947">
      <w:bodyDiv w:val="1"/>
      <w:marLeft w:val="0"/>
      <w:marRight w:val="0"/>
      <w:marTop w:val="0"/>
      <w:marBottom w:val="0"/>
      <w:divBdr>
        <w:top w:val="none" w:sz="0" w:space="0" w:color="auto"/>
        <w:left w:val="none" w:sz="0" w:space="0" w:color="auto"/>
        <w:bottom w:val="none" w:sz="0" w:space="0" w:color="auto"/>
        <w:right w:val="none" w:sz="0" w:space="0" w:color="auto"/>
      </w:divBdr>
    </w:div>
    <w:div w:id="725030592">
      <w:bodyDiv w:val="1"/>
      <w:marLeft w:val="0"/>
      <w:marRight w:val="0"/>
      <w:marTop w:val="0"/>
      <w:marBottom w:val="0"/>
      <w:divBdr>
        <w:top w:val="none" w:sz="0" w:space="0" w:color="auto"/>
        <w:left w:val="none" w:sz="0" w:space="0" w:color="auto"/>
        <w:bottom w:val="none" w:sz="0" w:space="0" w:color="auto"/>
        <w:right w:val="none" w:sz="0" w:space="0" w:color="auto"/>
      </w:divBdr>
    </w:div>
    <w:div w:id="757599133">
      <w:bodyDiv w:val="1"/>
      <w:marLeft w:val="0"/>
      <w:marRight w:val="0"/>
      <w:marTop w:val="0"/>
      <w:marBottom w:val="0"/>
      <w:divBdr>
        <w:top w:val="none" w:sz="0" w:space="0" w:color="auto"/>
        <w:left w:val="none" w:sz="0" w:space="0" w:color="auto"/>
        <w:bottom w:val="none" w:sz="0" w:space="0" w:color="auto"/>
        <w:right w:val="none" w:sz="0" w:space="0" w:color="auto"/>
      </w:divBdr>
    </w:div>
    <w:div w:id="801309072">
      <w:bodyDiv w:val="1"/>
      <w:marLeft w:val="0"/>
      <w:marRight w:val="0"/>
      <w:marTop w:val="0"/>
      <w:marBottom w:val="0"/>
      <w:divBdr>
        <w:top w:val="none" w:sz="0" w:space="0" w:color="auto"/>
        <w:left w:val="none" w:sz="0" w:space="0" w:color="auto"/>
        <w:bottom w:val="none" w:sz="0" w:space="0" w:color="auto"/>
        <w:right w:val="none" w:sz="0" w:space="0" w:color="auto"/>
      </w:divBdr>
    </w:div>
    <w:div w:id="819157559">
      <w:bodyDiv w:val="1"/>
      <w:marLeft w:val="0"/>
      <w:marRight w:val="0"/>
      <w:marTop w:val="0"/>
      <w:marBottom w:val="0"/>
      <w:divBdr>
        <w:top w:val="none" w:sz="0" w:space="0" w:color="auto"/>
        <w:left w:val="none" w:sz="0" w:space="0" w:color="auto"/>
        <w:bottom w:val="none" w:sz="0" w:space="0" w:color="auto"/>
        <w:right w:val="none" w:sz="0" w:space="0" w:color="auto"/>
      </w:divBdr>
    </w:div>
    <w:div w:id="882331959">
      <w:bodyDiv w:val="1"/>
      <w:marLeft w:val="0"/>
      <w:marRight w:val="0"/>
      <w:marTop w:val="0"/>
      <w:marBottom w:val="0"/>
      <w:divBdr>
        <w:top w:val="none" w:sz="0" w:space="0" w:color="auto"/>
        <w:left w:val="none" w:sz="0" w:space="0" w:color="auto"/>
        <w:bottom w:val="none" w:sz="0" w:space="0" w:color="auto"/>
        <w:right w:val="none" w:sz="0" w:space="0" w:color="auto"/>
      </w:divBdr>
    </w:div>
    <w:div w:id="916087369">
      <w:bodyDiv w:val="1"/>
      <w:marLeft w:val="0"/>
      <w:marRight w:val="0"/>
      <w:marTop w:val="0"/>
      <w:marBottom w:val="0"/>
      <w:divBdr>
        <w:top w:val="none" w:sz="0" w:space="0" w:color="auto"/>
        <w:left w:val="none" w:sz="0" w:space="0" w:color="auto"/>
        <w:bottom w:val="none" w:sz="0" w:space="0" w:color="auto"/>
        <w:right w:val="none" w:sz="0" w:space="0" w:color="auto"/>
      </w:divBdr>
    </w:div>
    <w:div w:id="948009768">
      <w:bodyDiv w:val="1"/>
      <w:marLeft w:val="0"/>
      <w:marRight w:val="0"/>
      <w:marTop w:val="0"/>
      <w:marBottom w:val="0"/>
      <w:divBdr>
        <w:top w:val="none" w:sz="0" w:space="0" w:color="auto"/>
        <w:left w:val="none" w:sz="0" w:space="0" w:color="auto"/>
        <w:bottom w:val="none" w:sz="0" w:space="0" w:color="auto"/>
        <w:right w:val="none" w:sz="0" w:space="0" w:color="auto"/>
      </w:divBdr>
    </w:div>
    <w:div w:id="972053480">
      <w:bodyDiv w:val="1"/>
      <w:marLeft w:val="0"/>
      <w:marRight w:val="0"/>
      <w:marTop w:val="0"/>
      <w:marBottom w:val="0"/>
      <w:divBdr>
        <w:top w:val="none" w:sz="0" w:space="0" w:color="auto"/>
        <w:left w:val="none" w:sz="0" w:space="0" w:color="auto"/>
        <w:bottom w:val="none" w:sz="0" w:space="0" w:color="auto"/>
        <w:right w:val="none" w:sz="0" w:space="0" w:color="auto"/>
      </w:divBdr>
    </w:div>
    <w:div w:id="1002901293">
      <w:bodyDiv w:val="1"/>
      <w:marLeft w:val="0"/>
      <w:marRight w:val="0"/>
      <w:marTop w:val="0"/>
      <w:marBottom w:val="0"/>
      <w:divBdr>
        <w:top w:val="none" w:sz="0" w:space="0" w:color="auto"/>
        <w:left w:val="none" w:sz="0" w:space="0" w:color="auto"/>
        <w:bottom w:val="none" w:sz="0" w:space="0" w:color="auto"/>
        <w:right w:val="none" w:sz="0" w:space="0" w:color="auto"/>
      </w:divBdr>
    </w:div>
    <w:div w:id="1065179567">
      <w:bodyDiv w:val="1"/>
      <w:marLeft w:val="0"/>
      <w:marRight w:val="0"/>
      <w:marTop w:val="0"/>
      <w:marBottom w:val="0"/>
      <w:divBdr>
        <w:top w:val="none" w:sz="0" w:space="0" w:color="auto"/>
        <w:left w:val="none" w:sz="0" w:space="0" w:color="auto"/>
        <w:bottom w:val="none" w:sz="0" w:space="0" w:color="auto"/>
        <w:right w:val="none" w:sz="0" w:space="0" w:color="auto"/>
      </w:divBdr>
    </w:div>
    <w:div w:id="1129861277">
      <w:bodyDiv w:val="1"/>
      <w:marLeft w:val="0"/>
      <w:marRight w:val="0"/>
      <w:marTop w:val="0"/>
      <w:marBottom w:val="0"/>
      <w:divBdr>
        <w:top w:val="none" w:sz="0" w:space="0" w:color="auto"/>
        <w:left w:val="none" w:sz="0" w:space="0" w:color="auto"/>
        <w:bottom w:val="none" w:sz="0" w:space="0" w:color="auto"/>
        <w:right w:val="none" w:sz="0" w:space="0" w:color="auto"/>
      </w:divBdr>
    </w:div>
    <w:div w:id="1132090427">
      <w:bodyDiv w:val="1"/>
      <w:marLeft w:val="0"/>
      <w:marRight w:val="0"/>
      <w:marTop w:val="0"/>
      <w:marBottom w:val="0"/>
      <w:divBdr>
        <w:top w:val="none" w:sz="0" w:space="0" w:color="auto"/>
        <w:left w:val="none" w:sz="0" w:space="0" w:color="auto"/>
        <w:bottom w:val="none" w:sz="0" w:space="0" w:color="auto"/>
        <w:right w:val="none" w:sz="0" w:space="0" w:color="auto"/>
      </w:divBdr>
    </w:div>
    <w:div w:id="1142430154">
      <w:bodyDiv w:val="1"/>
      <w:marLeft w:val="0"/>
      <w:marRight w:val="0"/>
      <w:marTop w:val="0"/>
      <w:marBottom w:val="0"/>
      <w:divBdr>
        <w:top w:val="none" w:sz="0" w:space="0" w:color="auto"/>
        <w:left w:val="none" w:sz="0" w:space="0" w:color="auto"/>
        <w:bottom w:val="none" w:sz="0" w:space="0" w:color="auto"/>
        <w:right w:val="none" w:sz="0" w:space="0" w:color="auto"/>
      </w:divBdr>
    </w:div>
    <w:div w:id="1166827826">
      <w:bodyDiv w:val="1"/>
      <w:marLeft w:val="0"/>
      <w:marRight w:val="0"/>
      <w:marTop w:val="0"/>
      <w:marBottom w:val="0"/>
      <w:divBdr>
        <w:top w:val="none" w:sz="0" w:space="0" w:color="auto"/>
        <w:left w:val="none" w:sz="0" w:space="0" w:color="auto"/>
        <w:bottom w:val="none" w:sz="0" w:space="0" w:color="auto"/>
        <w:right w:val="none" w:sz="0" w:space="0" w:color="auto"/>
      </w:divBdr>
    </w:div>
    <w:div w:id="1181776373">
      <w:bodyDiv w:val="1"/>
      <w:marLeft w:val="0"/>
      <w:marRight w:val="0"/>
      <w:marTop w:val="0"/>
      <w:marBottom w:val="0"/>
      <w:divBdr>
        <w:top w:val="none" w:sz="0" w:space="0" w:color="auto"/>
        <w:left w:val="none" w:sz="0" w:space="0" w:color="auto"/>
        <w:bottom w:val="none" w:sz="0" w:space="0" w:color="auto"/>
        <w:right w:val="none" w:sz="0" w:space="0" w:color="auto"/>
      </w:divBdr>
    </w:div>
    <w:div w:id="1186793211">
      <w:bodyDiv w:val="1"/>
      <w:marLeft w:val="0"/>
      <w:marRight w:val="0"/>
      <w:marTop w:val="0"/>
      <w:marBottom w:val="0"/>
      <w:divBdr>
        <w:top w:val="none" w:sz="0" w:space="0" w:color="auto"/>
        <w:left w:val="none" w:sz="0" w:space="0" w:color="auto"/>
        <w:bottom w:val="none" w:sz="0" w:space="0" w:color="auto"/>
        <w:right w:val="none" w:sz="0" w:space="0" w:color="auto"/>
      </w:divBdr>
      <w:divsChild>
        <w:div w:id="1690522852">
          <w:marLeft w:val="-20"/>
          <w:marRight w:val="0"/>
          <w:marTop w:val="0"/>
          <w:marBottom w:val="0"/>
          <w:divBdr>
            <w:top w:val="none" w:sz="0" w:space="0" w:color="auto"/>
            <w:left w:val="none" w:sz="0" w:space="0" w:color="auto"/>
            <w:bottom w:val="none" w:sz="0" w:space="0" w:color="auto"/>
            <w:right w:val="none" w:sz="0" w:space="0" w:color="auto"/>
          </w:divBdr>
        </w:div>
      </w:divsChild>
    </w:div>
    <w:div w:id="1200823290">
      <w:bodyDiv w:val="1"/>
      <w:marLeft w:val="0"/>
      <w:marRight w:val="0"/>
      <w:marTop w:val="0"/>
      <w:marBottom w:val="0"/>
      <w:divBdr>
        <w:top w:val="none" w:sz="0" w:space="0" w:color="auto"/>
        <w:left w:val="none" w:sz="0" w:space="0" w:color="auto"/>
        <w:bottom w:val="none" w:sz="0" w:space="0" w:color="auto"/>
        <w:right w:val="none" w:sz="0" w:space="0" w:color="auto"/>
      </w:divBdr>
    </w:div>
    <w:div w:id="1204363142">
      <w:bodyDiv w:val="1"/>
      <w:marLeft w:val="0"/>
      <w:marRight w:val="0"/>
      <w:marTop w:val="0"/>
      <w:marBottom w:val="0"/>
      <w:divBdr>
        <w:top w:val="none" w:sz="0" w:space="0" w:color="auto"/>
        <w:left w:val="none" w:sz="0" w:space="0" w:color="auto"/>
        <w:bottom w:val="none" w:sz="0" w:space="0" w:color="auto"/>
        <w:right w:val="none" w:sz="0" w:space="0" w:color="auto"/>
      </w:divBdr>
    </w:div>
    <w:div w:id="1224608296">
      <w:bodyDiv w:val="1"/>
      <w:marLeft w:val="0"/>
      <w:marRight w:val="0"/>
      <w:marTop w:val="0"/>
      <w:marBottom w:val="0"/>
      <w:divBdr>
        <w:top w:val="none" w:sz="0" w:space="0" w:color="auto"/>
        <w:left w:val="none" w:sz="0" w:space="0" w:color="auto"/>
        <w:bottom w:val="none" w:sz="0" w:space="0" w:color="auto"/>
        <w:right w:val="none" w:sz="0" w:space="0" w:color="auto"/>
      </w:divBdr>
    </w:div>
    <w:div w:id="1247305847">
      <w:bodyDiv w:val="1"/>
      <w:marLeft w:val="0"/>
      <w:marRight w:val="0"/>
      <w:marTop w:val="0"/>
      <w:marBottom w:val="0"/>
      <w:divBdr>
        <w:top w:val="none" w:sz="0" w:space="0" w:color="auto"/>
        <w:left w:val="none" w:sz="0" w:space="0" w:color="auto"/>
        <w:bottom w:val="none" w:sz="0" w:space="0" w:color="auto"/>
        <w:right w:val="none" w:sz="0" w:space="0" w:color="auto"/>
      </w:divBdr>
    </w:div>
    <w:div w:id="1250115219">
      <w:bodyDiv w:val="1"/>
      <w:marLeft w:val="0"/>
      <w:marRight w:val="0"/>
      <w:marTop w:val="0"/>
      <w:marBottom w:val="0"/>
      <w:divBdr>
        <w:top w:val="none" w:sz="0" w:space="0" w:color="auto"/>
        <w:left w:val="none" w:sz="0" w:space="0" w:color="auto"/>
        <w:bottom w:val="none" w:sz="0" w:space="0" w:color="auto"/>
        <w:right w:val="none" w:sz="0" w:space="0" w:color="auto"/>
      </w:divBdr>
    </w:div>
    <w:div w:id="1279488718">
      <w:bodyDiv w:val="1"/>
      <w:marLeft w:val="0"/>
      <w:marRight w:val="0"/>
      <w:marTop w:val="0"/>
      <w:marBottom w:val="0"/>
      <w:divBdr>
        <w:top w:val="none" w:sz="0" w:space="0" w:color="auto"/>
        <w:left w:val="none" w:sz="0" w:space="0" w:color="auto"/>
        <w:bottom w:val="none" w:sz="0" w:space="0" w:color="auto"/>
        <w:right w:val="none" w:sz="0" w:space="0" w:color="auto"/>
      </w:divBdr>
    </w:div>
    <w:div w:id="1291745147">
      <w:bodyDiv w:val="1"/>
      <w:marLeft w:val="0"/>
      <w:marRight w:val="0"/>
      <w:marTop w:val="0"/>
      <w:marBottom w:val="0"/>
      <w:divBdr>
        <w:top w:val="none" w:sz="0" w:space="0" w:color="auto"/>
        <w:left w:val="none" w:sz="0" w:space="0" w:color="auto"/>
        <w:bottom w:val="none" w:sz="0" w:space="0" w:color="auto"/>
        <w:right w:val="none" w:sz="0" w:space="0" w:color="auto"/>
      </w:divBdr>
    </w:div>
    <w:div w:id="1315719046">
      <w:bodyDiv w:val="1"/>
      <w:marLeft w:val="0"/>
      <w:marRight w:val="0"/>
      <w:marTop w:val="0"/>
      <w:marBottom w:val="0"/>
      <w:divBdr>
        <w:top w:val="none" w:sz="0" w:space="0" w:color="auto"/>
        <w:left w:val="none" w:sz="0" w:space="0" w:color="auto"/>
        <w:bottom w:val="none" w:sz="0" w:space="0" w:color="auto"/>
        <w:right w:val="none" w:sz="0" w:space="0" w:color="auto"/>
      </w:divBdr>
    </w:div>
    <w:div w:id="1329554844">
      <w:bodyDiv w:val="1"/>
      <w:marLeft w:val="0"/>
      <w:marRight w:val="0"/>
      <w:marTop w:val="0"/>
      <w:marBottom w:val="0"/>
      <w:divBdr>
        <w:top w:val="none" w:sz="0" w:space="0" w:color="auto"/>
        <w:left w:val="none" w:sz="0" w:space="0" w:color="auto"/>
        <w:bottom w:val="none" w:sz="0" w:space="0" w:color="auto"/>
        <w:right w:val="none" w:sz="0" w:space="0" w:color="auto"/>
      </w:divBdr>
    </w:div>
    <w:div w:id="1352874006">
      <w:bodyDiv w:val="1"/>
      <w:marLeft w:val="0"/>
      <w:marRight w:val="0"/>
      <w:marTop w:val="0"/>
      <w:marBottom w:val="0"/>
      <w:divBdr>
        <w:top w:val="none" w:sz="0" w:space="0" w:color="auto"/>
        <w:left w:val="none" w:sz="0" w:space="0" w:color="auto"/>
        <w:bottom w:val="none" w:sz="0" w:space="0" w:color="auto"/>
        <w:right w:val="none" w:sz="0" w:space="0" w:color="auto"/>
      </w:divBdr>
    </w:div>
    <w:div w:id="1368872382">
      <w:bodyDiv w:val="1"/>
      <w:marLeft w:val="0"/>
      <w:marRight w:val="0"/>
      <w:marTop w:val="0"/>
      <w:marBottom w:val="0"/>
      <w:divBdr>
        <w:top w:val="none" w:sz="0" w:space="0" w:color="auto"/>
        <w:left w:val="none" w:sz="0" w:space="0" w:color="auto"/>
        <w:bottom w:val="none" w:sz="0" w:space="0" w:color="auto"/>
        <w:right w:val="none" w:sz="0" w:space="0" w:color="auto"/>
      </w:divBdr>
    </w:div>
    <w:div w:id="1402944226">
      <w:bodyDiv w:val="1"/>
      <w:marLeft w:val="0"/>
      <w:marRight w:val="0"/>
      <w:marTop w:val="0"/>
      <w:marBottom w:val="0"/>
      <w:divBdr>
        <w:top w:val="none" w:sz="0" w:space="0" w:color="auto"/>
        <w:left w:val="none" w:sz="0" w:space="0" w:color="auto"/>
        <w:bottom w:val="none" w:sz="0" w:space="0" w:color="auto"/>
        <w:right w:val="none" w:sz="0" w:space="0" w:color="auto"/>
      </w:divBdr>
    </w:div>
    <w:div w:id="1414426317">
      <w:bodyDiv w:val="1"/>
      <w:marLeft w:val="0"/>
      <w:marRight w:val="0"/>
      <w:marTop w:val="0"/>
      <w:marBottom w:val="0"/>
      <w:divBdr>
        <w:top w:val="none" w:sz="0" w:space="0" w:color="auto"/>
        <w:left w:val="none" w:sz="0" w:space="0" w:color="auto"/>
        <w:bottom w:val="none" w:sz="0" w:space="0" w:color="auto"/>
        <w:right w:val="none" w:sz="0" w:space="0" w:color="auto"/>
      </w:divBdr>
    </w:div>
    <w:div w:id="1423448894">
      <w:bodyDiv w:val="1"/>
      <w:marLeft w:val="0"/>
      <w:marRight w:val="0"/>
      <w:marTop w:val="0"/>
      <w:marBottom w:val="0"/>
      <w:divBdr>
        <w:top w:val="none" w:sz="0" w:space="0" w:color="auto"/>
        <w:left w:val="none" w:sz="0" w:space="0" w:color="auto"/>
        <w:bottom w:val="none" w:sz="0" w:space="0" w:color="auto"/>
        <w:right w:val="none" w:sz="0" w:space="0" w:color="auto"/>
      </w:divBdr>
    </w:div>
    <w:div w:id="1449007817">
      <w:bodyDiv w:val="1"/>
      <w:marLeft w:val="0"/>
      <w:marRight w:val="0"/>
      <w:marTop w:val="0"/>
      <w:marBottom w:val="0"/>
      <w:divBdr>
        <w:top w:val="none" w:sz="0" w:space="0" w:color="auto"/>
        <w:left w:val="none" w:sz="0" w:space="0" w:color="auto"/>
        <w:bottom w:val="none" w:sz="0" w:space="0" w:color="auto"/>
        <w:right w:val="none" w:sz="0" w:space="0" w:color="auto"/>
      </w:divBdr>
    </w:div>
    <w:div w:id="1467510145">
      <w:bodyDiv w:val="1"/>
      <w:marLeft w:val="0"/>
      <w:marRight w:val="0"/>
      <w:marTop w:val="0"/>
      <w:marBottom w:val="0"/>
      <w:divBdr>
        <w:top w:val="none" w:sz="0" w:space="0" w:color="auto"/>
        <w:left w:val="none" w:sz="0" w:space="0" w:color="auto"/>
        <w:bottom w:val="none" w:sz="0" w:space="0" w:color="auto"/>
        <w:right w:val="none" w:sz="0" w:space="0" w:color="auto"/>
      </w:divBdr>
    </w:div>
    <w:div w:id="1491628735">
      <w:bodyDiv w:val="1"/>
      <w:marLeft w:val="0"/>
      <w:marRight w:val="0"/>
      <w:marTop w:val="0"/>
      <w:marBottom w:val="0"/>
      <w:divBdr>
        <w:top w:val="none" w:sz="0" w:space="0" w:color="auto"/>
        <w:left w:val="none" w:sz="0" w:space="0" w:color="auto"/>
        <w:bottom w:val="none" w:sz="0" w:space="0" w:color="auto"/>
        <w:right w:val="none" w:sz="0" w:space="0" w:color="auto"/>
      </w:divBdr>
    </w:div>
    <w:div w:id="1554464516">
      <w:bodyDiv w:val="1"/>
      <w:marLeft w:val="0"/>
      <w:marRight w:val="0"/>
      <w:marTop w:val="0"/>
      <w:marBottom w:val="0"/>
      <w:divBdr>
        <w:top w:val="none" w:sz="0" w:space="0" w:color="auto"/>
        <w:left w:val="none" w:sz="0" w:space="0" w:color="auto"/>
        <w:bottom w:val="none" w:sz="0" w:space="0" w:color="auto"/>
        <w:right w:val="none" w:sz="0" w:space="0" w:color="auto"/>
      </w:divBdr>
      <w:divsChild>
        <w:div w:id="128253981">
          <w:marLeft w:val="480"/>
          <w:marRight w:val="0"/>
          <w:marTop w:val="0"/>
          <w:marBottom w:val="0"/>
          <w:divBdr>
            <w:top w:val="none" w:sz="0" w:space="0" w:color="auto"/>
            <w:left w:val="none" w:sz="0" w:space="0" w:color="auto"/>
            <w:bottom w:val="none" w:sz="0" w:space="0" w:color="auto"/>
            <w:right w:val="none" w:sz="0" w:space="0" w:color="auto"/>
          </w:divBdr>
          <w:divsChild>
            <w:div w:id="9211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2174">
      <w:bodyDiv w:val="1"/>
      <w:marLeft w:val="0"/>
      <w:marRight w:val="0"/>
      <w:marTop w:val="0"/>
      <w:marBottom w:val="0"/>
      <w:divBdr>
        <w:top w:val="none" w:sz="0" w:space="0" w:color="auto"/>
        <w:left w:val="none" w:sz="0" w:space="0" w:color="auto"/>
        <w:bottom w:val="none" w:sz="0" w:space="0" w:color="auto"/>
        <w:right w:val="none" w:sz="0" w:space="0" w:color="auto"/>
      </w:divBdr>
    </w:div>
    <w:div w:id="1606696698">
      <w:bodyDiv w:val="1"/>
      <w:marLeft w:val="0"/>
      <w:marRight w:val="0"/>
      <w:marTop w:val="0"/>
      <w:marBottom w:val="0"/>
      <w:divBdr>
        <w:top w:val="none" w:sz="0" w:space="0" w:color="auto"/>
        <w:left w:val="none" w:sz="0" w:space="0" w:color="auto"/>
        <w:bottom w:val="none" w:sz="0" w:space="0" w:color="auto"/>
        <w:right w:val="none" w:sz="0" w:space="0" w:color="auto"/>
      </w:divBdr>
    </w:div>
    <w:div w:id="1655404465">
      <w:bodyDiv w:val="1"/>
      <w:marLeft w:val="0"/>
      <w:marRight w:val="0"/>
      <w:marTop w:val="0"/>
      <w:marBottom w:val="0"/>
      <w:divBdr>
        <w:top w:val="none" w:sz="0" w:space="0" w:color="auto"/>
        <w:left w:val="none" w:sz="0" w:space="0" w:color="auto"/>
        <w:bottom w:val="none" w:sz="0" w:space="0" w:color="auto"/>
        <w:right w:val="none" w:sz="0" w:space="0" w:color="auto"/>
      </w:divBdr>
    </w:div>
    <w:div w:id="1656567996">
      <w:bodyDiv w:val="1"/>
      <w:marLeft w:val="0"/>
      <w:marRight w:val="0"/>
      <w:marTop w:val="0"/>
      <w:marBottom w:val="0"/>
      <w:divBdr>
        <w:top w:val="none" w:sz="0" w:space="0" w:color="auto"/>
        <w:left w:val="none" w:sz="0" w:space="0" w:color="auto"/>
        <w:bottom w:val="none" w:sz="0" w:space="0" w:color="auto"/>
        <w:right w:val="none" w:sz="0" w:space="0" w:color="auto"/>
      </w:divBdr>
    </w:div>
    <w:div w:id="1693602554">
      <w:bodyDiv w:val="1"/>
      <w:marLeft w:val="0"/>
      <w:marRight w:val="0"/>
      <w:marTop w:val="0"/>
      <w:marBottom w:val="0"/>
      <w:divBdr>
        <w:top w:val="none" w:sz="0" w:space="0" w:color="auto"/>
        <w:left w:val="none" w:sz="0" w:space="0" w:color="auto"/>
        <w:bottom w:val="none" w:sz="0" w:space="0" w:color="auto"/>
        <w:right w:val="none" w:sz="0" w:space="0" w:color="auto"/>
      </w:divBdr>
      <w:divsChild>
        <w:div w:id="1184594118">
          <w:marLeft w:val="-20"/>
          <w:marRight w:val="0"/>
          <w:marTop w:val="0"/>
          <w:marBottom w:val="0"/>
          <w:divBdr>
            <w:top w:val="none" w:sz="0" w:space="0" w:color="auto"/>
            <w:left w:val="none" w:sz="0" w:space="0" w:color="auto"/>
            <w:bottom w:val="none" w:sz="0" w:space="0" w:color="auto"/>
            <w:right w:val="none" w:sz="0" w:space="0" w:color="auto"/>
          </w:divBdr>
        </w:div>
      </w:divsChild>
    </w:div>
    <w:div w:id="1706369682">
      <w:bodyDiv w:val="1"/>
      <w:marLeft w:val="0"/>
      <w:marRight w:val="0"/>
      <w:marTop w:val="0"/>
      <w:marBottom w:val="0"/>
      <w:divBdr>
        <w:top w:val="none" w:sz="0" w:space="0" w:color="auto"/>
        <w:left w:val="none" w:sz="0" w:space="0" w:color="auto"/>
        <w:bottom w:val="none" w:sz="0" w:space="0" w:color="auto"/>
        <w:right w:val="none" w:sz="0" w:space="0" w:color="auto"/>
      </w:divBdr>
    </w:div>
    <w:div w:id="1712076084">
      <w:bodyDiv w:val="1"/>
      <w:marLeft w:val="0"/>
      <w:marRight w:val="0"/>
      <w:marTop w:val="0"/>
      <w:marBottom w:val="0"/>
      <w:divBdr>
        <w:top w:val="none" w:sz="0" w:space="0" w:color="auto"/>
        <w:left w:val="none" w:sz="0" w:space="0" w:color="auto"/>
        <w:bottom w:val="none" w:sz="0" w:space="0" w:color="auto"/>
        <w:right w:val="none" w:sz="0" w:space="0" w:color="auto"/>
      </w:divBdr>
    </w:div>
    <w:div w:id="1714883744">
      <w:bodyDiv w:val="1"/>
      <w:marLeft w:val="0"/>
      <w:marRight w:val="0"/>
      <w:marTop w:val="0"/>
      <w:marBottom w:val="0"/>
      <w:divBdr>
        <w:top w:val="none" w:sz="0" w:space="0" w:color="auto"/>
        <w:left w:val="none" w:sz="0" w:space="0" w:color="auto"/>
        <w:bottom w:val="none" w:sz="0" w:space="0" w:color="auto"/>
        <w:right w:val="none" w:sz="0" w:space="0" w:color="auto"/>
      </w:divBdr>
    </w:div>
    <w:div w:id="1721052387">
      <w:bodyDiv w:val="1"/>
      <w:marLeft w:val="0"/>
      <w:marRight w:val="0"/>
      <w:marTop w:val="0"/>
      <w:marBottom w:val="0"/>
      <w:divBdr>
        <w:top w:val="none" w:sz="0" w:space="0" w:color="auto"/>
        <w:left w:val="none" w:sz="0" w:space="0" w:color="auto"/>
        <w:bottom w:val="none" w:sz="0" w:space="0" w:color="auto"/>
        <w:right w:val="none" w:sz="0" w:space="0" w:color="auto"/>
      </w:divBdr>
    </w:div>
    <w:div w:id="1740402044">
      <w:bodyDiv w:val="1"/>
      <w:marLeft w:val="0"/>
      <w:marRight w:val="0"/>
      <w:marTop w:val="0"/>
      <w:marBottom w:val="0"/>
      <w:divBdr>
        <w:top w:val="none" w:sz="0" w:space="0" w:color="auto"/>
        <w:left w:val="none" w:sz="0" w:space="0" w:color="auto"/>
        <w:bottom w:val="none" w:sz="0" w:space="0" w:color="auto"/>
        <w:right w:val="none" w:sz="0" w:space="0" w:color="auto"/>
      </w:divBdr>
    </w:div>
    <w:div w:id="1760788204">
      <w:bodyDiv w:val="1"/>
      <w:marLeft w:val="0"/>
      <w:marRight w:val="0"/>
      <w:marTop w:val="0"/>
      <w:marBottom w:val="0"/>
      <w:divBdr>
        <w:top w:val="none" w:sz="0" w:space="0" w:color="auto"/>
        <w:left w:val="none" w:sz="0" w:space="0" w:color="auto"/>
        <w:bottom w:val="none" w:sz="0" w:space="0" w:color="auto"/>
        <w:right w:val="none" w:sz="0" w:space="0" w:color="auto"/>
      </w:divBdr>
    </w:div>
    <w:div w:id="1784615747">
      <w:bodyDiv w:val="1"/>
      <w:marLeft w:val="0"/>
      <w:marRight w:val="0"/>
      <w:marTop w:val="0"/>
      <w:marBottom w:val="0"/>
      <w:divBdr>
        <w:top w:val="none" w:sz="0" w:space="0" w:color="auto"/>
        <w:left w:val="none" w:sz="0" w:space="0" w:color="auto"/>
        <w:bottom w:val="none" w:sz="0" w:space="0" w:color="auto"/>
        <w:right w:val="none" w:sz="0" w:space="0" w:color="auto"/>
      </w:divBdr>
    </w:div>
    <w:div w:id="1794323378">
      <w:bodyDiv w:val="1"/>
      <w:marLeft w:val="0"/>
      <w:marRight w:val="0"/>
      <w:marTop w:val="0"/>
      <w:marBottom w:val="0"/>
      <w:divBdr>
        <w:top w:val="none" w:sz="0" w:space="0" w:color="auto"/>
        <w:left w:val="none" w:sz="0" w:space="0" w:color="auto"/>
        <w:bottom w:val="none" w:sz="0" w:space="0" w:color="auto"/>
        <w:right w:val="none" w:sz="0" w:space="0" w:color="auto"/>
      </w:divBdr>
    </w:div>
    <w:div w:id="1796369480">
      <w:bodyDiv w:val="1"/>
      <w:marLeft w:val="0"/>
      <w:marRight w:val="0"/>
      <w:marTop w:val="0"/>
      <w:marBottom w:val="0"/>
      <w:divBdr>
        <w:top w:val="none" w:sz="0" w:space="0" w:color="auto"/>
        <w:left w:val="none" w:sz="0" w:space="0" w:color="auto"/>
        <w:bottom w:val="none" w:sz="0" w:space="0" w:color="auto"/>
        <w:right w:val="none" w:sz="0" w:space="0" w:color="auto"/>
      </w:divBdr>
      <w:divsChild>
        <w:div w:id="727264499">
          <w:marLeft w:val="480"/>
          <w:marRight w:val="0"/>
          <w:marTop w:val="0"/>
          <w:marBottom w:val="0"/>
          <w:divBdr>
            <w:top w:val="none" w:sz="0" w:space="0" w:color="auto"/>
            <w:left w:val="none" w:sz="0" w:space="0" w:color="auto"/>
            <w:bottom w:val="none" w:sz="0" w:space="0" w:color="auto"/>
            <w:right w:val="none" w:sz="0" w:space="0" w:color="auto"/>
          </w:divBdr>
          <w:divsChild>
            <w:div w:id="438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580">
      <w:bodyDiv w:val="1"/>
      <w:marLeft w:val="0"/>
      <w:marRight w:val="0"/>
      <w:marTop w:val="0"/>
      <w:marBottom w:val="0"/>
      <w:divBdr>
        <w:top w:val="none" w:sz="0" w:space="0" w:color="auto"/>
        <w:left w:val="none" w:sz="0" w:space="0" w:color="auto"/>
        <w:bottom w:val="none" w:sz="0" w:space="0" w:color="auto"/>
        <w:right w:val="none" w:sz="0" w:space="0" w:color="auto"/>
      </w:divBdr>
    </w:div>
    <w:div w:id="1836450937">
      <w:bodyDiv w:val="1"/>
      <w:marLeft w:val="0"/>
      <w:marRight w:val="0"/>
      <w:marTop w:val="0"/>
      <w:marBottom w:val="0"/>
      <w:divBdr>
        <w:top w:val="none" w:sz="0" w:space="0" w:color="auto"/>
        <w:left w:val="none" w:sz="0" w:space="0" w:color="auto"/>
        <w:bottom w:val="none" w:sz="0" w:space="0" w:color="auto"/>
        <w:right w:val="none" w:sz="0" w:space="0" w:color="auto"/>
      </w:divBdr>
    </w:div>
    <w:div w:id="1841893421">
      <w:bodyDiv w:val="1"/>
      <w:marLeft w:val="0"/>
      <w:marRight w:val="0"/>
      <w:marTop w:val="0"/>
      <w:marBottom w:val="0"/>
      <w:divBdr>
        <w:top w:val="none" w:sz="0" w:space="0" w:color="auto"/>
        <w:left w:val="none" w:sz="0" w:space="0" w:color="auto"/>
        <w:bottom w:val="none" w:sz="0" w:space="0" w:color="auto"/>
        <w:right w:val="none" w:sz="0" w:space="0" w:color="auto"/>
      </w:divBdr>
    </w:div>
    <w:div w:id="1912227252">
      <w:bodyDiv w:val="1"/>
      <w:marLeft w:val="0"/>
      <w:marRight w:val="0"/>
      <w:marTop w:val="0"/>
      <w:marBottom w:val="0"/>
      <w:divBdr>
        <w:top w:val="none" w:sz="0" w:space="0" w:color="auto"/>
        <w:left w:val="none" w:sz="0" w:space="0" w:color="auto"/>
        <w:bottom w:val="none" w:sz="0" w:space="0" w:color="auto"/>
        <w:right w:val="none" w:sz="0" w:space="0" w:color="auto"/>
      </w:divBdr>
    </w:div>
    <w:div w:id="1914268656">
      <w:bodyDiv w:val="1"/>
      <w:marLeft w:val="0"/>
      <w:marRight w:val="0"/>
      <w:marTop w:val="0"/>
      <w:marBottom w:val="0"/>
      <w:divBdr>
        <w:top w:val="none" w:sz="0" w:space="0" w:color="auto"/>
        <w:left w:val="none" w:sz="0" w:space="0" w:color="auto"/>
        <w:bottom w:val="none" w:sz="0" w:space="0" w:color="auto"/>
        <w:right w:val="none" w:sz="0" w:space="0" w:color="auto"/>
      </w:divBdr>
      <w:divsChild>
        <w:div w:id="1476070971">
          <w:marLeft w:val="480"/>
          <w:marRight w:val="0"/>
          <w:marTop w:val="0"/>
          <w:marBottom w:val="0"/>
          <w:divBdr>
            <w:top w:val="none" w:sz="0" w:space="0" w:color="auto"/>
            <w:left w:val="none" w:sz="0" w:space="0" w:color="auto"/>
            <w:bottom w:val="none" w:sz="0" w:space="0" w:color="auto"/>
            <w:right w:val="none" w:sz="0" w:space="0" w:color="auto"/>
          </w:divBdr>
          <w:divsChild>
            <w:div w:id="713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623">
      <w:bodyDiv w:val="1"/>
      <w:marLeft w:val="0"/>
      <w:marRight w:val="0"/>
      <w:marTop w:val="0"/>
      <w:marBottom w:val="0"/>
      <w:divBdr>
        <w:top w:val="none" w:sz="0" w:space="0" w:color="auto"/>
        <w:left w:val="none" w:sz="0" w:space="0" w:color="auto"/>
        <w:bottom w:val="none" w:sz="0" w:space="0" w:color="auto"/>
        <w:right w:val="none" w:sz="0" w:space="0" w:color="auto"/>
      </w:divBdr>
    </w:div>
    <w:div w:id="1957102964">
      <w:bodyDiv w:val="1"/>
      <w:marLeft w:val="0"/>
      <w:marRight w:val="0"/>
      <w:marTop w:val="0"/>
      <w:marBottom w:val="0"/>
      <w:divBdr>
        <w:top w:val="none" w:sz="0" w:space="0" w:color="auto"/>
        <w:left w:val="none" w:sz="0" w:space="0" w:color="auto"/>
        <w:bottom w:val="none" w:sz="0" w:space="0" w:color="auto"/>
        <w:right w:val="none" w:sz="0" w:space="0" w:color="auto"/>
      </w:divBdr>
    </w:div>
    <w:div w:id="1963343730">
      <w:bodyDiv w:val="1"/>
      <w:marLeft w:val="0"/>
      <w:marRight w:val="0"/>
      <w:marTop w:val="0"/>
      <w:marBottom w:val="0"/>
      <w:divBdr>
        <w:top w:val="none" w:sz="0" w:space="0" w:color="auto"/>
        <w:left w:val="none" w:sz="0" w:space="0" w:color="auto"/>
        <w:bottom w:val="none" w:sz="0" w:space="0" w:color="auto"/>
        <w:right w:val="none" w:sz="0" w:space="0" w:color="auto"/>
      </w:divBdr>
    </w:div>
    <w:div w:id="1968389594">
      <w:bodyDiv w:val="1"/>
      <w:marLeft w:val="0"/>
      <w:marRight w:val="0"/>
      <w:marTop w:val="0"/>
      <w:marBottom w:val="0"/>
      <w:divBdr>
        <w:top w:val="none" w:sz="0" w:space="0" w:color="auto"/>
        <w:left w:val="none" w:sz="0" w:space="0" w:color="auto"/>
        <w:bottom w:val="none" w:sz="0" w:space="0" w:color="auto"/>
        <w:right w:val="none" w:sz="0" w:space="0" w:color="auto"/>
      </w:divBdr>
    </w:div>
    <w:div w:id="2036802956">
      <w:bodyDiv w:val="1"/>
      <w:marLeft w:val="0"/>
      <w:marRight w:val="0"/>
      <w:marTop w:val="0"/>
      <w:marBottom w:val="0"/>
      <w:divBdr>
        <w:top w:val="none" w:sz="0" w:space="0" w:color="auto"/>
        <w:left w:val="none" w:sz="0" w:space="0" w:color="auto"/>
        <w:bottom w:val="none" w:sz="0" w:space="0" w:color="auto"/>
        <w:right w:val="none" w:sz="0" w:space="0" w:color="auto"/>
      </w:divBdr>
    </w:div>
    <w:div w:id="2041934335">
      <w:bodyDiv w:val="1"/>
      <w:marLeft w:val="0"/>
      <w:marRight w:val="0"/>
      <w:marTop w:val="0"/>
      <w:marBottom w:val="0"/>
      <w:divBdr>
        <w:top w:val="none" w:sz="0" w:space="0" w:color="auto"/>
        <w:left w:val="none" w:sz="0" w:space="0" w:color="auto"/>
        <w:bottom w:val="none" w:sz="0" w:space="0" w:color="auto"/>
        <w:right w:val="none" w:sz="0" w:space="0" w:color="auto"/>
      </w:divBdr>
    </w:div>
    <w:div w:id="2087265611">
      <w:bodyDiv w:val="1"/>
      <w:marLeft w:val="0"/>
      <w:marRight w:val="0"/>
      <w:marTop w:val="0"/>
      <w:marBottom w:val="0"/>
      <w:divBdr>
        <w:top w:val="none" w:sz="0" w:space="0" w:color="auto"/>
        <w:left w:val="none" w:sz="0" w:space="0" w:color="auto"/>
        <w:bottom w:val="none" w:sz="0" w:space="0" w:color="auto"/>
        <w:right w:val="none" w:sz="0" w:space="0" w:color="auto"/>
      </w:divBdr>
    </w:div>
    <w:div w:id="2098818592">
      <w:bodyDiv w:val="1"/>
      <w:marLeft w:val="0"/>
      <w:marRight w:val="0"/>
      <w:marTop w:val="0"/>
      <w:marBottom w:val="0"/>
      <w:divBdr>
        <w:top w:val="none" w:sz="0" w:space="0" w:color="auto"/>
        <w:left w:val="none" w:sz="0" w:space="0" w:color="auto"/>
        <w:bottom w:val="none" w:sz="0" w:space="0" w:color="auto"/>
        <w:right w:val="none" w:sz="0" w:space="0" w:color="auto"/>
      </w:divBdr>
    </w:div>
    <w:div w:id="210418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get/noto/" TargetMode="Externa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5.jpeg"/><Relationship Id="rId21" Type="http://schemas.openxmlformats.org/officeDocument/2006/relationships/image" Target="media/image8.png"/><Relationship Id="rId34" Type="http://schemas.openxmlformats.org/officeDocument/2006/relationships/hyperlink" Target="https://github.com/erc-dharma/project-documentation/issues/284" TargetMode="External"/><Relationship Id="rId42" Type="http://schemas.openxmlformats.org/officeDocument/2006/relationships/hyperlink" Target="https://www.iso.org/standard/28333.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3.png"/><Relationship Id="rId40" Type="http://schemas.openxmlformats.org/officeDocument/2006/relationships/image" Target="media/image26.jpe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icrosoft.com/en-us/download/details.aspx?id=102134" TargetMode="Externa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standards.iso.org/ittf/PubliclyAvailableStandards/c069119_ISO_IEC_10646_2017.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mbay.indology.info/software/fonts/induni/index.html"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standards.iso.org/ittf/PubliclyAvailableStandards/c069119_ISO_IEC_10646_2017.zip"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software.sil.org/gentium/"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4.jpeg"/><Relationship Id="rId46" Type="http://schemas.openxmlformats.org/officeDocument/2006/relationships/footer" Target="footer4.xml"/><Relationship Id="rId20" Type="http://schemas.openxmlformats.org/officeDocument/2006/relationships/image" Target="media/image7.jpeg"/><Relationship Id="rId41" Type="http://schemas.openxmlformats.org/officeDocument/2006/relationships/hyperlink" Target="https://www.iso.org/standard/2833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Drive\Handy%20stuff\Templates\DHARMA%20guide%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urty Sanskrit"/>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urty Sanskrit"/>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4F097-C5EA-41BD-8F05-7505CE80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DHARMA guide 2024.dotx</Template>
  <TotalTime>707</TotalTime>
  <Pages>49</Pages>
  <Words>24597</Words>
  <Characters>140204</Characters>
  <Application>Microsoft Office Word</Application>
  <DocSecurity>0</DocSecurity>
  <Lines>1168</Lines>
  <Paragraphs>328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Balogh</dc:creator>
  <cp:keywords/>
  <dc:description/>
  <cp:lastModifiedBy>Dániel Balogh</cp:lastModifiedBy>
  <cp:revision>19</cp:revision>
  <cp:lastPrinted>2020-06-29T07:48:00Z</cp:lastPrinted>
  <dcterms:created xsi:type="dcterms:W3CDTF">2025-06-04T07:20:00Z</dcterms:created>
  <dcterms:modified xsi:type="dcterms:W3CDTF">2025-06-16T15:21:00Z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id="gtlHSypn"/&gt;&lt;style id="https://github.com/erc-dharma/project-documentation/blob/master/bibliography/DHARMA_modified-Chicago-Author-Date_v03.csl" locale="en-GB" hasBibliography="1" bibliographyStyl</vt:lpwstr>
  </property>
  <property fmtid="{D5CDD505-2E9C-101B-9397-08002B2CF9AE}" pid="3" name="ZOTERO_PREF_2">
    <vt:lpwstr>eHasBeenSet="1"/&gt;&lt;prefs&gt;&lt;pref name="fieldType" value="Field"/&gt;&lt;/prefs&gt;&lt;/data&gt;</vt:lpwstr>
  </property>
</Properties>
</file>